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D2" w:rsidRPr="00FE6E9B" w:rsidRDefault="00615438" w:rsidP="00FE6E9B">
      <w:pPr>
        <w:pStyle w:val="a3"/>
        <w:spacing w:before="0" w:after="0"/>
        <w:ind w:firstLine="709"/>
        <w:outlineLvl w:val="9"/>
      </w:pPr>
      <w:bookmarkStart w:id="0" w:name="_Toc213397750"/>
      <w:bookmarkStart w:id="1" w:name="_Toc215339217"/>
      <w:r w:rsidRPr="00FE6E9B">
        <w:t>содержание</w:t>
      </w:r>
      <w:bookmarkEnd w:id="0"/>
      <w:bookmarkEnd w:id="1"/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ВВЕДЕНИЕ3</w:t>
      </w:r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система: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построения</w:t>
      </w:r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Национальный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государства</w:t>
      </w:r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</w:p>
    <w:p w:rsidR="00FE6E9B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ЗАКЛЮЧЕНИЕ</w:t>
      </w:r>
    </w:p>
    <w:p w:rsidR="00615438" w:rsidRP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ИСПОЛЬЗОВАННЫХ</w:t>
      </w:r>
      <w:r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ИСТОЧНИКОВ</w:t>
      </w:r>
    </w:p>
    <w:p w:rsidR="00615438" w:rsidRPr="00FE6E9B" w:rsidRDefault="00615438" w:rsidP="00FE6E9B">
      <w:pPr>
        <w:pStyle w:val="a3"/>
        <w:spacing w:before="0" w:after="0"/>
        <w:ind w:firstLine="709"/>
        <w:outlineLvl w:val="9"/>
      </w:pPr>
      <w:r w:rsidRPr="00FE6E9B">
        <w:rPr>
          <w:b w:val="0"/>
        </w:rPr>
        <w:br w:type="page"/>
      </w:r>
      <w:bookmarkStart w:id="2" w:name="_Toc215339218"/>
      <w:r w:rsidRPr="00FE6E9B">
        <w:t>введение</w:t>
      </w:r>
      <w:bookmarkEnd w:id="2"/>
    </w:p>
    <w:p w:rsid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</w:p>
    <w:p w:rsidR="00D80540" w:rsidRPr="00FE6E9B" w:rsidRDefault="00D8054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Довольно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тяжело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отметить,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когда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возникли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первые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том,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сегодня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универсальные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финансовые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учреждения,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выполняют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300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видов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разнообразных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услуг.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Поскольку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услуги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возникли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одно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время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одном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месте,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становится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тяжело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отметить,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когда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возникло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дело.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Самыми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давними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считаются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сбережению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денег.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занимались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церковные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заведения,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частные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лица.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Следует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отметить,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некоторых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случаях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давнем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мире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насчитывались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проценты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внесенные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деньги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собственность.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Отдельно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возникла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потребность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обращении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денег.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Середине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торговля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велась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монетами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различных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стран,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городов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даже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частных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лиц.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Все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монеты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имели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различный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вес,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форму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номинал.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Поэтому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нужны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специалисты,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должны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учёт.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специалисты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размещались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своими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конторами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там,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где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наиболее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торговля.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Люди</w:t>
      </w:r>
      <w:r w:rsidRPr="00FE6E9B">
        <w:rPr>
          <w:sz w:val="28"/>
          <w:szCs w:val="28"/>
          <w:lang w:eastAsia="uk-UA"/>
        </w:rPr>
        <w:t>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занимались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операциями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сбережения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перемещением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денег,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понимали,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собранные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богатства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используются</w:t>
      </w:r>
      <w:r w:rsidRPr="00FE6E9B">
        <w:rPr>
          <w:sz w:val="28"/>
          <w:szCs w:val="28"/>
          <w:lang w:eastAsia="uk-UA"/>
        </w:rPr>
        <w:t>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Если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хотя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некоторую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часть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средств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отдавать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временное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использование,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тогда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можно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было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бы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</w:t>
      </w:r>
      <w:r w:rsidR="002C65B1" w:rsidRPr="00FE6E9B">
        <w:rPr>
          <w:sz w:val="28"/>
          <w:szCs w:val="28"/>
          <w:lang w:eastAsia="uk-UA"/>
        </w:rPr>
        <w:t>влек</w:t>
      </w:r>
      <w:r w:rsidRPr="00FE6E9B">
        <w:rPr>
          <w:sz w:val="28"/>
          <w:szCs w:val="28"/>
          <w:lang w:eastAsia="uk-UA"/>
        </w:rPr>
        <w:t>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этого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выгоду</w:t>
      </w:r>
      <w:r w:rsidRPr="00FE6E9B">
        <w:rPr>
          <w:sz w:val="28"/>
          <w:szCs w:val="28"/>
          <w:lang w:eastAsia="uk-UA"/>
        </w:rPr>
        <w:t>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Таким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образом</w:t>
      </w:r>
      <w:r w:rsidR="002C65B1" w:rsidRPr="00FE6E9B">
        <w:rPr>
          <w:sz w:val="28"/>
          <w:szCs w:val="28"/>
          <w:lang w:eastAsia="uk-UA"/>
        </w:rPr>
        <w:t>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возникли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ссудн</w:t>
      </w:r>
      <w:r w:rsidR="002C65B1" w:rsidRPr="00FE6E9B">
        <w:rPr>
          <w:sz w:val="28"/>
          <w:szCs w:val="28"/>
          <w:lang w:eastAsia="uk-UA"/>
        </w:rPr>
        <w:t>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(кредитные)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основе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лежала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выдача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денег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срок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обязательным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возвратом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уплате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процента.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Залогом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дома,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корабли,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</w:t>
      </w:r>
      <w:r w:rsidR="002C65B1" w:rsidRPr="00FE6E9B">
        <w:rPr>
          <w:sz w:val="28"/>
          <w:szCs w:val="28"/>
          <w:lang w:eastAsia="uk-UA"/>
        </w:rPr>
        <w:t>о</w:t>
      </w:r>
      <w:r w:rsidRPr="00FE6E9B">
        <w:rPr>
          <w:sz w:val="28"/>
          <w:szCs w:val="28"/>
          <w:lang w:eastAsia="uk-UA"/>
        </w:rPr>
        <w:t>р</w:t>
      </w:r>
      <w:r w:rsidR="002C65B1" w:rsidRPr="00FE6E9B">
        <w:rPr>
          <w:sz w:val="28"/>
          <w:szCs w:val="28"/>
          <w:lang w:eastAsia="uk-UA"/>
        </w:rPr>
        <w:t>о</w:t>
      </w:r>
      <w:r w:rsidRPr="00FE6E9B">
        <w:rPr>
          <w:sz w:val="28"/>
          <w:szCs w:val="28"/>
          <w:lang w:eastAsia="uk-UA"/>
        </w:rPr>
        <w:t>г</w:t>
      </w:r>
      <w:r w:rsidR="002C65B1" w:rsidRPr="00FE6E9B">
        <w:rPr>
          <w:sz w:val="28"/>
          <w:szCs w:val="28"/>
          <w:lang w:eastAsia="uk-UA"/>
        </w:rPr>
        <w:t>ое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ценное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имущество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т.</w:t>
      </w:r>
      <w:r w:rsidR="002C65B1" w:rsidRPr="00FE6E9B">
        <w:rPr>
          <w:sz w:val="28"/>
          <w:szCs w:val="28"/>
          <w:lang w:eastAsia="uk-UA"/>
        </w:rPr>
        <w:t>д</w:t>
      </w:r>
      <w:r w:rsidRPr="00FE6E9B">
        <w:rPr>
          <w:sz w:val="28"/>
          <w:szCs w:val="28"/>
          <w:lang w:eastAsia="uk-UA"/>
        </w:rPr>
        <w:t>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Все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сначала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существовали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отдельно,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только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постепенно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объединялись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организации,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привыкли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называть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банками.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Слово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"банк"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переводе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итальянского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"banco"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означает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стол.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Великобритании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капиталистическая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возникла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</w:t>
      </w:r>
      <w:r w:rsidR="002C65B1" w:rsidRPr="00FE6E9B">
        <w:rPr>
          <w:sz w:val="28"/>
          <w:szCs w:val="28"/>
          <w:lang w:eastAsia="uk-UA"/>
        </w:rPr>
        <w:t>VII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веке,</w:t>
      </w:r>
      <w:r w:rsidR="00FE6E9B">
        <w:rPr>
          <w:sz w:val="28"/>
          <w:szCs w:val="28"/>
          <w:lang w:eastAsia="uk-UA"/>
        </w:rPr>
        <w:t xml:space="preserve"> </w:t>
      </w:r>
      <w:r w:rsidR="002C65B1" w:rsidRPr="00FE6E9B">
        <w:rPr>
          <w:sz w:val="28"/>
          <w:szCs w:val="28"/>
          <w:lang w:eastAsia="uk-UA"/>
        </w:rPr>
        <w:t>кстати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банкиры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вышли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мастеров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золотых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купцов.</w:t>
      </w:r>
    </w:p>
    <w:p w:rsidR="00D80540" w:rsidRPr="00FE6E9B" w:rsidRDefault="00D8054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cs="Arial CYR"/>
          <w:sz w:val="28"/>
          <w:szCs w:val="22"/>
          <w:lang w:eastAsia="uk-UA"/>
        </w:rPr>
      </w:pP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нашем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обществе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выполняют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разнообразные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виды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операций.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только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организовывают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обращение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отношения.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Через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осуществляется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финансирование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народного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хозяйства,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страховые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купля,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продажа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бумаг,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некоторых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случаях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управления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собственностью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посреднические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услуги.</w:t>
      </w:r>
    </w:p>
    <w:p w:rsidR="008D5C5D" w:rsidRPr="00FE6E9B" w:rsidRDefault="008D5C5D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составляющей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понимают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совокупность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различных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видов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институтов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взаимосвязи,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существующую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исторический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период.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составляют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неотъемлемую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современного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тесно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связана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потребностями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воспроизводства.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современном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обществе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оборот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отношения.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народного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купля-продажа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бумаг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др.</w:t>
      </w:r>
    </w:p>
    <w:p w:rsidR="008D5C5D" w:rsidRPr="00FE6E9B" w:rsidRDefault="008D5C5D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автономное,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независимое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учреждение,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имеющее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статус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юридического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лица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осуществляющее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оказания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финансово-кредитных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услуг.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хозяйствующим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действующим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принципах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заключается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работают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обмена,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производства.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Главным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кредитно-денежного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монетарная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политика.</w:t>
      </w:r>
    </w:p>
    <w:p w:rsidR="00615438" w:rsidRPr="00FE6E9B" w:rsidRDefault="008D5C5D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Ныне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действующая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двухуровневая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сменила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существовавшую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СССР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иерархическую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(одноуровневую)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настоящее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функционирует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Национальный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1991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представляющая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верхний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уровень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численность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регламентируется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7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декабря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</w:p>
    <w:p w:rsidR="008D5C5D" w:rsidRPr="00FE6E9B" w:rsidRDefault="008D5C5D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Таким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курсовой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работы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изучение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её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необходимо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задачи: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во-первых,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546520" w:rsidRPr="00FE6E9B">
        <w:rPr>
          <w:sz w:val="28"/>
          <w:szCs w:val="28"/>
        </w:rPr>
        <w:t>,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во-</w:t>
      </w:r>
      <w:r w:rsidR="00B2661C" w:rsidRPr="00FE6E9B">
        <w:rPr>
          <w:sz w:val="28"/>
          <w:szCs w:val="28"/>
        </w:rPr>
        <w:t>вторых,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её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B2661C" w:rsidRPr="00FE6E9B">
        <w:rPr>
          <w:sz w:val="28"/>
          <w:szCs w:val="28"/>
        </w:rPr>
        <w:t>-третьи</w:t>
      </w:r>
      <w:r w:rsidRPr="00FE6E9B">
        <w:rPr>
          <w:sz w:val="28"/>
          <w:szCs w:val="28"/>
        </w:rPr>
        <w:t>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охарактеризовать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уровень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её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546520" w:rsidRPr="00FE6E9B">
        <w:rPr>
          <w:sz w:val="28"/>
          <w:szCs w:val="28"/>
        </w:rPr>
        <w:t>,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включая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рассмотрение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её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основного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элемента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Национального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Украины</w:t>
      </w:r>
      <w:r w:rsidRPr="00FE6E9B">
        <w:rPr>
          <w:sz w:val="28"/>
          <w:szCs w:val="28"/>
        </w:rPr>
        <w:t>.</w:t>
      </w:r>
    </w:p>
    <w:p w:rsidR="00615438" w:rsidRPr="00FE6E9B" w:rsidRDefault="00615438" w:rsidP="00FE6E9B">
      <w:pPr>
        <w:pStyle w:val="a3"/>
        <w:spacing w:before="0" w:after="0"/>
        <w:ind w:firstLine="709"/>
        <w:outlineLvl w:val="9"/>
      </w:pPr>
      <w:r w:rsidRPr="00FE6E9B">
        <w:rPr>
          <w:b w:val="0"/>
        </w:rPr>
        <w:br w:type="page"/>
      </w:r>
      <w:bookmarkStart w:id="3" w:name="_Toc215339219"/>
      <w:r w:rsidRPr="00FE6E9B">
        <w:t>БАНКОВСКАЯ</w:t>
      </w:r>
      <w:r w:rsidR="00FE6E9B">
        <w:t xml:space="preserve"> </w:t>
      </w:r>
      <w:r w:rsidRPr="00FE6E9B">
        <w:t>СИСТЕМА:</w:t>
      </w:r>
      <w:r w:rsidR="00FE6E9B">
        <w:t xml:space="preserve"> </w:t>
      </w:r>
      <w:r w:rsidRPr="00FE6E9B">
        <w:t>СУЩНОСТЬ</w:t>
      </w:r>
      <w:r w:rsidR="00FE6E9B">
        <w:t xml:space="preserve"> </w:t>
      </w:r>
      <w:r w:rsidR="00B2661C" w:rsidRPr="00FE6E9B">
        <w:t>и</w:t>
      </w:r>
      <w:r w:rsidR="00FE6E9B">
        <w:t xml:space="preserve"> </w:t>
      </w:r>
      <w:r w:rsidR="00B2661C" w:rsidRPr="00FE6E9B">
        <w:t>принципы</w:t>
      </w:r>
      <w:r w:rsidR="00FE6E9B">
        <w:t xml:space="preserve"> </w:t>
      </w:r>
      <w:r w:rsidR="00B2661C" w:rsidRPr="00FE6E9B">
        <w:t>построения</w:t>
      </w:r>
      <w:bookmarkEnd w:id="3"/>
    </w:p>
    <w:p w:rsidR="00FE6E9B" w:rsidRDefault="00FE6E9B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Функциональная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предопределяет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необходимость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организационно-правового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выделения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определённую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самостоятельную,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относительно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замкнутую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называется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системой.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особое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назначение,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повторяют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назначение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Возникает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вследствие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случайную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совокупность,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строится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заранее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предусмотренной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концепции,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пределах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отводится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банку.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Принятый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1991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деятельности»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[1]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определить,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должны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зафиксировал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концептуальное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согласно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</w:t>
      </w:r>
      <w:r w:rsidR="00BE3B9D" w:rsidRPr="00FE6E9B">
        <w:rPr>
          <w:sz w:val="28"/>
          <w:szCs w:val="28"/>
        </w:rPr>
        <w:t>анковская</w:t>
      </w:r>
      <w:r w:rsidR="00FE6E9B">
        <w:rPr>
          <w:sz w:val="28"/>
          <w:szCs w:val="28"/>
        </w:rPr>
        <w:t xml:space="preserve"> </w:t>
      </w:r>
      <w:r w:rsidR="00BE3B9D"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="00BE3B9D"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="00BE3B9D" w:rsidRPr="00FE6E9B">
        <w:rPr>
          <w:sz w:val="28"/>
          <w:szCs w:val="28"/>
        </w:rPr>
        <w:t>должна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двухуровневой,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установил,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принадлежат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="00BE3B9D" w:rsidRPr="00FE6E9B">
        <w:rPr>
          <w:sz w:val="28"/>
          <w:szCs w:val="28"/>
        </w:rPr>
        <w:t>каков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ними.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Поэтому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правомерным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четко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структурированной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субординированной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совокупности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занимаются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профессиональной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функционально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взаимосвязаны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структуру.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организационная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схема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любой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страны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выглядит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сегодняшний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день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приблизительно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так,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показано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рисунке</w:t>
      </w:r>
      <w:r w:rsidR="00FE6E9B">
        <w:rPr>
          <w:sz w:val="28"/>
          <w:szCs w:val="28"/>
        </w:rPr>
        <w:t xml:space="preserve"> </w:t>
      </w:r>
      <w:r w:rsidR="00CB16A1" w:rsidRPr="00FE6E9B">
        <w:rPr>
          <w:sz w:val="28"/>
          <w:szCs w:val="28"/>
        </w:rPr>
        <w:t>1.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Самостоятельность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двойное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направление: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элементам;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подобным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параллельно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банковской.</w:t>
      </w:r>
    </w:p>
    <w:p w:rsidR="00CB16A1" w:rsidRPr="00FE6E9B" w:rsidRDefault="00CB16A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center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>Институт верхнего уро</w:t>
      </w:r>
      <w:bookmarkStart w:id="4" w:name="OCRUncertain041"/>
      <w:r>
        <w:rPr>
          <w:szCs w:val="22"/>
          <w:lang w:val="uk-UA"/>
        </w:rPr>
        <w:t>вн</w:t>
      </w:r>
      <w:bookmarkEnd w:id="4"/>
      <w:r>
        <w:rPr>
          <w:szCs w:val="22"/>
          <w:lang w:val="uk-UA"/>
        </w:rPr>
        <w:t>я банковской системы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center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>Центральный банк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center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>Институты нижнего уровня банковской системы</w:t>
      </w:r>
    </w:p>
    <w:p w:rsidR="00E54143" w:rsidRDefault="00666A9D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i/>
          <w:iCs/>
          <w:noProof/>
          <w:szCs w:val="22"/>
          <w:lang w:val="uk-UA"/>
        </w:rPr>
      </w:pPr>
      <w:r>
        <w:rPr>
          <w:noProof/>
        </w:rPr>
        <w:pict>
          <v:group id="_x0000_s1026" style="position:absolute;left:0;text-align:left;margin-left:32.65pt;margin-top:1.25pt;width:345.65pt;height:308.5pt;z-index:251657728" coordorigin="2070,3462" coordsize="6913,6170">
            <v:line id="_x0000_s1027" style="position:absolute" from="3078,3462" to="8407,3463" o:allowincell="f" strokeweight="1pt">
              <v:stroke startarrowwidth="narrow" startarrowlength="long" endarrowwidth="narrow" endarrowlength="long"/>
            </v:line>
            <v:line id="_x0000_s1028" style="position:absolute;flip:y" from="5814,3548" to="5815,3837" o:allowincell="f" strokeweight="1pt">
              <v:stroke startarrowwidth="narrow" startarrowlength="long" endarrowwidth="narrow" endarrowlength="long"/>
            </v:line>
            <v:line id="_x0000_s1029" style="position:absolute" from="3078,3462" to="3079,4039" o:allowincell="f">
              <v:stroke startarrowwidth="narrow" startarrowlength="long" endarrow="block" endarrowwidth="narrow" endarrowlength="long"/>
            </v:line>
            <v:line id="_x0000_s1030" style="position:absolute" from="8406,3462" to="8407,3751" o:allowincell="f">
              <v:stroke startarrowwidth="narrow" startarrowlength="long" endarrow="block" endarrowwidth="narrow" endarrowlength="long"/>
            </v:line>
            <v:line id="_x0000_s1031" style="position:absolute" from="2070,5210" to="5815,5211" o:allowincell="f" strokeweight="1pt">
              <v:stroke startarrowwidth="narrow" startarrowlength="long" endarrowwidth="narrow" endarrowlength="long"/>
            </v:line>
            <v:line id="_x0000_s1032" style="position:absolute" from="2070,5210" to="2071,5643" o:allowincell="f">
              <v:stroke startarrowwidth="narrow" startarrowlength="long" endarrow="block" endarrowwidth="narrow" endarrowlength="long"/>
            </v:line>
            <v:line id="_x0000_s1033" style="position:absolute" from="5814,5210" to="5815,5643" o:allowincell="f">
              <v:stroke startarrowwidth="narrow" startarrowlength="long" endarrow="block" endarrowwidth="narrow" endarrowlength="long"/>
            </v:line>
            <v:line id="_x0000_s1034" style="position:absolute;flip:y" from="3078,4480" to="3079,5201" o:allowincell="f" strokeweight="1pt">
              <v:stroke startarrowwidth="narrow" startarrowlength="long" endarrowwidth="narrow" endarrowlength="long"/>
            </v:line>
            <v:line id="_x0000_s1035" style="position:absolute" from="3366,6666" to="3366,9632" o:allowincell="f" strokeweight="1pt">
              <v:stroke startarrowwidth="narrow" startarrowlength="long" endarrowwidth="narrow" endarrowlength="long"/>
            </v:line>
            <v:line id="_x0000_s1036" style="position:absolute" from="5526,6378" to="5527,6667" o:allowincell="f" strokeweight="1pt">
              <v:stroke startarrowwidth="narrow" startarrowlength="long" endarrowwidth="narrow" endarrowlength="long"/>
            </v:line>
            <v:line id="_x0000_s1037" style="position:absolute;flip:x" from="3366,6666" to="5527,6667" o:allowincell="f" strokeweight="1pt">
              <v:stroke startarrowwidth="narrow" startarrowlength="long" endarrowwidth="narrow" endarrowlength="long"/>
            </v:line>
            <v:line id="_x0000_s1038" style="position:absolute" from="8982,4773" to="8983,5206" o:allowincell="f" strokeweight="1pt">
              <v:stroke startarrowwidth="narrow" startarrowlength="long" endarrowwidth="narrow" endarrowlength="long"/>
            </v:line>
            <v:line id="_x0000_s1039" style="position:absolute;flip:x" from="6966,5210" to="8983,5211" o:allowincell="f" strokeweight="1pt">
              <v:stroke startarrowwidth="narrow" startarrowlength="long" endarrowwidth="narrow" endarrowlength="long"/>
            </v:line>
            <v:line id="_x0000_s1040" style="position:absolute" from="6966,5210" to="6966,8505" o:allowincell="f" strokeweight="1pt">
              <v:stroke startarrowwidth="narrow" startarrowlength="long" endarrowwidth="narrow" endarrowlength="long"/>
            </v:line>
            <v:line id="_x0000_s1041" style="position:absolute" from="3397,9631" to="4118,9632">
              <v:stroke startarrowwidth="narrow" startarrowlength="long" endarrow="block" endarrowwidth="narrow" endarrowlength="long"/>
            </v:line>
            <v:line id="_x0000_s1042" style="position:absolute" from="3366,9240" to="4087,9241" o:allowincell="f">
              <v:stroke startarrowwidth="narrow" startarrowlength="long" endarrow="block" endarrowwidth="narrow" endarrowlength="long"/>
            </v:line>
            <v:line id="_x0000_s1043" style="position:absolute" from="3366,8505" to="4087,8506" o:allowincell="f">
              <v:stroke startarrowwidth="narrow" startarrowlength="long" endarrow="block" endarrowwidth="narrow" endarrowlength="long"/>
            </v:line>
            <v:line id="_x0000_s1044" style="position:absolute" from="3366,8073" to="4087,8074" o:allowincell="f">
              <v:stroke startarrowwidth="narrow" startarrowlength="long" endarrow="block" endarrowwidth="narrow" endarrowlength="long"/>
            </v:line>
            <v:line id="_x0000_s1045" style="position:absolute" from="3366,7775" to="4087,7776" o:allowincell="f">
              <v:stroke startarrowwidth="narrow" startarrowlength="long" endarrow="block" endarrowwidth="narrow" endarrowlength="long"/>
            </v:line>
            <v:line id="_x0000_s1046" style="position:absolute" from="3366,7343" to="4087,7344" o:allowincell="f">
              <v:stroke startarrowwidth="narrow" startarrowlength="long" endarrow="block" endarrowwidth="narrow" endarrowlength="long"/>
            </v:line>
            <v:line id="_x0000_s1047" style="position:absolute" from="6966,8505" to="7543,8506" o:allowincell="f">
              <v:stroke startarrowwidth="narrow" startarrowlength="long" endarrow="block" endarrowwidth="narrow" endarrowlength="long"/>
            </v:line>
            <v:line id="_x0000_s1048" style="position:absolute" from="6966,8073" to="7543,8074" o:allowincell="f">
              <v:stroke startarrowwidth="narrow" startarrowlength="long" endarrow="block" endarrowwidth="narrow" endarrowlength="long"/>
            </v:line>
            <v:line id="_x0000_s1049" style="position:absolute" from="6966,7674" to="7543,7675" o:allowincell="f">
              <v:stroke startarrowwidth="narrow" startarrowlength="long" endarrow="block" endarrowwidth="narrow" endarrowlength="long"/>
            </v:line>
            <v:line id="_x0000_s1050" style="position:absolute" from="6966,7343" to="7543,7344" o:allowincell="f">
              <v:stroke startarrowwidth="narrow" startarrowlength="long" endarrow="block" endarrowwidth="narrow" endarrowlength="long"/>
            </v:line>
            <v:line id="_x0000_s1051" style="position:absolute" from="6966,6665" to="7357,6666" o:allowincell="f">
              <v:stroke startarrowwidth="narrow" startarrowlength="long" endarrow="block" endarrowwidth="narrow" endarrowlength="long"/>
            </v:line>
            <v:line id="_x0000_s1052" style="position:absolute" from="6966,5940" to="7687,5941" o:allowincell="f">
              <v:stroke startarrowwidth="narrow" startarrowlength="long" endarrow="block" endarrowwidth="narrow" endarrowlength="long"/>
            </v:line>
          </v:group>
        </w:pict>
      </w:r>
      <w:bookmarkStart w:id="5" w:name="OCRUncertain043"/>
    </w:p>
    <w:bookmarkEnd w:id="5"/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right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 xml:space="preserve">Небанковские </w:t>
      </w:r>
      <w:r>
        <w:rPr>
          <w:szCs w:val="22"/>
          <w:lang w:val="uk-UA"/>
        </w:rPr>
        <w:tab/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noProof/>
          <w:szCs w:val="22"/>
          <w:lang w:val="uk-UA"/>
        </w:rPr>
      </w:pPr>
      <w:r>
        <w:rPr>
          <w:szCs w:val="22"/>
          <w:lang w:val="uk-UA"/>
        </w:rPr>
        <w:t xml:space="preserve">Коммерческие банки                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 xml:space="preserve">     кредитно-финансовые 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right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>институты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right"/>
        <w:textAlignment w:val="baseline"/>
        <w:rPr>
          <w:szCs w:val="22"/>
          <w:lang w:val="uk-UA"/>
        </w:rPr>
      </w:pP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jc w:val="right"/>
        <w:textAlignment w:val="baseline"/>
        <w:rPr>
          <w:szCs w:val="22"/>
          <w:lang w:val="uk-UA"/>
        </w:rPr>
      </w:pP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0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 xml:space="preserve">Универсальные    </w:t>
      </w:r>
      <w:r>
        <w:rPr>
          <w:szCs w:val="22"/>
          <w:lang w:val="uk-UA"/>
        </w:rPr>
        <w:tab/>
      </w:r>
      <w:r>
        <w:rPr>
          <w:szCs w:val="22"/>
        </w:rPr>
        <w:tab/>
      </w:r>
      <w:r>
        <w:rPr>
          <w:szCs w:val="22"/>
          <w:lang w:val="uk-UA"/>
        </w:rPr>
        <w:t xml:space="preserve">Специализированные </w:t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  <w:t xml:space="preserve">             </w:t>
      </w:r>
      <w:r>
        <w:rPr>
          <w:szCs w:val="22"/>
          <w:lang w:val="uk-UA"/>
        </w:rPr>
        <w:t xml:space="preserve">Инвестиционные 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left="2832" w:right="1036" w:firstLine="709"/>
        <w:jc w:val="right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>банки</w:t>
      </w:r>
      <w:r>
        <w:rPr>
          <w:noProof/>
          <w:szCs w:val="22"/>
          <w:lang w:val="uk-UA"/>
        </w:rPr>
        <w:t xml:space="preserve">     </w:t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szCs w:val="22"/>
          <w:lang w:val="uk-UA"/>
        </w:rPr>
        <w:t>банки</w:t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noProof/>
          <w:szCs w:val="22"/>
          <w:lang w:val="uk-UA"/>
        </w:rPr>
        <w:tab/>
      </w:r>
      <w:r>
        <w:rPr>
          <w:noProof/>
          <w:szCs w:val="22"/>
        </w:rPr>
        <w:t xml:space="preserve">                      </w:t>
      </w:r>
      <w:r>
        <w:rPr>
          <w:szCs w:val="22"/>
          <w:lang w:val="uk-UA"/>
        </w:rPr>
        <w:t xml:space="preserve">компании  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>Инвестиционные фонды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>Инвестиционные банки</w:t>
      </w:r>
      <w:r>
        <w:rPr>
          <w:noProof/>
          <w:szCs w:val="22"/>
          <w:lang w:val="uk-UA"/>
        </w:rPr>
        <w:t xml:space="preserve">                </w:t>
      </w:r>
      <w:r>
        <w:rPr>
          <w:noProof/>
          <w:szCs w:val="22"/>
        </w:rPr>
        <w:t xml:space="preserve">   </w:t>
      </w:r>
      <w:r>
        <w:rPr>
          <w:szCs w:val="22"/>
          <w:lang w:val="uk-UA"/>
        </w:rPr>
        <w:t xml:space="preserve">Страховые компании  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</w:rPr>
        <w:t xml:space="preserve">           </w:t>
      </w:r>
      <w:r>
        <w:rPr>
          <w:szCs w:val="22"/>
          <w:lang w:val="uk-UA"/>
        </w:rPr>
        <w:t>Ипотечные банки</w:t>
      </w:r>
      <w:r>
        <w:rPr>
          <w:noProof/>
          <w:szCs w:val="22"/>
          <w:lang w:val="uk-UA"/>
        </w:rPr>
        <w:t xml:space="preserve">                             </w:t>
      </w:r>
      <w:r>
        <w:rPr>
          <w:szCs w:val="22"/>
          <w:lang w:val="uk-UA"/>
        </w:rPr>
        <w:t>Пенсионные фонды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>Сберегательные банки</w:t>
      </w:r>
      <w:r>
        <w:rPr>
          <w:noProof/>
          <w:szCs w:val="22"/>
          <w:lang w:val="uk-UA"/>
        </w:rPr>
        <w:t xml:space="preserve">        </w:t>
      </w:r>
      <w:r>
        <w:rPr>
          <w:noProof/>
          <w:szCs w:val="22"/>
          <w:lang w:val="uk-UA"/>
        </w:rPr>
        <w:tab/>
        <w:t xml:space="preserve">          </w:t>
      </w:r>
      <w:r>
        <w:rPr>
          <w:szCs w:val="22"/>
          <w:lang w:val="uk-UA"/>
        </w:rPr>
        <w:t xml:space="preserve">Ломбарды  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</w:rPr>
        <w:t xml:space="preserve">                            </w:t>
      </w:r>
      <w:r>
        <w:rPr>
          <w:szCs w:val="22"/>
          <w:lang w:val="uk-UA"/>
        </w:rPr>
        <w:tab/>
        <w:t>Банки потребительского</w:t>
      </w:r>
      <w:r>
        <w:rPr>
          <w:noProof/>
          <w:szCs w:val="22"/>
          <w:lang w:val="uk-UA"/>
        </w:rPr>
        <w:t xml:space="preserve">         </w:t>
      </w:r>
      <w:r>
        <w:rPr>
          <w:szCs w:val="22"/>
          <w:lang w:val="uk-UA"/>
        </w:rPr>
        <w:t>Трастовые компании</w:t>
      </w:r>
    </w:p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 xml:space="preserve">кредита                        </w:t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 xml:space="preserve">и др. </w:t>
      </w:r>
      <w:bookmarkStart w:id="6" w:name="OCRUncertain057"/>
    </w:p>
    <w:bookmarkEnd w:id="6"/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 xml:space="preserve">Отраслевые банки </w:t>
      </w:r>
      <w:bookmarkStart w:id="7" w:name="OCRUncertain058"/>
    </w:p>
    <w:bookmarkEnd w:id="7"/>
    <w:p w:rsidR="00E54143" w:rsidRDefault="00E54143" w:rsidP="00E54143">
      <w:pPr>
        <w:overflowPunct w:val="0"/>
        <w:autoSpaceDE w:val="0"/>
        <w:autoSpaceDN w:val="0"/>
        <w:adjustRightInd w:val="0"/>
        <w:spacing w:line="360" w:lineRule="auto"/>
        <w:ind w:right="1036" w:firstLine="820"/>
        <w:textAlignment w:val="baseline"/>
        <w:rPr>
          <w:szCs w:val="22"/>
          <w:lang w:val="uk-UA"/>
        </w:rPr>
      </w:pPr>
      <w:r>
        <w:rPr>
          <w:szCs w:val="22"/>
          <w:lang w:val="uk-UA"/>
        </w:rPr>
        <w:tab/>
      </w:r>
      <w:r>
        <w:rPr>
          <w:szCs w:val="22"/>
          <w:lang w:val="uk-UA"/>
        </w:rPr>
        <w:tab/>
      </w:r>
      <w:r>
        <w:rPr>
          <w:szCs w:val="22"/>
          <w:lang w:val="uk-UA"/>
        </w:rPr>
        <w:tab/>
        <w:t>Внутрипроизводственные банки</w:t>
      </w:r>
    </w:p>
    <w:p w:rsidR="00797EC3" w:rsidRPr="00FE6E9B" w:rsidRDefault="00CB16A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bCs/>
          <w:sz w:val="28"/>
          <w:szCs w:val="28"/>
        </w:rPr>
        <w:t>Рисунок</w:t>
      </w:r>
      <w:r w:rsidR="00FE6E9B">
        <w:rPr>
          <w:bCs/>
          <w:sz w:val="28"/>
          <w:szCs w:val="28"/>
        </w:rPr>
        <w:t xml:space="preserve"> </w:t>
      </w:r>
      <w:r w:rsidR="00797EC3" w:rsidRPr="00FE6E9B">
        <w:rPr>
          <w:bCs/>
          <w:sz w:val="28"/>
          <w:szCs w:val="28"/>
        </w:rPr>
        <w:t>1.</w:t>
      </w:r>
      <w:r w:rsidR="00FE6E9B">
        <w:rPr>
          <w:sz w:val="28"/>
          <w:szCs w:val="28"/>
        </w:rPr>
        <w:t xml:space="preserve"> </w:t>
      </w:r>
      <w:r w:rsidR="00797EC3" w:rsidRPr="00FE6E9B">
        <w:rPr>
          <w:bCs/>
          <w:sz w:val="28"/>
          <w:szCs w:val="28"/>
        </w:rPr>
        <w:t>Схема</w:t>
      </w:r>
      <w:r w:rsidR="00FE6E9B">
        <w:rPr>
          <w:bCs/>
          <w:sz w:val="28"/>
          <w:szCs w:val="28"/>
        </w:rPr>
        <w:t xml:space="preserve"> </w:t>
      </w:r>
      <w:r w:rsidR="00797EC3" w:rsidRPr="00FE6E9B">
        <w:rPr>
          <w:bCs/>
          <w:sz w:val="28"/>
          <w:szCs w:val="28"/>
        </w:rPr>
        <w:t>банковской</w:t>
      </w:r>
      <w:r w:rsidR="00FE6E9B">
        <w:rPr>
          <w:bCs/>
          <w:sz w:val="28"/>
          <w:szCs w:val="28"/>
        </w:rPr>
        <w:t xml:space="preserve"> </w:t>
      </w:r>
      <w:r w:rsidR="00797EC3" w:rsidRPr="00FE6E9B">
        <w:rPr>
          <w:bCs/>
          <w:sz w:val="28"/>
          <w:szCs w:val="28"/>
        </w:rPr>
        <w:t>системы</w:t>
      </w:r>
      <w:r w:rsidR="00FE6E9B">
        <w:rPr>
          <w:bCs/>
          <w:sz w:val="28"/>
          <w:szCs w:val="28"/>
        </w:rPr>
        <w:t xml:space="preserve"> </w:t>
      </w:r>
      <w:r w:rsidR="00797EC3" w:rsidRPr="00FE6E9B">
        <w:rPr>
          <w:bCs/>
          <w:sz w:val="28"/>
          <w:szCs w:val="28"/>
        </w:rPr>
        <w:t>любой</w:t>
      </w:r>
      <w:r w:rsidR="00FE6E9B">
        <w:rPr>
          <w:bCs/>
          <w:sz w:val="28"/>
          <w:szCs w:val="28"/>
        </w:rPr>
        <w:t xml:space="preserve"> </w:t>
      </w:r>
      <w:r w:rsidR="00797EC3" w:rsidRPr="00FE6E9B">
        <w:rPr>
          <w:bCs/>
          <w:sz w:val="28"/>
          <w:szCs w:val="28"/>
        </w:rPr>
        <w:t>страны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[9]</w:t>
      </w:r>
    </w:p>
    <w:p w:rsidR="00797EC3" w:rsidRPr="00FE6E9B" w:rsidRDefault="00797EC3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необходимо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рассматривать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взаимодействует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бюджетная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налоговая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торговая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Сравнивая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выявить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подтверждает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характер,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сугубо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подчеркивают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специфичность.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отнести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[8]</w:t>
      </w:r>
      <w:r w:rsidRPr="00FE6E9B">
        <w:rPr>
          <w:sz w:val="28"/>
          <w:szCs w:val="28"/>
        </w:rPr>
        <w:t>: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объединение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многих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однотипных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элементов,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подчиняются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одинаковым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целям.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банки;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одинаковость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оказывается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борьбе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ликвидность;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динамичность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системы.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развивается,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адаптируясь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ситуации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стране.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адаптировала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согласно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требованиям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продолжает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совершенствовать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возрастает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количество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совершенствуются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методы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расширяется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круг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закрытость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системы.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«закрытого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типа»,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концентрации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внимания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преимущественно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сферой.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Например,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запрещено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заниматься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производственной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торговлей,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запрещено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заниматься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сугубо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деятельностью.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того,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объём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информации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тайной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разглашаться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передаваться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Вместе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закрытость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довольно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относительной.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Ведь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функционально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взаимодействуют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испытают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влияние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проникают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саморегуляция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системы.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способность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самонастройке,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саморегулированию: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банкротится,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«нишу»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немедленно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занимают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банки;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ситуация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немедленно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адекватно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методы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произошло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период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гиперинфляции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1992-1994гг.,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когда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превратились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универсальные,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чтобы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выжить.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характерные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выделяют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ряда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отнести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[8]</w:t>
      </w:r>
      <w:r w:rsidRPr="00FE6E9B">
        <w:rPr>
          <w:sz w:val="28"/>
          <w:szCs w:val="28"/>
        </w:rPr>
        <w:t>: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двухуровневое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построение;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углубленное,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движения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наличие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общесистемной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функциональное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взаимодействие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банков;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гибкое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управляемости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сохранением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ответственности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результаты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входит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iCs/>
          <w:sz w:val="28"/>
          <w:szCs w:val="28"/>
        </w:rPr>
        <w:t>Двухуровневое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построение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ключевой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принцип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экономиках,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решающий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качественный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признак,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отличает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Одноуровневое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лишь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тоталитарных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экономиках,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достаточно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административно-командных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эмисионно-кассовую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кредитно-расчетное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клиентуры,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СССР.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докапиталистических,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слабых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экономиках,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когда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набор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эмисионно-кассовых,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кредитно-расчетных.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двухуровневом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первом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уровне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находится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несколько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целями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например,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Германии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США).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учреждению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предоставляется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статус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центрального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банка.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возлагается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ответственность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макроэкономических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денежно-кредитной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поддержания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национальных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Хотя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участии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успех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достигнут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соответствующей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координации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Возлагается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координация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соответствующими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полномочиями.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втором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уровне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находится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остальные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принято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называть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коммерческими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зарубежных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называют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Преимущественно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комплекс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базовых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акционерной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основе.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Кроме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спектр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кооперативных,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частных,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специализированных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отличие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призваны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участников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оборота: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фирмы,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семейные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народное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согласно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вытекают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денежно-кредитной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Поэтому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рассматривать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фундамент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вершиной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Cs/>
          <w:sz w:val="28"/>
          <w:szCs w:val="28"/>
        </w:rPr>
      </w:pP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самостоятельными,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равноправными,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конкурирующими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юридически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строят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получения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Ради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испытывая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риски: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процентные,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iCs/>
          <w:sz w:val="28"/>
          <w:szCs w:val="28"/>
        </w:rPr>
        <w:t>Двухуровневость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характеризуется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четким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размежеванием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обязанностей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звена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посредников.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многих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предоставлено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лицензирования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устанавливать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нормативы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надзор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запрещают,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хозяйственную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клиентуру.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защищаются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конкуренции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обеспечиваются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bCs/>
          <w:sz w:val="28"/>
          <w:szCs w:val="28"/>
        </w:rPr>
        <w:t>Централизованное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банковской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деятельности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признак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регулятивной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функцией.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влияние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признак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эмиссионная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Проблема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наиболее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угрожающих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ущерб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многих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клиентов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юридических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физических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лиц,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это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потрясение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всей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экономической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системы.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Поэтому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борьба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обстоятельство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закреплено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законодательстве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предусматривает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мероприятий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нормированию,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ограничению,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страхованию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Реализация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мероприятий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призвана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стабильную,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бесперебойную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работу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надзором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участия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уполномоченных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органов.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Централизованное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движения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предопределяется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эмиссионной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обязаны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сохранять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свободные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(средства)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счетах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контролировать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движение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счетам.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появлении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чрезмерных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угрожают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чрезмерным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ростом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нарушением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конъюнктуры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заблокировать,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повысить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обязательных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сузив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предоставлять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новые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нужно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увеличить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расширить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снижает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предоставлять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последним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ссуду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дополнительные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случае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увеличивается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потенциал,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новые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деньги,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приводит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увеличению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bCs/>
          <w:sz w:val="28"/>
          <w:szCs w:val="28"/>
        </w:rPr>
        <w:t>Создание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единого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замкнутого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движения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є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определяющим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организационно-правовым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признаком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особой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структуры.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bCs/>
          <w:sz w:val="28"/>
          <w:szCs w:val="28"/>
        </w:rPr>
        <w:t>Наличие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iCs/>
          <w:sz w:val="28"/>
          <w:szCs w:val="28"/>
        </w:rPr>
        <w:t>общесистемной</w:t>
      </w:r>
      <w:r w:rsidR="00FE6E9B">
        <w:rPr>
          <w:bCs/>
          <w:iCs/>
          <w:sz w:val="28"/>
          <w:szCs w:val="28"/>
        </w:rPr>
        <w:t xml:space="preserve"> </w:t>
      </w:r>
      <w:r w:rsidRPr="00FE6E9B">
        <w:rPr>
          <w:bCs/>
          <w:iCs/>
          <w:sz w:val="28"/>
          <w:szCs w:val="28"/>
        </w:rPr>
        <w:t>инфраструктуры,</w:t>
      </w:r>
      <w:r w:rsidR="00FE6E9B">
        <w:rPr>
          <w:bCs/>
          <w:i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которая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имеет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межбанковское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назначение,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координацию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Речь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(расчетных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палат,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клиринговых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центров),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технического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технологического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обслуживания,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информационных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учебных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фондов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относительно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кредитоспособности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заемщиков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т.п..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Важным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системостворюючої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ассоциации,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объединения.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Самые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будучи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банков-членов,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разнообразные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представляют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защищают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правительством,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парламентом;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информационное,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консультационное,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банков-членов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[9]</w:t>
      </w:r>
      <w:r w:rsidRPr="00FE6E9B">
        <w:rPr>
          <w:sz w:val="28"/>
          <w:szCs w:val="28"/>
        </w:rPr>
        <w:t>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Конечно,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функционирует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понимании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исключением.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чрезвычайно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сложной,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многопрофильной,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жизненно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необходимой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некоторых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крайне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неэффективным,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невозможным.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первые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единого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вследствие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предприятиями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невероятно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затягивали,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нередко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срывались,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вследствие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значительный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убытки.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Сейчас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действует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базе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электронных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технологий,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межхозяйственные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немедленно,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режиме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времени.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Гибкое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управляемости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децентрализацией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ответственности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еще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отличительная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Конечно,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проблемы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подобного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децентрализацией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ответственности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системах.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нигде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проявляются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остро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масштабно,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ответственность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инвесторами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вкладчиками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полностью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полагается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принятия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адекватных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управленческих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решений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руководством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существенным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управления.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противоречивость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действительности.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Особенно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ярко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проявилась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високорозвинуту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здесь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оказалось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противоречивых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контролируется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тщательно,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любая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область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80-те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движение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дерегулирования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(ослабление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принято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несколько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ослабили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ограничения,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упростили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Подобные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тенденции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наблюдать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странах.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Современное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законодательство,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несмотря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объективные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консолидации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внимания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уделяет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гарантированию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равных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доступа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свободы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конкуренции,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свободы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выбора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тенденции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интеграции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привести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преобразованию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единый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(монобанк),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монопольно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подчинив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интересам.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наличии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указанных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гарантий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существенным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повышает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посреднический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потенциал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экономике.</w:t>
      </w:r>
    </w:p>
    <w:p w:rsidR="00B2661C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Итак,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механическая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совокупность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многих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единый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руководствуется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офиса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банка),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организационно-правовая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особыми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методами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инструментами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целом.</w:t>
      </w:r>
    </w:p>
    <w:p w:rsidR="00E54143" w:rsidRDefault="00E54143" w:rsidP="00FE6E9B">
      <w:pPr>
        <w:pStyle w:val="a3"/>
        <w:spacing w:before="0" w:after="0"/>
        <w:ind w:firstLine="709"/>
        <w:jc w:val="both"/>
        <w:outlineLvl w:val="9"/>
        <w:rPr>
          <w:b w:val="0"/>
          <w:lang w:eastAsia="uk-UA"/>
        </w:rPr>
      </w:pPr>
      <w:bookmarkStart w:id="8" w:name="_Toc215339220"/>
    </w:p>
    <w:p w:rsidR="00546520" w:rsidRPr="00E54143" w:rsidRDefault="00546520" w:rsidP="00E54143">
      <w:pPr>
        <w:pStyle w:val="a3"/>
        <w:spacing w:before="0" w:after="0"/>
        <w:ind w:firstLine="709"/>
        <w:outlineLvl w:val="9"/>
        <w:rPr>
          <w:lang w:eastAsia="uk-UA"/>
        </w:rPr>
      </w:pPr>
      <w:r w:rsidRPr="00E54143">
        <w:rPr>
          <w:lang w:eastAsia="uk-UA"/>
        </w:rPr>
        <w:t>Национальный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банк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–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главный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элемент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банковской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системы</w:t>
      </w:r>
      <w:r w:rsidR="00FE6E9B" w:rsidRPr="00E54143">
        <w:rPr>
          <w:lang w:eastAsia="uk-UA"/>
        </w:rPr>
        <w:t xml:space="preserve"> </w:t>
      </w:r>
      <w:r w:rsidRPr="00E54143">
        <w:rPr>
          <w:lang w:eastAsia="uk-UA"/>
        </w:rPr>
        <w:t>Украины</w:t>
      </w:r>
      <w:bookmarkEnd w:id="8"/>
    </w:p>
    <w:p w:rsidR="00E54143" w:rsidRPr="00E54143" w:rsidRDefault="00E54143" w:rsidP="00E54143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eastAsia="uk-UA"/>
        </w:rPr>
      </w:pP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Создание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новой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основе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началось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1991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принятием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Закона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"Страны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деятельности",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согласно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которому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заложены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основы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классической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двухуровневой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включает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верхний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нижний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уровни,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также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определено,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принадлежат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каждому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уровней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будет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механизм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связей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между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ними.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результате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дезинтеграции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бывшего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Советского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Союза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украинское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отделение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СССР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вынуждено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принять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решения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распределении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ассигнований,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поскольку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союзный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подготовил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плана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начало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1991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базе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республиканского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отделения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СССР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создан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(НБУ).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летом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1991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инструкции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союзного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имели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обязывающего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действия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Украине,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25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декабря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1991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СССР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официально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ликвидирован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центральным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Законом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предусматривается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функционирование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двухуровневой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действовал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центральный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остальные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осуществляли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первого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уровня.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выполняет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традиционные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характерны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центрального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государства: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эмиссионный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расчетный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центр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государства,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банкир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правительства.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независимым.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подчиняется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Верховной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Раде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Кабинету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Министров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принятием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закона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банке"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(май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1999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четко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определен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статус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центрального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разграничены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Следовательно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это:</w:t>
      </w:r>
    </w:p>
    <w:p w:rsidR="00546520" w:rsidRPr="00FE6E9B" w:rsidRDefault="00546520" w:rsidP="00FE6E9B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единственный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эмиссионный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центр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страны,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владеет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манопольним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правом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эмиссию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банкнот,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организацию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регуляцию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обращения;</w:t>
      </w:r>
    </w:p>
    <w:p w:rsidR="00546520" w:rsidRPr="00FE6E9B" w:rsidRDefault="00546520" w:rsidP="00FE6E9B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занимается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кредитно-расчетным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обслуживанием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других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заведений,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выдает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банкам,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организовывает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механизм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межбанковского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кредитования;</w:t>
      </w:r>
    </w:p>
    <w:p w:rsidR="00546520" w:rsidRPr="00FE6E9B" w:rsidRDefault="00546520" w:rsidP="00FE6E9B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правительства.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занимается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кредитно-расчетным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обслуживанием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яуряду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-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кассиром,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осуществляет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осблуговуванню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внтрішнього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долга.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финансовым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консультантом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т.і.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проводит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аукционы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рз\озміщенню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облигаций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правительства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занимается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погашением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выплатой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відстків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ними,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следит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кассовым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выполнением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бюджета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банками;</w:t>
      </w:r>
    </w:p>
    <w:p w:rsidR="00546520" w:rsidRPr="00FE6E9B" w:rsidRDefault="00546520" w:rsidP="00FE6E9B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проводник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официальной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денежно-кредитной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политики,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отмечает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цель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направление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денежно-кредитной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политики,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связаны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обеспечением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стойкости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единицы.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осуществляет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регуляцию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курса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единицы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относительно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валюты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других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путем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валютных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интервенций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открытом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рынке;</w:t>
      </w:r>
    </w:p>
    <w:p w:rsidR="00546520" w:rsidRPr="00FE6E9B" w:rsidRDefault="00546520" w:rsidP="00FE6E9B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управляющий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золотовалютными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резервами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государства;</w:t>
      </w:r>
    </w:p>
    <w:p w:rsidR="00546520" w:rsidRPr="00FE6E9B" w:rsidRDefault="00546520" w:rsidP="00FE6E9B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представитель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интересов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международных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финансово-кредитных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организациях.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возлагаются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контроля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выполнением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законодательства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деятельности,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соблюдением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нормативов.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осуществляет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государственную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регистрацию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учреждений,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также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лицензирования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банківских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операций,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устанавливает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единственные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правила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проведения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операций,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бухгалтерского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учета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отчетности,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защиты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информации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средств.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Однако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стратегической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целью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важнейшей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обязанностью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создание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благоприятной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действуют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другие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финансовые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учреждения.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означает,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основной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целью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деятельности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являются: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1)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защита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обеспечение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стабильности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валюты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Украины;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2)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укрепление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системы;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3)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обеспечение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эффективного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бесперебойного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функционирования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расчетов.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Надежная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платежная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система,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удовлетворяет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потребности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юридических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физических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лиц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безопасном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эффективном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переводе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средств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предпосылка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успешного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рыночной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каждой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страны;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4)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установление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поддержка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конкурентной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среды;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5)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стимулирование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использования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новых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инструментов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денежно-кредитной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политики.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Значительным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достижением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стал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ввод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электорнных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межбанковских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платежей.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Ещё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одним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прогрессивным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шагом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внедрение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электронной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почты,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благодаря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может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получать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ежедневный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баланс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системы.</w:t>
      </w:r>
    </w:p>
    <w:p w:rsidR="00E54143" w:rsidRDefault="00E54143" w:rsidP="00FE6E9B">
      <w:pPr>
        <w:pStyle w:val="a3"/>
        <w:spacing w:before="0" w:after="0"/>
        <w:ind w:firstLine="709"/>
        <w:jc w:val="both"/>
        <w:outlineLvl w:val="9"/>
        <w:rPr>
          <w:b w:val="0"/>
        </w:rPr>
      </w:pPr>
      <w:bookmarkStart w:id="9" w:name="_Toc215339221"/>
      <w:bookmarkStart w:id="10" w:name="_Toc215339222"/>
    </w:p>
    <w:p w:rsidR="00B2661C" w:rsidRPr="00E54143" w:rsidRDefault="00B2661C" w:rsidP="00E54143">
      <w:pPr>
        <w:pStyle w:val="a3"/>
        <w:spacing w:before="0" w:after="0"/>
        <w:ind w:firstLine="709"/>
        <w:outlineLvl w:val="9"/>
      </w:pPr>
      <w:r w:rsidRPr="00E54143">
        <w:t>ФУНКЦИИ</w:t>
      </w:r>
      <w:r w:rsidR="00FE6E9B" w:rsidRPr="00E54143">
        <w:t xml:space="preserve"> </w:t>
      </w:r>
      <w:r w:rsidRPr="00E54143">
        <w:t>и</w:t>
      </w:r>
      <w:r w:rsidR="00FE6E9B" w:rsidRPr="00E54143">
        <w:t xml:space="preserve"> </w:t>
      </w:r>
      <w:r w:rsidRPr="00E54143">
        <w:t>роль</w:t>
      </w:r>
      <w:r w:rsidR="00FE6E9B" w:rsidRPr="00E54143">
        <w:t xml:space="preserve"> </w:t>
      </w:r>
      <w:r w:rsidRPr="00E54143">
        <w:t>банковской</w:t>
      </w:r>
      <w:r w:rsidR="00FE6E9B" w:rsidRPr="00E54143">
        <w:t xml:space="preserve"> </w:t>
      </w:r>
      <w:r w:rsidRPr="00E54143">
        <w:t>системы</w:t>
      </w:r>
      <w:r w:rsidR="00FE6E9B" w:rsidRPr="00E54143">
        <w:t xml:space="preserve"> </w:t>
      </w:r>
      <w:r w:rsidRPr="00E54143">
        <w:t>в</w:t>
      </w:r>
      <w:r w:rsidR="00FE6E9B" w:rsidRPr="00E54143">
        <w:t xml:space="preserve"> </w:t>
      </w:r>
      <w:r w:rsidRPr="00E54143">
        <w:t>экономике</w:t>
      </w:r>
      <w:r w:rsidR="00FE6E9B" w:rsidRPr="00E54143">
        <w:t xml:space="preserve"> </w:t>
      </w:r>
      <w:r w:rsidRPr="00E54143">
        <w:t>государства</w:t>
      </w:r>
      <w:bookmarkEnd w:id="9"/>
      <w:bookmarkEnd w:id="10"/>
    </w:p>
    <w:p w:rsidR="00E54143" w:rsidRDefault="00E54143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615438" w:rsidRPr="00FE6E9B" w:rsidRDefault="00B2661C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Роль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значение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="00615438"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="00615438" w:rsidRPr="00FE6E9B">
        <w:rPr>
          <w:sz w:val="28"/>
          <w:szCs w:val="28"/>
        </w:rPr>
        <w:t>проявляется</w:t>
      </w:r>
      <w:r w:rsidR="00FE6E9B">
        <w:rPr>
          <w:sz w:val="28"/>
          <w:szCs w:val="28"/>
        </w:rPr>
        <w:t xml:space="preserve"> </w:t>
      </w:r>
      <w:r w:rsidR="00615438"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="00615438"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целях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функциях</w:t>
      </w:r>
      <w:r w:rsidR="00615438" w:rsidRPr="00FE6E9B">
        <w:rPr>
          <w:sz w:val="28"/>
          <w:szCs w:val="28"/>
        </w:rPr>
        <w:t>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Главной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получения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касается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увеличивается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пропорционально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количеству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входят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вообще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перемещается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план,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оставаясь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лишь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выходят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цели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[8]</w:t>
      </w:r>
      <w:r w:rsidRPr="00FE6E9B">
        <w:rPr>
          <w:sz w:val="28"/>
          <w:szCs w:val="28"/>
        </w:rPr>
        <w:t>: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надзора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согласования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общественными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интересами;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надежности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бесперебойного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силам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могущественным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скоординированное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сориентированную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указанные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делает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достижение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реальным.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выразительно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отличие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способна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функции: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трансформационную;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платежных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оборота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(эмиссионную);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(стабилизационная).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Трансформационная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базируется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аналогичной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суммой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составления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подобной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входят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масштабах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возникает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качественно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масштабная,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глубокая,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завершенная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эффективная,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сумма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трансформационных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потенциалов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предопределяется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двумя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обстоятельствами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[11</w:t>
      </w:r>
      <w:r w:rsidR="00B533C0" w:rsidRPr="00FE6E9B">
        <w:rPr>
          <w:sz w:val="28"/>
          <w:szCs w:val="28"/>
        </w:rPr>
        <w:t>]</w:t>
      </w:r>
      <w:r w:rsidRPr="00FE6E9B">
        <w:rPr>
          <w:sz w:val="28"/>
          <w:szCs w:val="28"/>
        </w:rPr>
        <w:t>: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во-первых,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трансформационный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активно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включается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банк.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Как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банк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банков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он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активно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осуществляет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все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виды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трансформационных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процессов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на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межбанковском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уровне.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рефинансирования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(кредитные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аукционы,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«учетное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окно»,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«ломбардное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окно»,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прямое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трансформирует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ресурсы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срокам,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размерам,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региональном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аспекте,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еще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масштабах,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завершает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трансформационные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пределах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начатые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непосредственно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во-вторых,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существенным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повышает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трансформационный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потенциал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узкоспециализированных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Встроенные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получают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кооперации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универсальными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например,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Сбербанк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специализируется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операциях,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мобилизованные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Совместно,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комплекс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платежных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оборота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(эмиссионная)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заключается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оперативно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массу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обращении,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увеличивая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уменьшая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согласно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спроса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деньги.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словами,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</w:t>
      </w:r>
      <w:r w:rsidR="00546520" w:rsidRPr="00FE6E9B">
        <w:rPr>
          <w:sz w:val="28"/>
          <w:szCs w:val="28"/>
        </w:rPr>
        <w:t>7</w:t>
      </w:r>
      <w:r w:rsidR="00B533C0" w:rsidRPr="00FE6E9B">
        <w:rPr>
          <w:sz w:val="28"/>
          <w:szCs w:val="28"/>
        </w:rPr>
        <w:t>]</w:t>
      </w:r>
      <w:r w:rsidRPr="00FE6E9B">
        <w:rPr>
          <w:sz w:val="28"/>
          <w:szCs w:val="28"/>
        </w:rPr>
        <w:t>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ключевая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принимают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участие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звенья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касается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направлений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кредитной.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Эта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качественно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отличается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аналогичной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потенциально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способен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принимать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участие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заинтересован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расширять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поскольку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дополнительные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доходы.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границы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адекватные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спросу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деньги,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ввести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границы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эмиссионную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достигается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методами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инструментами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денежно-кредитной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реализацию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Функция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(стабилизационная)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связана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чрезвычайно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отличие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содержат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себе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повышенную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угрозу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дестабилизации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разлада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провоцирование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общеэкономического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кризиса.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Поэтому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стабилизационной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скорее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оборот</w:t>
      </w:r>
      <w:r w:rsidR="00FE6E9B">
        <w:rPr>
          <w:sz w:val="28"/>
          <w:szCs w:val="28"/>
        </w:rPr>
        <w:t xml:space="preserve"> </w:t>
      </w:r>
      <w:r w:rsidR="00B533C0" w:rsidRPr="00FE6E9B">
        <w:rPr>
          <w:sz w:val="28"/>
          <w:szCs w:val="28"/>
        </w:rPr>
        <w:t>[4]</w:t>
      </w:r>
      <w:r w:rsidRPr="00FE6E9B">
        <w:rPr>
          <w:sz w:val="28"/>
          <w:szCs w:val="28"/>
        </w:rPr>
        <w:t>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преимущественно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счет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чужих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акционерного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привлеченных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вкладчиков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ссуд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Поэтому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находятся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давлением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количества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акционеров,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слухами,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ожиданиями,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предположениями.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Поэтому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висит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угроза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паники,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вызвать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обвальное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изъятие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банкротство,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своевременно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остановить.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Кроме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того,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давлением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кредиторов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владельцев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вынуждены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вкладывать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высокодоходные,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низколиквидные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активы,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рискуя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потерять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доверие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вкладчиков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вызвать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панику.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доверие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предприятия,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«зарабатывать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деньги»,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предоставляя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ссуды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клиентам.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наверное,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высокорентабельный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производства,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витает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«соблазн»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«заработать»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оснований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нужно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касается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поведение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погоней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прибылью,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ситуацией,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сложилась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стране.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должны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брать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себя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ответственность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инвесторами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заемщиков.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потенциально,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благодаря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широким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масштабам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способны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рассредоточить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максимально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смягчить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инвесторов.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успеха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достичь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лишь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условии,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решаться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усилиями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силам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действующий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депозитов.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Выполнение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стабилизационной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двояко: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принятии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ряда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нормативных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регламентируют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звеньев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узкоспециализированным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</w:t>
      </w:r>
      <w:r w:rsidR="00FE6E9B">
        <w:rPr>
          <w:sz w:val="28"/>
          <w:szCs w:val="28"/>
        </w:rPr>
        <w:t xml:space="preserve"> </w:t>
      </w:r>
      <w:r w:rsidR="009B10E5"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="009B10E5" w:rsidRPr="00FE6E9B">
        <w:rPr>
          <w:sz w:val="28"/>
          <w:szCs w:val="28"/>
        </w:rPr>
        <w:t>одной</w:t>
      </w:r>
      <w:r w:rsidR="00FE6E9B">
        <w:rPr>
          <w:sz w:val="28"/>
          <w:szCs w:val="28"/>
        </w:rPr>
        <w:t xml:space="preserve"> </w:t>
      </w:r>
      <w:r w:rsidR="009B10E5" w:rsidRPr="00FE6E9B">
        <w:rPr>
          <w:sz w:val="28"/>
          <w:szCs w:val="28"/>
        </w:rPr>
        <w:t>стороны</w:t>
      </w:r>
      <w:r w:rsidRPr="00FE6E9B">
        <w:rPr>
          <w:sz w:val="28"/>
          <w:szCs w:val="28"/>
        </w:rPr>
        <w:t>;</w:t>
      </w:r>
      <w:r w:rsidR="00FE6E9B">
        <w:rPr>
          <w:sz w:val="28"/>
          <w:szCs w:val="28"/>
        </w:rPr>
        <w:t xml:space="preserve"> </w:t>
      </w:r>
      <w:r w:rsidR="009B10E5"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="009B10E5" w:rsidRPr="00FE6E9B">
        <w:rPr>
          <w:sz w:val="28"/>
          <w:szCs w:val="28"/>
        </w:rPr>
        <w:t>другой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действующего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надзора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соблюдением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вообще.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специальные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включают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[11</w:t>
      </w:r>
      <w:r w:rsidR="00B533C0" w:rsidRPr="00FE6E9B">
        <w:rPr>
          <w:sz w:val="28"/>
          <w:szCs w:val="28"/>
        </w:rPr>
        <w:t>]</w:t>
      </w:r>
      <w:r w:rsidRPr="00FE6E9B">
        <w:rPr>
          <w:sz w:val="28"/>
          <w:szCs w:val="28"/>
        </w:rPr>
        <w:t>: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кредитных;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страхование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физических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лиц;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внутрибанковских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покрытия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ущерба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обязательного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депозитов;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установление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нормативов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направлениям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связаны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наибольшими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рисками;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надзора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деятельностью;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централизованного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рефинансирования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узаконение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(создание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консорциумов,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картелей,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трестов,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концернов,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холдингов).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Cs/>
          <w:sz w:val="28"/>
          <w:szCs w:val="28"/>
        </w:rPr>
      </w:pPr>
      <w:r w:rsidRPr="00FE6E9B">
        <w:rPr>
          <w:iCs/>
          <w:sz w:val="28"/>
          <w:szCs w:val="28"/>
        </w:rPr>
        <w:t>Консорциум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добровольное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нескольких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силам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(кредитование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проектов,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размещение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эмиссий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бумаг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т.п.).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распадаться.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сохраняет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юридическую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самостоятельность.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Подобный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характер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синдикат.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iCs/>
          <w:sz w:val="28"/>
          <w:szCs w:val="28"/>
        </w:rPr>
        <w:t>Картель</w:t>
      </w:r>
      <w:r w:rsidR="00FE6E9B">
        <w:rPr>
          <w:iCs/>
          <w:sz w:val="28"/>
          <w:szCs w:val="28"/>
        </w:rPr>
        <w:t xml:space="preserve"> </w:t>
      </w:r>
      <w:r w:rsidR="00B2661C" w:rsidRPr="00FE6E9B">
        <w:rPr>
          <w:iCs/>
          <w:sz w:val="28"/>
          <w:szCs w:val="28"/>
        </w:rPr>
        <w:t>представляет</w:t>
      </w:r>
      <w:r w:rsidR="00FE6E9B">
        <w:rPr>
          <w:iCs/>
          <w:sz w:val="28"/>
          <w:szCs w:val="28"/>
        </w:rPr>
        <w:t xml:space="preserve"> </w:t>
      </w:r>
      <w:r w:rsidR="00B2661C" w:rsidRPr="00FE6E9B">
        <w:rPr>
          <w:iCs/>
          <w:sz w:val="28"/>
          <w:szCs w:val="28"/>
        </w:rPr>
        <w:t>собой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заключение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соглашения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несколькими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относительно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проведения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единой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(процентной,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дивидендной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т.п.).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сохраняется.</w:t>
      </w:r>
      <w:r w:rsidR="00FE6E9B">
        <w:rPr>
          <w:sz w:val="28"/>
          <w:szCs w:val="28"/>
        </w:rPr>
        <w:t xml:space="preserve"> </w:t>
      </w:r>
      <w:r w:rsidRPr="00FE6E9B">
        <w:rPr>
          <w:iCs/>
          <w:sz w:val="28"/>
          <w:szCs w:val="28"/>
        </w:rPr>
        <w:t>Концерн</w:t>
      </w:r>
      <w:r w:rsidR="00FE6E9B">
        <w:rPr>
          <w:iCs/>
          <w:sz w:val="28"/>
          <w:szCs w:val="28"/>
        </w:rPr>
        <w:t xml:space="preserve"> </w:t>
      </w:r>
      <w:r w:rsidR="00B2661C" w:rsidRPr="00FE6E9B">
        <w:rPr>
          <w:iCs/>
          <w:sz w:val="28"/>
          <w:szCs w:val="28"/>
        </w:rPr>
        <w:t>является</w:t>
      </w:r>
      <w:r w:rsidR="00FE6E9B">
        <w:rPr>
          <w:iCs/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B2661C" w:rsidRPr="00FE6E9B">
        <w:rPr>
          <w:sz w:val="28"/>
          <w:szCs w:val="28"/>
        </w:rPr>
        <w:t>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нескольких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руководством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владельцем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пакета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существенным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ограничивается,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хотя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акционерными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обществами.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</w:t>
      </w:r>
      <w:r w:rsidR="00B2661C" w:rsidRPr="00FE6E9B">
        <w:rPr>
          <w:sz w:val="28"/>
          <w:szCs w:val="28"/>
        </w:rPr>
        <w:t>м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iCs/>
          <w:sz w:val="28"/>
          <w:szCs w:val="28"/>
        </w:rPr>
        <w:t>холдинг</w:t>
      </w:r>
      <w:r w:rsidR="00B2661C" w:rsidRPr="00FE6E9B">
        <w:rPr>
          <w:bCs/>
          <w:iCs/>
          <w:sz w:val="28"/>
          <w:szCs w:val="28"/>
        </w:rPr>
        <w:t>ом</w:t>
      </w:r>
      <w:r w:rsidR="00FE6E9B">
        <w:rPr>
          <w:bCs/>
          <w:iCs/>
          <w:sz w:val="28"/>
          <w:szCs w:val="28"/>
        </w:rPr>
        <w:t xml:space="preserve"> </w:t>
      </w:r>
      <w:r w:rsidR="00B2661C" w:rsidRPr="00FE6E9B">
        <w:rPr>
          <w:sz w:val="28"/>
          <w:szCs w:val="28"/>
        </w:rPr>
        <w:t>обычно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называют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концерн,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которого,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кроме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входят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небанковские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(страховые,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финансовые,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лизинговые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компании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т.п.).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iCs/>
          <w:sz w:val="28"/>
          <w:szCs w:val="28"/>
        </w:rPr>
        <w:t>Трест</w:t>
      </w:r>
      <w:r w:rsidR="00FE6E9B">
        <w:rPr>
          <w:bCs/>
          <w:iCs/>
          <w:sz w:val="28"/>
          <w:szCs w:val="28"/>
        </w:rPr>
        <w:t xml:space="preserve"> </w:t>
      </w:r>
      <w:r w:rsidRPr="00FE6E9B">
        <w:rPr>
          <w:bCs/>
          <w:iCs/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монопольное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объединение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путем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слияния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собственности.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превращается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акционерной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паевую,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теряют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юридическую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руководятся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филиалы.</w:t>
      </w:r>
      <w:r w:rsidRPr="00FE6E9B">
        <w:rPr>
          <w:bCs/>
          <w:sz w:val="28"/>
          <w:szCs w:val="28"/>
        </w:rPr>
        <w:t>)</w:t>
      </w:r>
      <w:r w:rsidR="00FE6E9B">
        <w:rPr>
          <w:bCs/>
          <w:sz w:val="28"/>
          <w:szCs w:val="28"/>
        </w:rPr>
        <w:t xml:space="preserve"> </w:t>
      </w:r>
      <w:r w:rsidR="00107EA8" w:rsidRPr="00FE6E9B">
        <w:rPr>
          <w:bCs/>
          <w:sz w:val="28"/>
          <w:szCs w:val="28"/>
        </w:rPr>
        <w:t>[</w:t>
      </w:r>
      <w:r w:rsidR="00B533C0" w:rsidRPr="00FE6E9B">
        <w:rPr>
          <w:bCs/>
          <w:sz w:val="28"/>
          <w:szCs w:val="28"/>
        </w:rPr>
        <w:t>8</w:t>
      </w:r>
      <w:r w:rsidR="00107EA8" w:rsidRPr="00FE6E9B">
        <w:rPr>
          <w:bCs/>
          <w:sz w:val="28"/>
          <w:szCs w:val="28"/>
        </w:rPr>
        <w:t>]</w:t>
      </w:r>
      <w:r w:rsidRPr="00FE6E9B">
        <w:rPr>
          <w:bCs/>
          <w:sz w:val="28"/>
          <w:szCs w:val="28"/>
        </w:rPr>
        <w:t>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мероприятиях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оказывается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организационно-правовое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стабилизационной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реализованный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лишь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пределах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специфическим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элементом,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превращает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совокупность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качественно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систему.</w:t>
      </w:r>
    </w:p>
    <w:p w:rsidR="00E54143" w:rsidRDefault="00E54143" w:rsidP="00FE6E9B">
      <w:pPr>
        <w:pStyle w:val="a3"/>
        <w:spacing w:before="0" w:after="0"/>
        <w:ind w:firstLine="709"/>
        <w:jc w:val="both"/>
        <w:outlineLvl w:val="9"/>
        <w:rPr>
          <w:b w:val="0"/>
        </w:rPr>
      </w:pPr>
      <w:bookmarkStart w:id="11" w:name="_Toc215339223"/>
    </w:p>
    <w:p w:rsidR="009F0D16" w:rsidRPr="00E54143" w:rsidRDefault="00615438" w:rsidP="00E54143">
      <w:pPr>
        <w:pStyle w:val="a3"/>
        <w:spacing w:before="0" w:after="0"/>
        <w:ind w:firstLine="709"/>
        <w:outlineLvl w:val="9"/>
      </w:pPr>
      <w:r w:rsidRPr="00E54143">
        <w:t>Особенности</w:t>
      </w:r>
      <w:r w:rsidR="00FE6E9B" w:rsidRPr="00E54143">
        <w:t xml:space="preserve"> </w:t>
      </w:r>
      <w:r w:rsidRPr="00E54143">
        <w:t>построения</w:t>
      </w:r>
      <w:r w:rsidR="00FE6E9B" w:rsidRPr="00E54143">
        <w:t xml:space="preserve"> </w:t>
      </w:r>
      <w:r w:rsidRPr="00E54143">
        <w:t>банковской</w:t>
      </w:r>
      <w:r w:rsidR="00FE6E9B" w:rsidRPr="00E54143">
        <w:t xml:space="preserve"> </w:t>
      </w:r>
      <w:r w:rsidRPr="00E54143">
        <w:t>системы</w:t>
      </w:r>
      <w:r w:rsidR="00FE6E9B" w:rsidRPr="00E54143">
        <w:t xml:space="preserve"> </w:t>
      </w:r>
      <w:r w:rsidRPr="00E54143">
        <w:t>в</w:t>
      </w:r>
      <w:r w:rsidR="00FE6E9B" w:rsidRPr="00E54143">
        <w:t xml:space="preserve"> </w:t>
      </w:r>
      <w:r w:rsidRPr="00E54143">
        <w:t>Украине</w:t>
      </w:r>
      <w:bookmarkEnd w:id="11"/>
    </w:p>
    <w:p w:rsidR="00E54143" w:rsidRDefault="00E54143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Формирование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провозглашением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независимости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выходом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СССР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1991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необходимых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предпосылок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Большинство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учреждений,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действовали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территории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80-х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лет,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филиалами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входили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СССР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управлялись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далеко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провозглашения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курса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перестройку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1988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активное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реформирование,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числе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территории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="00E54143"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законченных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республике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существования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относилось,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хотя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шла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речь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республик.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разработка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проекта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деятельности».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наивероятнее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имелось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реорганизовать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союзный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(Госбанк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СССР),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что-то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наподобие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Федеральной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самостоятельные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каждой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республике.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Начало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типа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деятельности»,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принятым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Верховной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Радой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марта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1991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принципы,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общепризнанные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мировой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практике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[1]</w:t>
      </w:r>
      <w:r w:rsidRPr="00FE6E9B">
        <w:rPr>
          <w:sz w:val="28"/>
          <w:szCs w:val="28"/>
        </w:rPr>
        <w:t>: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двухуровневое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построение;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четкое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функциональное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размежевание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первого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уровней;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договорных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отношениях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клиентурой;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ликвидация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монополии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дело,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либерализация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надзора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деятельностью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наложение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задачи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независимость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исполнительной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власти;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•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общесистемной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сформированной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правовой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концептуальной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короткий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срок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прошла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сложный,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довольно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результативный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путь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Найвагомішими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результаты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інституційно-структурному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развития.</w:t>
      </w:r>
    </w:p>
    <w:p w:rsidR="002C65B1" w:rsidRPr="00FE6E9B" w:rsidRDefault="002C65B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середине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1994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открытия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можно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сравнить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открытием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частного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предприятия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общества.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следствие,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число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конца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1992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превысило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90.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1992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130,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1993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207.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течение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трех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последующих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лет,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количество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достигло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230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стабилизировалась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уровне.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время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три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пяти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больших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государственных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"Промстройбанк",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"Житлосоцбанк",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"Агропромбанк"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преобр</w:t>
      </w:r>
      <w:r w:rsidR="00AF1486" w:rsidRPr="00FE6E9B">
        <w:rPr>
          <w:sz w:val="28"/>
          <w:szCs w:val="28"/>
          <w:lang w:eastAsia="uk-UA"/>
        </w:rPr>
        <w:t>азованы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акционерные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компании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"Проминвестбанк",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"Укрсоцбанк",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также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"Украина".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1992-1993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характеризуются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период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создания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"новой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волны".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период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результате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прогрессирующего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совместных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предприятий,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малых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предприятий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акционерных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компаний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создаются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AF1486" w:rsidRPr="00FE6E9B">
        <w:rPr>
          <w:sz w:val="28"/>
          <w:szCs w:val="28"/>
          <w:lang w:eastAsia="uk-UA"/>
        </w:rPr>
        <w:t>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значительной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долей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частного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капитала.</w:t>
      </w:r>
    </w:p>
    <w:p w:rsidR="002C65B1" w:rsidRPr="00FE6E9B" w:rsidRDefault="002C65B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Народнохозяйственное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значение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сектора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особенно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заметно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сни</w:t>
      </w:r>
      <w:r w:rsidR="00AF1486" w:rsidRPr="00FE6E9B">
        <w:rPr>
          <w:sz w:val="28"/>
          <w:szCs w:val="28"/>
          <w:lang w:eastAsia="uk-UA"/>
        </w:rPr>
        <w:t>зилось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1994-1995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годах.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Один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из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признаков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этого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этапа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низкий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уровень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менеджмента.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привело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банковскому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кризису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банкротству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отдельных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течение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1994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обанкротились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12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1995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20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переведены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состояние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оздоровления</w:t>
      </w:r>
      <w:r w:rsidRPr="00FE6E9B">
        <w:rPr>
          <w:sz w:val="28"/>
          <w:szCs w:val="28"/>
          <w:lang w:eastAsia="uk-UA"/>
        </w:rPr>
        <w:t>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протяжении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1996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обанкротилось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45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(прямое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банкро</w:t>
      </w:r>
      <w:r w:rsidRPr="00FE6E9B">
        <w:rPr>
          <w:sz w:val="28"/>
          <w:szCs w:val="28"/>
          <w:lang w:eastAsia="uk-UA"/>
        </w:rPr>
        <w:t>тсво),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60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прибывали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состоянии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оздоровления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(скрытое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банкр</w:t>
      </w:r>
      <w:r w:rsidR="00AF1486" w:rsidRPr="00FE6E9B">
        <w:rPr>
          <w:sz w:val="28"/>
          <w:szCs w:val="28"/>
          <w:lang w:eastAsia="uk-UA"/>
        </w:rPr>
        <w:t>о</w:t>
      </w:r>
      <w:r w:rsidRPr="00FE6E9B">
        <w:rPr>
          <w:sz w:val="28"/>
          <w:szCs w:val="28"/>
          <w:lang w:eastAsia="uk-UA"/>
        </w:rPr>
        <w:t>тсво).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данным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количество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проблемных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составляли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28.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начале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1998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23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проходили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процедуру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санации,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16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подлежали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закрытию,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12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признаны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банкротами.</w:t>
      </w:r>
    </w:p>
    <w:p w:rsidR="002C65B1" w:rsidRPr="00FE6E9B" w:rsidRDefault="002C65B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Приведенные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цифры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свидетельствуют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росте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количества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случаев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некредитоспособности.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период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1994-1995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происходило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изменение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акционеров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многих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осуществлялась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продажа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перепродажа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филиалов.</w:t>
      </w:r>
    </w:p>
    <w:p w:rsidR="002C65B1" w:rsidRPr="00FE6E9B" w:rsidRDefault="002C65B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Стабилизация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уровня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инфляции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ускорила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процесс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банкротства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Главными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недостатками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оставались</w:t>
      </w:r>
      <w:r w:rsidR="00FE6E9B">
        <w:rPr>
          <w:sz w:val="28"/>
          <w:szCs w:val="28"/>
          <w:lang w:eastAsia="uk-UA"/>
        </w:rPr>
        <w:t xml:space="preserve"> </w:t>
      </w:r>
      <w:r w:rsidR="00546520" w:rsidRPr="00FE6E9B">
        <w:rPr>
          <w:sz w:val="28"/>
          <w:szCs w:val="28"/>
          <w:lang w:eastAsia="uk-UA"/>
        </w:rPr>
        <w:t>[8]</w:t>
      </w:r>
      <w:r w:rsidRPr="00FE6E9B">
        <w:rPr>
          <w:sz w:val="28"/>
          <w:szCs w:val="28"/>
          <w:lang w:eastAsia="uk-UA"/>
        </w:rPr>
        <w:t>:</w:t>
      </w:r>
    </w:p>
    <w:p w:rsidR="002C65B1" w:rsidRPr="00FE6E9B" w:rsidRDefault="002C65B1" w:rsidP="00FE6E9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недостаточность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запасов</w:t>
      </w:r>
      <w:r w:rsidR="00FE6E9B">
        <w:rPr>
          <w:sz w:val="28"/>
          <w:szCs w:val="28"/>
          <w:lang w:eastAsia="uk-UA"/>
        </w:rPr>
        <w:t xml:space="preserve"> </w:t>
      </w:r>
      <w:r w:rsidR="00E54143" w:rsidRPr="00FE6E9B">
        <w:rPr>
          <w:sz w:val="28"/>
          <w:szCs w:val="28"/>
          <w:lang w:eastAsia="uk-UA"/>
        </w:rPr>
        <w:t>кап</w:t>
      </w:r>
      <w:r w:rsidR="00E54143">
        <w:rPr>
          <w:sz w:val="28"/>
          <w:szCs w:val="28"/>
          <w:lang w:eastAsia="uk-UA"/>
        </w:rPr>
        <w:t>и</w:t>
      </w:r>
      <w:r w:rsidR="00E54143" w:rsidRPr="00FE6E9B">
        <w:rPr>
          <w:sz w:val="28"/>
          <w:szCs w:val="28"/>
          <w:lang w:eastAsia="uk-UA"/>
        </w:rPr>
        <w:t>тал</w:t>
      </w:r>
      <w:r w:rsidR="00E54143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большинстве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банков;</w:t>
      </w:r>
    </w:p>
    <w:p w:rsidR="002C65B1" w:rsidRPr="00FE6E9B" w:rsidRDefault="002C65B1" w:rsidP="00FE6E9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контроль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процентных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ставок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через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ставку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рефинансирования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НБУ;</w:t>
      </w:r>
    </w:p>
    <w:p w:rsidR="002C65B1" w:rsidRPr="00FE6E9B" w:rsidRDefault="002C65B1" w:rsidP="00FE6E9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доступ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бесплатным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кредитам;</w:t>
      </w:r>
    </w:p>
    <w:p w:rsidR="002C65B1" w:rsidRPr="00FE6E9B" w:rsidRDefault="002C65B1" w:rsidP="00FE6E9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привилегированный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режим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работе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отдельных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банков;</w:t>
      </w:r>
    </w:p>
    <w:p w:rsidR="002C65B1" w:rsidRPr="00FE6E9B" w:rsidRDefault="002C65B1" w:rsidP="00FE6E9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недостаточное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соблюдение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принципов,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действующих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деятельности;</w:t>
      </w:r>
    </w:p>
    <w:p w:rsidR="002C65B1" w:rsidRPr="00FE6E9B" w:rsidRDefault="002C65B1" w:rsidP="00FE6E9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недостаточность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конкуренции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сфере.</w:t>
      </w:r>
    </w:p>
    <w:p w:rsidR="002C65B1" w:rsidRPr="00FE6E9B" w:rsidRDefault="002C65B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сегодня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действуют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15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смешанным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капиталом,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5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имеют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100%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иностран</w:t>
      </w:r>
      <w:r w:rsidR="00AF1486" w:rsidRPr="00FE6E9B">
        <w:rPr>
          <w:sz w:val="28"/>
          <w:szCs w:val="28"/>
          <w:lang w:eastAsia="uk-UA"/>
        </w:rPr>
        <w:t>ного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капитала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зарегистрирован</w:t>
      </w:r>
      <w:r w:rsidRPr="00FE6E9B">
        <w:rPr>
          <w:sz w:val="28"/>
          <w:szCs w:val="28"/>
          <w:lang w:eastAsia="uk-UA"/>
        </w:rPr>
        <w:t>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субъекты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хозяйствования</w:t>
      </w:r>
      <w:r w:rsidRPr="00FE6E9B">
        <w:rPr>
          <w:sz w:val="28"/>
          <w:szCs w:val="28"/>
          <w:lang w:eastAsia="uk-UA"/>
        </w:rPr>
        <w:t>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"Кредит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Лионис"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(французский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капитал)),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"Сосиете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Генерале"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(французский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капитал),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Депозитно-кредитный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(польский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капитал),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ING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Bank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"Кредит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Свисс".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Остальные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12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</w:t>
      </w:r>
      <w:r w:rsidR="00AF1486" w:rsidRPr="00FE6E9B">
        <w:rPr>
          <w:sz w:val="28"/>
          <w:szCs w:val="28"/>
          <w:lang w:eastAsia="uk-UA"/>
        </w:rPr>
        <w:t>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имеют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лишь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часть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иностранного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капитала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своих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уставных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фондах.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Кроме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того,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настоящее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время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работают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22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представительств</w:t>
      </w:r>
      <w:r w:rsidR="00AF1486"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заграничных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банков.</w:t>
      </w:r>
    </w:p>
    <w:p w:rsidR="002C65B1" w:rsidRPr="00FE6E9B" w:rsidRDefault="002C65B1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Размещение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территории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государства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крайне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неравномерное.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Киеве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Киевский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области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действуют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78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Харьковской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Одесской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15,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Донецкой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14,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АР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К</w:t>
      </w:r>
      <w:r w:rsidRPr="00FE6E9B">
        <w:rPr>
          <w:sz w:val="28"/>
          <w:szCs w:val="28"/>
          <w:lang w:eastAsia="uk-UA"/>
        </w:rPr>
        <w:t>р</w:t>
      </w:r>
      <w:r w:rsidR="00AF1486" w:rsidRPr="00FE6E9B">
        <w:rPr>
          <w:sz w:val="28"/>
          <w:szCs w:val="28"/>
          <w:lang w:eastAsia="uk-UA"/>
        </w:rPr>
        <w:t>ым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Днепропетровской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области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12,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Львовской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–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10.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время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Винницкой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Кировоградской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областях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вообще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2972D2" w:rsidRPr="00FE6E9B">
        <w:rPr>
          <w:sz w:val="28"/>
          <w:szCs w:val="28"/>
          <w:lang w:eastAsia="uk-UA"/>
        </w:rPr>
        <w:t>.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Т</w:t>
      </w:r>
      <w:r w:rsidR="00AF1486" w:rsidRPr="00FE6E9B">
        <w:rPr>
          <w:sz w:val="28"/>
          <w:szCs w:val="28"/>
          <w:lang w:eastAsia="uk-UA"/>
        </w:rPr>
        <w:t>абл</w:t>
      </w:r>
      <w:r w:rsidR="002972D2" w:rsidRPr="00FE6E9B">
        <w:rPr>
          <w:sz w:val="28"/>
          <w:szCs w:val="28"/>
          <w:lang w:eastAsia="uk-UA"/>
        </w:rPr>
        <w:t>ица</w:t>
      </w:r>
      <w:r w:rsidR="00FE6E9B">
        <w:rPr>
          <w:sz w:val="28"/>
          <w:szCs w:val="28"/>
          <w:lang w:eastAsia="uk-UA"/>
        </w:rPr>
        <w:t xml:space="preserve"> </w:t>
      </w:r>
      <w:r w:rsidR="00AF1486" w:rsidRPr="00FE6E9B">
        <w:rPr>
          <w:sz w:val="28"/>
          <w:szCs w:val="28"/>
          <w:lang w:eastAsia="uk-UA"/>
        </w:rPr>
        <w:t>1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показывает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динамику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становления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="002972D2" w:rsidRPr="00FE6E9B">
        <w:rPr>
          <w:sz w:val="28"/>
          <w:szCs w:val="28"/>
          <w:lang w:eastAsia="uk-UA"/>
        </w:rPr>
        <w:t>Украины</w:t>
      </w:r>
      <w:r w:rsidRPr="00FE6E9B">
        <w:rPr>
          <w:sz w:val="28"/>
          <w:szCs w:val="28"/>
          <w:lang w:eastAsia="uk-UA"/>
        </w:rPr>
        <w:t>.</w:t>
      </w:r>
    </w:p>
    <w:p w:rsidR="00AF1486" w:rsidRPr="00FE6E9B" w:rsidRDefault="00E54143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  <w:lang w:eastAsia="uk-UA"/>
        </w:rPr>
        <w:br w:type="page"/>
      </w:r>
      <w:r w:rsidR="00AF1486" w:rsidRPr="00FE6E9B">
        <w:rPr>
          <w:sz w:val="28"/>
          <w:szCs w:val="28"/>
        </w:rPr>
        <w:t>Таблица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1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Динамика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системи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протяжении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1992-1997</w:t>
      </w:r>
      <w:r w:rsidR="00FE6E9B">
        <w:rPr>
          <w:sz w:val="28"/>
          <w:szCs w:val="28"/>
        </w:rPr>
        <w:t xml:space="preserve"> </w:t>
      </w:r>
      <w:r w:rsidR="00AF1486" w:rsidRPr="00FE6E9B">
        <w:rPr>
          <w:sz w:val="28"/>
          <w:szCs w:val="28"/>
        </w:rPr>
        <w:t>років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[13]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29"/>
        <w:gridCol w:w="829"/>
        <w:gridCol w:w="829"/>
        <w:gridCol w:w="829"/>
        <w:gridCol w:w="829"/>
        <w:gridCol w:w="829"/>
      </w:tblGrid>
      <w:tr w:rsidR="00AF1486" w:rsidRPr="00FE6E9B" w:rsidTr="00E54143">
        <w:tc>
          <w:tcPr>
            <w:tcW w:w="4361" w:type="dxa"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1992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1993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1994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1995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1996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1997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Зарегистрированные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банки: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207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228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230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229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229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государственные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открытые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акционерные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компании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96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119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125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128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закрытые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акционерные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компании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63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47,2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52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51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общества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с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ограниченной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ответственностью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67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59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50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48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Банки,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которые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функционируют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220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210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188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189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Банки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с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иностранным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капиталом: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14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со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100%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иностранным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капиталом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</w:t>
            </w:r>
          </w:p>
        </w:tc>
      </w:tr>
      <w:tr w:rsidR="00AF1486" w:rsidRPr="00FE6E9B" w:rsidTr="00E54143">
        <w:tc>
          <w:tcPr>
            <w:tcW w:w="4361" w:type="dxa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Банки,</w:t>
            </w:r>
            <w:r w:rsidR="00FE6E9B" w:rsidRPr="00E54143">
              <w:rPr>
                <w:sz w:val="20"/>
              </w:rPr>
              <w:t xml:space="preserve"> </w:t>
            </w:r>
            <w:r w:rsidR="002972D2" w:rsidRPr="00E54143">
              <w:rPr>
                <w:sz w:val="20"/>
              </w:rPr>
              <w:t>которые</w:t>
            </w:r>
            <w:r w:rsidR="00FE6E9B" w:rsidRPr="00E54143">
              <w:rPr>
                <w:sz w:val="20"/>
              </w:rPr>
              <w:t xml:space="preserve"> </w:t>
            </w:r>
            <w:r w:rsidR="002972D2" w:rsidRPr="00E54143">
              <w:rPr>
                <w:sz w:val="20"/>
              </w:rPr>
              <w:t>ликвидуют</w:t>
            </w:r>
            <w:r w:rsidRPr="00E54143">
              <w:rPr>
                <w:sz w:val="20"/>
              </w:rPr>
              <w:t>ся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5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6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0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8</w:t>
            </w:r>
          </w:p>
        </w:tc>
        <w:tc>
          <w:tcPr>
            <w:tcW w:w="829" w:type="dxa"/>
            <w:vAlign w:val="center"/>
            <w:hideMark/>
          </w:tcPr>
          <w:p w:rsidR="00AF1486" w:rsidRPr="00E54143" w:rsidRDefault="00AF1486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</w:tr>
    </w:tbl>
    <w:p w:rsidR="00AF1486" w:rsidRPr="00FE6E9B" w:rsidRDefault="00AF1486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касается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инфраструктуры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заметные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успехи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достигнуты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расчетов,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рефинансирование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создании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Определенные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успехи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достигнуты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функциональном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НБУ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овладел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довольно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сложный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монетарного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досяг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заметных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успехов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стабилизации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национальных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организованно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провел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сентябре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1996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завершение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реформы.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Положительный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опыт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НБУ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накопил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направлениях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деятельности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обслуживании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государственного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долга,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учета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согласно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мировым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стандартам,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нормативно-правовом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методическом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обеспечении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Значительно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расширилась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накопили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опыт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работы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традиционных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направлениях,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новых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фондовом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международных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отношений,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взаимоотношениях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центральным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менеджменте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="00E54143" w:rsidRPr="00FE6E9B">
        <w:rPr>
          <w:sz w:val="28"/>
          <w:szCs w:val="28"/>
        </w:rPr>
        <w:t>менее,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натыкалось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серьезные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препятствия,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тормозили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нередко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возвращали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назад.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Речь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глубоком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кризисе,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переживает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протяжении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переходного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периода.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проявилась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продолжительном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сокращении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объемов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производства,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хронической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разбалансированности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бюджета,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глубоком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льду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неплатежей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задолженность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хозяйствующих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превысила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годовой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объем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ВВП),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небывало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инфляции,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пережила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1992-1994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гг.,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обусловленном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падении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монетизації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приводили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потере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предпринимательскими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среднем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бизнесе,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свертывание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очень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сектора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отрицательных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банківництва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бартеризація,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тінізація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долларизация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отношений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отлив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свободных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границу,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падение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эффективности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производства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около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60%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предприятий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областей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работали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убыточно)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[10]</w:t>
      </w:r>
      <w:r w:rsidRPr="00FE6E9B">
        <w:rPr>
          <w:sz w:val="28"/>
          <w:szCs w:val="28"/>
        </w:rPr>
        <w:t>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обстоятельствах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крайне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медленно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развивался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спрос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услуги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предпосылок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надлежащего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Поэтому,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несмотря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заметный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рост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количественных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показателей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уровень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особенно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довольно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низким.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подтверждается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изложенными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данными,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характеризуют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качественную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Недостаточным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уровень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Общая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сумма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января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составляла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1116,4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млн.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долл.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среднем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приходится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6,85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млн.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долл.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ведущих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капіталозабезпеченість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настолько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имела,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вошел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список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первой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тысячи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мира,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был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опубликован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английским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журналом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«Тhе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Ваnkеr»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1994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Ситуация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изменилась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Наибольший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</w:t>
      </w:r>
      <w:r w:rsidR="00107EA8"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этим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показателем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Проминвестбанк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128,4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млн.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долл.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тысячного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списка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1994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125,0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млн.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долл.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США.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Поэтому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украинским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тяжело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конкурировать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иностранными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мировом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внутри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если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решат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серьезно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закрепиться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нашем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</w:t>
      </w:r>
      <w:r w:rsidR="00FE6E9B">
        <w:rPr>
          <w:sz w:val="28"/>
          <w:szCs w:val="28"/>
        </w:rPr>
        <w:t xml:space="preserve"> </w:t>
      </w:r>
      <w:r w:rsidR="00107EA8" w:rsidRPr="00FE6E9B">
        <w:rPr>
          <w:sz w:val="28"/>
          <w:szCs w:val="28"/>
        </w:rPr>
        <w:t>[10]</w:t>
      </w:r>
      <w:r w:rsidRPr="00FE6E9B">
        <w:rPr>
          <w:sz w:val="28"/>
          <w:szCs w:val="28"/>
        </w:rPr>
        <w:t>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Решить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проблему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административным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давлением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(увеличением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минимального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размера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уставного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фонда,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требований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относительно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невозможно,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поскольку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годы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снижается,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привлекательность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бизнеса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инвесторов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уменьшается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необходимые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внутренние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остаются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ограниченными.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Решить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проблему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капитализации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лишь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пути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ускорения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рост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эффективности,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оздоровление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повышение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Низкая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кредитоспособность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преобладающей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предприятий-заемщиков,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низкая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капитализация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недостаточный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уровень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менеджмента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служат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причиной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чрезвычайно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рискованности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повышенное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недоверие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особенно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семейного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сектора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усложняют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поддержку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ликвидности.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ослабляет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трансформационную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целом.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возможности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надлежащим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образом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удовлетворять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спрос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ссудные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сектора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испытывают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глубокий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дефицит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платежных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3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появляются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свободные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надежно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разместить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предпочтение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конвертации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иностранную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валюту,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инвестированию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теневую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или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переведению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границу.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условиях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осуществляется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могущественное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НБУ,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чтобы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удержать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ликвидность,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повысить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доверие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ним,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реанимировать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мощную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роль.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используются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«жесткие»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мероприятия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чрезвычайно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норма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обязательного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резервирования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изменения,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прямое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рефинансирования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видов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установление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чрезвычайно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количества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нормативов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га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жесткого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контроля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соблюдением</w:t>
      </w:r>
      <w:r w:rsidR="00FE6E9B">
        <w:rPr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и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bCs/>
          <w:sz w:val="28"/>
          <w:szCs w:val="28"/>
        </w:rPr>
        <w:t>т.п..</w:t>
      </w:r>
      <w:r w:rsidR="00FE6E9B">
        <w:rPr>
          <w:bCs/>
          <w:sz w:val="28"/>
          <w:szCs w:val="28"/>
        </w:rPr>
        <w:t xml:space="preserve"> </w:t>
      </w: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отрицательно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влияет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отдельных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ослабляет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внутренне-системный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взаимодействия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консолидации,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служит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причиной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противостояния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первым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уровнями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большими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малыми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т.п..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Глубокий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долгодействующий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кризис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финансов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отрицательно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влияет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тормозит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сугубо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механизма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становление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цивилизованных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взаимоотношений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НБУ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вынужденный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преобладающую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своего</w:t>
      </w:r>
      <w:r w:rsidR="00FE6E9B">
        <w:rPr>
          <w:sz w:val="28"/>
          <w:szCs w:val="28"/>
        </w:rPr>
        <w:t xml:space="preserve"> </w:t>
      </w:r>
      <w:r w:rsidR="009F0D16" w:rsidRPr="00FE6E9B">
        <w:rPr>
          <w:sz w:val="28"/>
          <w:szCs w:val="28"/>
        </w:rPr>
        <w:t>сеньёража</w:t>
      </w:r>
      <w:r w:rsidR="00FE6E9B">
        <w:rPr>
          <w:sz w:val="28"/>
          <w:szCs w:val="28"/>
        </w:rPr>
        <w:t xml:space="preserve"> </w:t>
      </w:r>
      <w:r w:rsidR="009F0D16" w:rsidRPr="00FE6E9B">
        <w:rPr>
          <w:sz w:val="28"/>
          <w:szCs w:val="28"/>
        </w:rPr>
        <w:t>направлять</w:t>
      </w:r>
      <w:r w:rsidR="00FE6E9B">
        <w:rPr>
          <w:sz w:val="28"/>
          <w:szCs w:val="28"/>
        </w:rPr>
        <w:t xml:space="preserve"> </w:t>
      </w:r>
      <w:r w:rsidR="009F0D16"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="009F0D16" w:rsidRPr="00FE6E9B">
        <w:rPr>
          <w:sz w:val="28"/>
          <w:szCs w:val="28"/>
        </w:rPr>
        <w:t>монетизаци</w:t>
      </w:r>
      <w:r w:rsidRPr="00FE6E9B">
        <w:rPr>
          <w:sz w:val="28"/>
          <w:szCs w:val="28"/>
        </w:rPr>
        <w:t>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бюджетного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дефицита,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минимуму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рефинансирования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Через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искусственное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завышение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процентной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ставки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облигациям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внутреннего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займа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вынужденные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ресурсы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преимущественно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ценные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бумаги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доходные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активы,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ограничивая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реальной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Усиливается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зависимость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правительственных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структур,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итак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краткосрочных,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субъективных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факторов,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ослабляет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условиях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инфляции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НБУ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вынужденный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протяжении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продолжительного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(1994-2000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гг.)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проводить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жесткую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рестрикц</w:t>
      </w:r>
      <w:r w:rsidR="009F0D16" w:rsidRPr="00FE6E9B">
        <w:rPr>
          <w:sz w:val="28"/>
          <w:szCs w:val="28"/>
        </w:rPr>
        <w:t>ионную</w:t>
      </w:r>
      <w:r w:rsidR="00FE6E9B">
        <w:rPr>
          <w:sz w:val="28"/>
          <w:szCs w:val="28"/>
        </w:rPr>
        <w:t xml:space="preserve"> </w:t>
      </w:r>
      <w:r w:rsidR="009F0D16" w:rsidRPr="00FE6E9B">
        <w:rPr>
          <w:sz w:val="28"/>
          <w:szCs w:val="28"/>
        </w:rPr>
        <w:t>денежно</w:t>
      </w:r>
      <w:r w:rsidRPr="00FE6E9B">
        <w:rPr>
          <w:sz w:val="28"/>
          <w:szCs w:val="28"/>
        </w:rPr>
        <w:t>-кредитн</w:t>
      </w:r>
      <w:r w:rsidR="009F0D16" w:rsidRPr="00FE6E9B">
        <w:rPr>
          <w:sz w:val="28"/>
          <w:szCs w:val="28"/>
        </w:rPr>
        <w:t>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оказывало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содействие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типа.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3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сдерживает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ремонетизац</w:t>
      </w:r>
      <w:r w:rsidR="009F0D16" w:rsidRPr="00FE6E9B">
        <w:rPr>
          <w:sz w:val="28"/>
          <w:szCs w:val="28"/>
        </w:rPr>
        <w:t>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свободных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суживает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базу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посреднической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деятельности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другой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стороны,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НБУ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вынужден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переходить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«ручное»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руководство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рынком,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применяя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наиболее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жесткие,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прямые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административные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мероприятия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монетарного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регулирования,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монетарной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отвечают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интересам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банков.</w:t>
      </w:r>
    </w:p>
    <w:p w:rsidR="00E54143" w:rsidRDefault="00E54143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29244F" w:rsidRPr="00FE6E9B" w:rsidRDefault="002972D2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Таблица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2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Основные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показатели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2000-2005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[13</w:t>
      </w:r>
      <w:r w:rsidR="00107EA8" w:rsidRPr="00FE6E9B">
        <w:rPr>
          <w:sz w:val="28"/>
          <w:szCs w:val="28"/>
        </w:rPr>
        <w:t>]</w:t>
      </w:r>
    </w:p>
    <w:tbl>
      <w:tblPr>
        <w:tblW w:w="4853" w:type="pct"/>
        <w:tblCellSpacing w:w="7" w:type="dxa"/>
        <w:tblBorders>
          <w:top w:val="outset" w:sz="6" w:space="0" w:color="DADADA"/>
          <w:left w:val="outset" w:sz="6" w:space="0" w:color="DADADA"/>
          <w:bottom w:val="outset" w:sz="6" w:space="0" w:color="DADADA"/>
          <w:right w:val="outset" w:sz="6" w:space="0" w:color="DADAD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4"/>
        <w:gridCol w:w="711"/>
        <w:gridCol w:w="712"/>
        <w:gridCol w:w="712"/>
        <w:gridCol w:w="711"/>
        <w:gridCol w:w="711"/>
        <w:gridCol w:w="1194"/>
      </w:tblGrid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791ED6">
              <w:rPr>
                <w:sz w:val="20"/>
              </w:rPr>
              <w:t>2000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2001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2002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2003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2004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2005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5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6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6F5EE4" w:rsidRPr="00E54143" w:rsidRDefault="006F5EE4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7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Количество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по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реестру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конец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года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195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189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182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179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182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186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Из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общей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численности:</w:t>
            </w:r>
            <w:r w:rsidRPr="00E54143">
              <w:rPr>
                <w:sz w:val="20"/>
              </w:rPr>
              <w:br/>
              <w:t>Количество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которые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имеют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лицензию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Национального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Украины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осуществление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банковских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операций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(на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конец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года)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подают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отчетность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154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153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157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157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160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163</w:t>
            </w:r>
          </w:p>
        </w:tc>
      </w:tr>
      <w:tr w:rsidR="0029244F" w:rsidRPr="00FE6E9B" w:rsidTr="00E54143">
        <w:trPr>
          <w:trHeight w:val="454"/>
          <w:tblCellSpacing w:w="7" w:type="dxa"/>
        </w:trPr>
        <w:tc>
          <w:tcPr>
            <w:tcW w:w="4985" w:type="pct"/>
            <w:gridSpan w:val="7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Из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них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банки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за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организационно-правовой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формой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хозяйствования: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акционерные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общества: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137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136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136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133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132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133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FE6E9B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 xml:space="preserve"> </w:t>
            </w:r>
            <w:r w:rsidR="0029244F" w:rsidRPr="00E54143">
              <w:rPr>
                <w:sz w:val="20"/>
              </w:rPr>
              <w:t>открытые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99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95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94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94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92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92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FE6E9B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 xml:space="preserve"> </w:t>
            </w:r>
            <w:r w:rsidR="0029244F" w:rsidRPr="00E54143">
              <w:rPr>
                <w:sz w:val="20"/>
              </w:rPr>
              <w:t>закрытые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38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41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42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39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40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41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общества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с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ограниченной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ответственностью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17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17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24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28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32</w:t>
            </w:r>
          </w:p>
        </w:tc>
      </w:tr>
      <w:tr w:rsidR="00FC2713" w:rsidRPr="00FE6E9B" w:rsidTr="00E54143">
        <w:trPr>
          <w:trHeight w:val="967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кооперативные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4F2662" w:rsidRPr="00E54143" w:rsidRDefault="004F2662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</w:p>
        </w:tc>
      </w:tr>
      <w:tr w:rsidR="0029244F" w:rsidRPr="00FE6E9B" w:rsidTr="00E54143">
        <w:trPr>
          <w:trHeight w:val="454"/>
          <w:tblCellSpacing w:w="7" w:type="dxa"/>
        </w:trPr>
        <w:tc>
          <w:tcPr>
            <w:tcW w:w="4985" w:type="pct"/>
            <w:gridSpan w:val="7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Банки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с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иностранным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капиталом: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количество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31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21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20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19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23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уставной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капитал*,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млн.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грн.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725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946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1046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1152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1630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3602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в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том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числе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со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100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%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иноземным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капиталом,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млн.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грн.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225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265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365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414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689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1056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Количество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которые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имеют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лицензию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Национального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Украины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осуществление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валютных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операций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(на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конец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года)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149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149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153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156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158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162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кроме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того,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количество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других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финансово-кредитных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учреждений,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которым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дана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лицензия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на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осуществление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банковских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операций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Уставный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капитал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действующих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млн.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грн.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3666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4576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6003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8116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11605</w:t>
            </w:r>
          </w:p>
        </w:tc>
        <w:tc>
          <w:tcPr>
            <w:tcW w:w="602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16111</w:t>
            </w:r>
          </w:p>
        </w:tc>
      </w:tr>
      <w:tr w:rsidR="004F2662" w:rsidRPr="00FE6E9B" w:rsidTr="00E54143">
        <w:trPr>
          <w:trHeight w:val="454"/>
          <w:tblCellSpacing w:w="7" w:type="dxa"/>
        </w:trPr>
        <w:tc>
          <w:tcPr>
            <w:tcW w:w="2410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Количество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банков,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исключенных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из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Государственного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реестра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(за</w:t>
            </w:r>
            <w:r w:rsidR="00FE6E9B" w:rsidRPr="00E54143">
              <w:rPr>
                <w:sz w:val="20"/>
              </w:rPr>
              <w:t xml:space="preserve"> </w:t>
            </w:r>
            <w:r w:rsidRPr="00E54143">
              <w:rPr>
                <w:sz w:val="20"/>
              </w:rPr>
              <w:t>период)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9</w:t>
            </w:r>
          </w:p>
        </w:tc>
        <w:tc>
          <w:tcPr>
            <w:tcW w:w="386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12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8</w:t>
            </w:r>
          </w:p>
        </w:tc>
        <w:tc>
          <w:tcPr>
            <w:tcW w:w="385" w:type="pct"/>
            <w:tcBorders>
              <w:top w:val="outset" w:sz="6" w:space="0" w:color="4E6D5E"/>
              <w:left w:val="outset" w:sz="6" w:space="0" w:color="4E6D5E"/>
              <w:bottom w:val="outset" w:sz="6" w:space="0" w:color="4E6D5E"/>
              <w:right w:val="outset" w:sz="6" w:space="0" w:color="4E6D5E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4</w:t>
            </w:r>
          </w:p>
        </w:tc>
        <w:tc>
          <w:tcPr>
            <w:tcW w:w="602" w:type="pct"/>
            <w:tcBorders>
              <w:bottom w:val="outset" w:sz="6" w:space="0" w:color="DADADA"/>
            </w:tcBorders>
            <w:shd w:val="clear" w:color="auto" w:fill="FEFEFE"/>
            <w:vAlign w:val="center"/>
          </w:tcPr>
          <w:p w:rsidR="0029244F" w:rsidRPr="00E54143" w:rsidRDefault="0029244F" w:rsidP="00E54143">
            <w:pPr>
              <w:widowControl/>
              <w:overflowPunct w:val="0"/>
              <w:autoSpaceDE w:val="0"/>
              <w:autoSpaceDN w:val="0"/>
              <w:adjustRightInd w:val="0"/>
              <w:spacing w:line="360" w:lineRule="auto"/>
              <w:ind w:firstLine="0"/>
              <w:textAlignment w:val="baseline"/>
              <w:rPr>
                <w:sz w:val="20"/>
              </w:rPr>
            </w:pPr>
            <w:r w:rsidRPr="00E54143">
              <w:rPr>
                <w:sz w:val="20"/>
              </w:rPr>
              <w:t>-</w:t>
            </w:r>
          </w:p>
        </w:tc>
      </w:tr>
    </w:tbl>
    <w:p w:rsidR="0029244F" w:rsidRPr="00FE6E9B" w:rsidRDefault="0029244F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6F5EE4" w:rsidRPr="00FE6E9B" w:rsidRDefault="006F5EE4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приведенной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таблицы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хорошо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видно,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как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иностранный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постепенно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захватывает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отечественные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обстоятельство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иметь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двоякие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последствия: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средства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защищены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случае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внутренней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нестабильности,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совершенно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беззащитны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мировыми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катаклизмами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другой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стороны.</w:t>
      </w:r>
    </w:p>
    <w:p w:rsidR="00615438" w:rsidRPr="00FE6E9B" w:rsidRDefault="00615438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Cs/>
          <w:sz w:val="28"/>
          <w:szCs w:val="28"/>
        </w:rPr>
      </w:pPr>
      <w:r w:rsidRPr="00FE6E9B">
        <w:rPr>
          <w:sz w:val="28"/>
          <w:szCs w:val="28"/>
        </w:rPr>
        <w:t>Все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обстоятельства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настолько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ослабить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прежде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уровень,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когда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рыночной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трансформации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завершится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начнется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этап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роста,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украинские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смогут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адекватно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выполнять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свою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посреднич</w:t>
      </w:r>
      <w:r w:rsidR="0029244F" w:rsidRPr="00FE6E9B">
        <w:rPr>
          <w:sz w:val="28"/>
          <w:szCs w:val="28"/>
        </w:rPr>
        <w:t>ескую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миссию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новых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условиях.</w:t>
      </w:r>
      <w:r w:rsidR="00FE6E9B">
        <w:rPr>
          <w:sz w:val="28"/>
          <w:szCs w:val="28"/>
        </w:rPr>
        <w:t xml:space="preserve"> </w:t>
      </w:r>
      <w:r w:rsidR="0029244F"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тогда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неминуемым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будет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широкомасштабное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проникновение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иностранных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вытеснение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национального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капитала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иностранным.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перспектива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требует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ускоренной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разработки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научной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концепции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перспективу,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согласованной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вышестоящими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органами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исполнительной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власти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страны.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Отсутствие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концепции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протяжении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10-летнего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периода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формирования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тоже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являлась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тормозящим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фактором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этого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процесса.</w:t>
      </w:r>
    </w:p>
    <w:p w:rsidR="00615438" w:rsidRPr="00E54143" w:rsidRDefault="002972D2" w:rsidP="00E54143">
      <w:pPr>
        <w:pStyle w:val="a3"/>
        <w:spacing w:before="0" w:after="0"/>
        <w:ind w:firstLine="709"/>
        <w:outlineLvl w:val="9"/>
      </w:pPr>
      <w:r w:rsidRPr="00FE6E9B">
        <w:rPr>
          <w:b w:val="0"/>
        </w:rPr>
        <w:br w:type="page"/>
      </w:r>
      <w:bookmarkStart w:id="12" w:name="_Toc215339224"/>
      <w:r w:rsidR="0029244F" w:rsidRPr="00E54143">
        <w:t>заключение</w:t>
      </w:r>
      <w:bookmarkEnd w:id="12"/>
    </w:p>
    <w:p w:rsidR="00E54143" w:rsidRDefault="00E54143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4F2662" w:rsidRPr="00FE6E9B" w:rsidRDefault="004F2662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представляет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собой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основную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часть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состоит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двух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уровней: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первый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представлен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Национальным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второй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коммерческими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Сущность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заключается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взаимосвязей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рынке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услуг,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которые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позволяют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обслуживать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денежный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оборот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самым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поддерживать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функционирование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государства.</w:t>
      </w:r>
    </w:p>
    <w:p w:rsidR="00FC2713" w:rsidRPr="00FE6E9B" w:rsidRDefault="004F2662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Роль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экономике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страны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определяется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её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функциональными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характеристиками.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Хотя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построена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функционально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независимо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каких-либо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секторов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экономики,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взаимосвязи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её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остальными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отраслями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народного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хозяйства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являются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неоспоримыми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порой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даже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определяющими.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Так,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основным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источником,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средств,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остро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необходимых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для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функционирования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разных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экономических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подсистем.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Она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участвует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распределении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перераспределении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благ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посредством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инструментов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кредитной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системы.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Кроме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того,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сейчас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перенимает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на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себя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большую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часть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денежного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оборота,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переводя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его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сферу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безналичных</w:t>
      </w:r>
      <w:r w:rsidR="00FE6E9B">
        <w:rPr>
          <w:sz w:val="28"/>
          <w:szCs w:val="28"/>
        </w:rPr>
        <w:t xml:space="preserve"> </w:t>
      </w:r>
      <w:r w:rsidR="00FC2713" w:rsidRPr="00FE6E9B">
        <w:rPr>
          <w:sz w:val="28"/>
          <w:szCs w:val="28"/>
        </w:rPr>
        <w:t>платежей.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процессе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последующего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необходимо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только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нельзя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шире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использовать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заграничный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опыт,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забывать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исторические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особенности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страны.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32"/>
          <w:lang w:eastAsia="uk-UA"/>
        </w:rPr>
      </w:pP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сегодня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украинские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перешли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международные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стандарты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ведения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учета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отчетности,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однако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работа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направлении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закончилась.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Применение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современных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норм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бухгалтерского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учета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складывания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балансов,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также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регулярная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публикация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балансов,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отчетов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прибылях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убытках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будут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содействовать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большей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прозрачности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деятельности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постепенно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увеличат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доверие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клиентов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банкам.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Следовательно,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можно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сделать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вывод,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что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реформирование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системы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Украины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сегодня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дала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ощутимые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результаты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национальной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перестройки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общества.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же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время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согласованного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взаимодействия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всех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отраслей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можно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достичь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только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условии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экономического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роста.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Тогда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смогут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эффективно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выполнять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свои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задания,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встали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перед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ними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этапе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трансформации.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Система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непосредственно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охватывает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все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сферы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рыночной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-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производство,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распределение,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обмен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потребление.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практически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одной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организации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или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предприятия,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которое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было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клиентом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учреждения.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Именно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является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фактором,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который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значительной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мере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обеспечивает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непрерывность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расширенного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воссоздания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экономике.</w:t>
      </w:r>
      <w:r w:rsidR="00FE6E9B">
        <w:rPr>
          <w:sz w:val="28"/>
          <w:szCs w:val="28"/>
          <w:lang w:eastAsia="uk-UA"/>
        </w:rPr>
        <w:t xml:space="preserve"> </w:t>
      </w:r>
    </w:p>
    <w:p w:rsidR="00546520" w:rsidRPr="00FE6E9B" w:rsidRDefault="00546520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eastAsia="uk-UA"/>
        </w:rPr>
      </w:pPr>
      <w:r w:rsidRPr="00FE6E9B">
        <w:rPr>
          <w:sz w:val="28"/>
          <w:szCs w:val="28"/>
          <w:lang w:eastAsia="uk-UA"/>
        </w:rPr>
        <w:t>Посредством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банковского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решается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противоречие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между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размером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средств,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высвобождаются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кредитора,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размером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потребности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заемщика.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условиях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развитием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денежные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товарные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отношения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все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больше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трансформируются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кредитно-денежные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существу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приобрело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кредитный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характер.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этом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базируется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огромная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роль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кредита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коммерческих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банков,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его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предоставляющих,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как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основных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носителей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кредитных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отношений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для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эффективного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функционирования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развития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экономики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в</w:t>
      </w:r>
      <w:r w:rsidR="00FE6E9B">
        <w:rPr>
          <w:sz w:val="28"/>
          <w:szCs w:val="28"/>
          <w:lang w:eastAsia="uk-UA"/>
        </w:rPr>
        <w:t xml:space="preserve"> </w:t>
      </w:r>
      <w:r w:rsidRPr="00FE6E9B">
        <w:rPr>
          <w:sz w:val="28"/>
          <w:szCs w:val="28"/>
          <w:lang w:eastAsia="uk-UA"/>
        </w:rPr>
        <w:t>целом.</w:t>
      </w:r>
    </w:p>
    <w:p w:rsidR="004F2662" w:rsidRPr="00FE6E9B" w:rsidRDefault="004F2662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Подводя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итог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под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всей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работой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можно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сказать,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что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отечественная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переживает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сейчас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лучшие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времена.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Причиной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такого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дел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являются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усиление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конкуренции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между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банками,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нестабильное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социально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–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экономическое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положение,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несовершенная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постоянно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меняющаяся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законодательная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база,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рискованная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кредитная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политика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многих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погоне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за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высокими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прибылями.</w:t>
      </w:r>
    </w:p>
    <w:p w:rsidR="00546520" w:rsidRPr="00FE6E9B" w:rsidRDefault="004F2662" w:rsidP="00FE6E9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связи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таким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положением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сектора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кредитования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основным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предложением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по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дальнейшему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развитию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совершенствованию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банковской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системы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Украины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является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диверсификация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направлений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вложения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ресурсов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банков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расширение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сферы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услуг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клиентам,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превращение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комиссий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от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клиентских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операций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в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один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из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основных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источников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получения</w:t>
      </w:r>
      <w:r w:rsidR="00FE6E9B">
        <w:rPr>
          <w:sz w:val="28"/>
          <w:szCs w:val="28"/>
        </w:rPr>
        <w:t xml:space="preserve"> </w:t>
      </w:r>
      <w:r w:rsidRPr="00FE6E9B">
        <w:rPr>
          <w:sz w:val="28"/>
          <w:szCs w:val="28"/>
        </w:rPr>
        <w:t>доходов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коммерческих</w:t>
      </w:r>
      <w:r w:rsidR="00FE6E9B">
        <w:rPr>
          <w:sz w:val="28"/>
          <w:szCs w:val="28"/>
        </w:rPr>
        <w:t xml:space="preserve"> </w:t>
      </w:r>
      <w:r w:rsidR="00546520" w:rsidRPr="00FE6E9B">
        <w:rPr>
          <w:sz w:val="28"/>
          <w:szCs w:val="28"/>
        </w:rPr>
        <w:t>банков</w:t>
      </w:r>
      <w:r w:rsidRPr="00FE6E9B">
        <w:rPr>
          <w:sz w:val="28"/>
          <w:szCs w:val="28"/>
        </w:rPr>
        <w:t>.</w:t>
      </w:r>
    </w:p>
    <w:p w:rsidR="00615438" w:rsidRPr="00E54143" w:rsidRDefault="00615438" w:rsidP="00E54143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FE6E9B">
        <w:rPr>
          <w:sz w:val="28"/>
          <w:szCs w:val="28"/>
        </w:rPr>
        <w:br w:type="page"/>
      </w:r>
      <w:bookmarkStart w:id="13" w:name="_Toc215339225"/>
      <w:r w:rsidR="00E54143">
        <w:rPr>
          <w:b/>
          <w:sz w:val="28"/>
          <w:szCs w:val="28"/>
        </w:rPr>
        <w:t>С</w:t>
      </w:r>
      <w:r w:rsidR="009F0D16" w:rsidRPr="00E54143">
        <w:rPr>
          <w:b/>
          <w:sz w:val="28"/>
          <w:szCs w:val="28"/>
        </w:rPr>
        <w:t>писок</w:t>
      </w:r>
      <w:r w:rsidR="00FE6E9B" w:rsidRPr="00E54143">
        <w:rPr>
          <w:b/>
          <w:sz w:val="28"/>
          <w:szCs w:val="28"/>
          <w:lang w:val="uk-UA"/>
        </w:rPr>
        <w:t xml:space="preserve"> </w:t>
      </w:r>
      <w:r w:rsidR="009F0D16" w:rsidRPr="00E54143">
        <w:rPr>
          <w:b/>
          <w:sz w:val="28"/>
          <w:szCs w:val="28"/>
        </w:rPr>
        <w:t>использованных</w:t>
      </w:r>
      <w:r w:rsidR="00FE6E9B" w:rsidRPr="00E54143">
        <w:rPr>
          <w:b/>
          <w:sz w:val="28"/>
          <w:szCs w:val="28"/>
          <w:lang w:val="uk-UA"/>
        </w:rPr>
        <w:t xml:space="preserve"> </w:t>
      </w:r>
      <w:r w:rsidR="009F0D16" w:rsidRPr="00E54143">
        <w:rPr>
          <w:b/>
          <w:sz w:val="28"/>
          <w:szCs w:val="28"/>
        </w:rPr>
        <w:t>источников</w:t>
      </w:r>
      <w:bookmarkEnd w:id="13"/>
    </w:p>
    <w:p w:rsidR="00E54143" w:rsidRPr="00FE6E9B" w:rsidRDefault="00E54143" w:rsidP="00E54143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</w:rPr>
      </w:pP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Закон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Украины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от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07.12.2000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г.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«О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банках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банковской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деятельности».</w:t>
      </w: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Банківська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справа: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Навч.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Посіб.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За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ред.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проф.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І.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Тиркала.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Тернопіль: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Карт-бланш,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2001.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314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Банківський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менеджмент.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За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ред.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О.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Кириченка.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К.: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Знання-Прес,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2002,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438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Банки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банковские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операции: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Учебник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/Под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ред.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Е.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Ф.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Жукова.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М.: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ЮНИТИ.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биржи,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2007.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264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Банковское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дело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Под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ред.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Г.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Н.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Белоглазовой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Л.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Кроливецкой.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СПб.: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Питер,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2002.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384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Борщ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Л.М.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Банківська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система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в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інве</w:t>
      </w:r>
      <w:r w:rsidRPr="00FE6E9B">
        <w:rPr>
          <w:lang w:val="ru-RU"/>
        </w:rPr>
        <w:softHyphen/>
        <w:t>стиційній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діяльності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Фінанси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України.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—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2003.-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5.-C.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5-12.</w:t>
      </w:r>
    </w:p>
    <w:p w:rsidR="00CB16A1" w:rsidRPr="00FE6E9B" w:rsidRDefault="00CB16A1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Вовчак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О.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Банківська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справа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в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Україні: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стан,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проблеми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та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перспективи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розвитку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Фінанси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України.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2003.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10.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118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125.</w:t>
      </w:r>
    </w:p>
    <w:p w:rsidR="009F0D16" w:rsidRPr="00FE6E9B" w:rsidRDefault="009F0D16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Гроші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та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кредит: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Підручник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М.І.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Савлук,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А.М.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Мороз,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М.Ф.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Пудовкіна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та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ін.;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За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заг.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ред.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М.І.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Савлука.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К.: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КНЕУ,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2001.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602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</w:p>
    <w:p w:rsidR="009F0D16" w:rsidRPr="00FE6E9B" w:rsidRDefault="009F0D16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Деньги,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кредит,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банки: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Учебник/Под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ред.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О.И.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Лаврушина.—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Д34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2-е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изд.,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перераб.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доп.—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М.: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Финансы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статистика,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2000.—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464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с.: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ил.</w:t>
      </w:r>
    </w:p>
    <w:p w:rsidR="00CB16A1" w:rsidRPr="00FE6E9B" w:rsidRDefault="00CB16A1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Распутна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Л.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Комерційні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сфері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фінансових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послуг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Банківська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справа.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2000.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5.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43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45.</w:t>
      </w:r>
    </w:p>
    <w:p w:rsidR="00FC2713" w:rsidRPr="00FE6E9B" w:rsidRDefault="00FC2713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Патрикац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Л.,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Компанієць.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Проблеми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та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перспективи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розвитку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банківської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системи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//Вісник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НБУ,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2002.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№12.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С.20-22.</w:t>
      </w:r>
    </w:p>
    <w:p w:rsidR="00FC2713" w:rsidRPr="00FE6E9B" w:rsidRDefault="00FC2713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Распутна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Л.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Комерційні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сфері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фінансових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послуг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України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//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Банківська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справа.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2000.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-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№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5.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С.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43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–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45.</w:t>
      </w:r>
    </w:p>
    <w:p w:rsidR="00107EA8" w:rsidRPr="00FE6E9B" w:rsidRDefault="00107EA8" w:rsidP="00E54143">
      <w:pPr>
        <w:pStyle w:val="a7"/>
        <w:numPr>
          <w:ilvl w:val="0"/>
          <w:numId w:val="1"/>
        </w:numPr>
        <w:tabs>
          <w:tab w:val="left" w:pos="1418"/>
        </w:tabs>
        <w:ind w:left="0" w:firstLine="0"/>
        <w:rPr>
          <w:lang w:val="ru-RU"/>
        </w:rPr>
      </w:pPr>
      <w:r w:rsidRPr="00FE6E9B">
        <w:rPr>
          <w:lang w:val="ru-RU"/>
        </w:rPr>
        <w:t>http://www.bank.gov.ua/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Официальная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интернет-страничка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Национального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банка</w:t>
      </w:r>
      <w:r w:rsidR="00FE6E9B">
        <w:rPr>
          <w:lang w:val="ru-RU"/>
        </w:rPr>
        <w:t xml:space="preserve"> </w:t>
      </w:r>
      <w:r w:rsidRPr="00FE6E9B">
        <w:rPr>
          <w:lang w:val="ru-RU"/>
        </w:rPr>
        <w:t>Украини.</w:t>
      </w:r>
      <w:bookmarkStart w:id="14" w:name="_Toc130295260"/>
      <w:bookmarkStart w:id="15" w:name="_GoBack"/>
      <w:bookmarkEnd w:id="14"/>
      <w:bookmarkEnd w:id="15"/>
    </w:p>
    <w:sectPr w:rsidR="00107EA8" w:rsidRPr="00FE6E9B" w:rsidSect="00FE6E9B">
      <w:footerReference w:type="default" r:id="rId7"/>
      <w:pgSz w:w="11906" w:h="16838" w:code="9"/>
      <w:pgMar w:top="1134" w:right="851" w:bottom="1134" w:left="1701" w:header="709" w:footer="18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07" w:rsidRDefault="00AD4E07" w:rsidP="00B533C0">
      <w:pPr>
        <w:widowControl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eparator/>
      </w:r>
    </w:p>
  </w:endnote>
  <w:endnote w:type="continuationSeparator" w:id="0">
    <w:p w:rsidR="00AD4E07" w:rsidRDefault="00AD4E07" w:rsidP="00B533C0">
      <w:pPr>
        <w:widowControl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3C0" w:rsidRDefault="00791ED6">
    <w:pPr>
      <w:pStyle w:val="af"/>
      <w:jc w:val="right"/>
    </w:pPr>
    <w:r>
      <w:rPr>
        <w:noProof/>
      </w:rPr>
      <w:t>2</w:t>
    </w:r>
  </w:p>
  <w:p w:rsidR="00B533C0" w:rsidRDefault="00B533C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07" w:rsidRDefault="00AD4E07" w:rsidP="00B533C0">
      <w:pPr>
        <w:widowControl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eparator/>
      </w:r>
    </w:p>
  </w:footnote>
  <w:footnote w:type="continuationSeparator" w:id="0">
    <w:p w:rsidR="00AD4E07" w:rsidRDefault="00AD4E07" w:rsidP="00B533C0">
      <w:pPr>
        <w:widowControl/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8E151C"/>
    <w:lvl w:ilvl="0">
      <w:numFmt w:val="bullet"/>
      <w:lvlText w:val="*"/>
      <w:lvlJc w:val="left"/>
    </w:lvl>
  </w:abstractNum>
  <w:abstractNum w:abstractNumId="1">
    <w:nsid w:val="08956A73"/>
    <w:multiLevelType w:val="hybridMultilevel"/>
    <w:tmpl w:val="11240218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E8A229E"/>
    <w:multiLevelType w:val="hybridMultilevel"/>
    <w:tmpl w:val="977284FC"/>
    <w:lvl w:ilvl="0" w:tplc="509E2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982702"/>
    <w:multiLevelType w:val="hybridMultilevel"/>
    <w:tmpl w:val="53903F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EC1080"/>
    <w:multiLevelType w:val="hybridMultilevel"/>
    <w:tmpl w:val="6A0A981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438"/>
    <w:rsid w:val="00107EA8"/>
    <w:rsid w:val="001A1D46"/>
    <w:rsid w:val="001E7113"/>
    <w:rsid w:val="001F0FB2"/>
    <w:rsid w:val="00232A74"/>
    <w:rsid w:val="0029244F"/>
    <w:rsid w:val="002972D2"/>
    <w:rsid w:val="002C65B1"/>
    <w:rsid w:val="002D4266"/>
    <w:rsid w:val="004C0951"/>
    <w:rsid w:val="004F2662"/>
    <w:rsid w:val="00522663"/>
    <w:rsid w:val="00546520"/>
    <w:rsid w:val="00557140"/>
    <w:rsid w:val="005E12FE"/>
    <w:rsid w:val="00605F55"/>
    <w:rsid w:val="00615438"/>
    <w:rsid w:val="00666A9D"/>
    <w:rsid w:val="00686B9A"/>
    <w:rsid w:val="006F5EE4"/>
    <w:rsid w:val="00791ED6"/>
    <w:rsid w:val="00797EC3"/>
    <w:rsid w:val="00810CC9"/>
    <w:rsid w:val="008A428E"/>
    <w:rsid w:val="008D5C5D"/>
    <w:rsid w:val="00956C7A"/>
    <w:rsid w:val="009A6C25"/>
    <w:rsid w:val="009B10E5"/>
    <w:rsid w:val="009E5B44"/>
    <w:rsid w:val="009F0D16"/>
    <w:rsid w:val="00AD4E07"/>
    <w:rsid w:val="00AF1486"/>
    <w:rsid w:val="00B056D4"/>
    <w:rsid w:val="00B25F38"/>
    <w:rsid w:val="00B2661C"/>
    <w:rsid w:val="00B533C0"/>
    <w:rsid w:val="00BE3B9D"/>
    <w:rsid w:val="00BE5DD4"/>
    <w:rsid w:val="00C669EC"/>
    <w:rsid w:val="00CB16A1"/>
    <w:rsid w:val="00CF401A"/>
    <w:rsid w:val="00D80540"/>
    <w:rsid w:val="00DD65D2"/>
    <w:rsid w:val="00E30AAE"/>
    <w:rsid w:val="00E54143"/>
    <w:rsid w:val="00EC1D7D"/>
    <w:rsid w:val="00F12C5A"/>
    <w:rsid w:val="00FC2713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7D27B560-FE61-42E7-AC10-5FF4DBE9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иль реферата"/>
    <w:rsid w:val="009F0D16"/>
    <w:pPr>
      <w:widowControl w:val="0"/>
      <w:spacing w:line="260" w:lineRule="auto"/>
      <w:ind w:firstLine="340"/>
      <w:jc w:val="both"/>
    </w:pPr>
    <w:rPr>
      <w:rFonts w:ascii="Times New Roman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E7113"/>
    <w:pPr>
      <w:keepNext/>
      <w:keepLines/>
      <w:widowControl/>
      <w:overflowPunct w:val="0"/>
      <w:autoSpaceDE w:val="0"/>
      <w:autoSpaceDN w:val="0"/>
      <w:adjustRightInd w:val="0"/>
      <w:spacing w:before="480" w:line="360" w:lineRule="auto"/>
      <w:ind w:firstLine="709"/>
      <w:textAlignment w:val="baseline"/>
      <w:outlineLvl w:val="0"/>
    </w:pPr>
    <w:rPr>
      <w:rFonts w:ascii="Cambria" w:hAnsi="Cambria"/>
      <w:bCs/>
      <w:color w:val="365F9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E7113"/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styleId="a3">
    <w:name w:val="No Spacing"/>
    <w:aliases w:val="Заоголовок1"/>
    <w:uiPriority w:val="1"/>
    <w:qFormat/>
    <w:rsid w:val="00557140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hAnsi="Times New Roman" w:cs="Times New Roman"/>
      <w:b/>
      <w:bCs/>
      <w:caps/>
      <w:kern w:val="32"/>
      <w:sz w:val="28"/>
      <w:szCs w:val="32"/>
    </w:rPr>
  </w:style>
  <w:style w:type="paragraph" w:styleId="a4">
    <w:name w:val="Body Text Indent"/>
    <w:basedOn w:val="a"/>
    <w:link w:val="a5"/>
    <w:uiPriority w:val="99"/>
    <w:semiHidden/>
    <w:rsid w:val="008D5C5D"/>
    <w:pPr>
      <w:widowControl/>
      <w:spacing w:line="240" w:lineRule="auto"/>
      <w:ind w:firstLine="284"/>
    </w:pPr>
    <w:rPr>
      <w:sz w:val="28"/>
      <w:lang w:val="uk-UA" w:eastAsia="uk-UA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8D5C5D"/>
    <w:rPr>
      <w:rFonts w:ascii="Times New Roman" w:hAnsi="Times New Roman" w:cs="Times New Roman"/>
      <w:sz w:val="20"/>
      <w:szCs w:val="20"/>
      <w:lang w:val="ru-RU" w:eastAsia="uk-UA"/>
    </w:rPr>
  </w:style>
  <w:style w:type="character" w:styleId="a6">
    <w:name w:val="Hyperlink"/>
    <w:uiPriority w:val="99"/>
    <w:rsid w:val="0029244F"/>
    <w:rPr>
      <w:rFonts w:cs="Times New Roman"/>
      <w:color w:val="5F7050"/>
      <w:u w:val="none"/>
      <w:effect w:val="none"/>
    </w:rPr>
  </w:style>
  <w:style w:type="paragraph" w:styleId="a7">
    <w:name w:val="List Paragraph"/>
    <w:basedOn w:val="a"/>
    <w:uiPriority w:val="34"/>
    <w:qFormat/>
    <w:rsid w:val="00FC2713"/>
    <w:pPr>
      <w:widowControl/>
      <w:overflowPunct w:val="0"/>
      <w:autoSpaceDE w:val="0"/>
      <w:autoSpaceDN w:val="0"/>
      <w:adjustRightInd w:val="0"/>
      <w:spacing w:line="360" w:lineRule="auto"/>
      <w:ind w:left="720" w:firstLine="709"/>
      <w:contextualSpacing/>
      <w:textAlignment w:val="baseline"/>
    </w:pPr>
    <w:rPr>
      <w:sz w:val="28"/>
      <w:szCs w:val="28"/>
      <w:lang w:val="uk-UA"/>
    </w:rPr>
  </w:style>
  <w:style w:type="paragraph" w:styleId="a8">
    <w:name w:val="Title"/>
    <w:basedOn w:val="a"/>
    <w:link w:val="a9"/>
    <w:uiPriority w:val="99"/>
    <w:qFormat/>
    <w:rsid w:val="00FC2713"/>
    <w:pPr>
      <w:widowControl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FC2713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aa">
    <w:name w:val="TOC Heading"/>
    <w:basedOn w:val="1"/>
    <w:next w:val="a"/>
    <w:uiPriority w:val="39"/>
    <w:unhideWhenUsed/>
    <w:qFormat/>
    <w:rsid w:val="00B533C0"/>
    <w:pPr>
      <w:overflowPunct/>
      <w:autoSpaceDE/>
      <w:autoSpaceDN/>
      <w:adjustRightInd/>
      <w:spacing w:line="276" w:lineRule="auto"/>
      <w:ind w:firstLine="0"/>
      <w:jc w:val="left"/>
      <w:textAlignment w:val="auto"/>
      <w:outlineLvl w:val="9"/>
    </w:pPr>
    <w:rPr>
      <w:b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B533C0"/>
    <w:pPr>
      <w:widowControl/>
      <w:tabs>
        <w:tab w:val="right" w:leader="dot" w:pos="9629"/>
      </w:tabs>
      <w:overflowPunct w:val="0"/>
      <w:autoSpaceDE w:val="0"/>
      <w:autoSpaceDN w:val="0"/>
      <w:adjustRightInd w:val="0"/>
      <w:spacing w:after="100" w:line="360" w:lineRule="auto"/>
      <w:ind w:firstLine="709"/>
      <w:textAlignment w:val="baseline"/>
    </w:pPr>
    <w:rPr>
      <w:b/>
      <w:noProof/>
      <w:sz w:val="28"/>
      <w:szCs w:val="28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533C0"/>
    <w:pPr>
      <w:widowControl/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rFonts w:ascii="Tahoma" w:hAnsi="Tahoma" w:cs="Tahoma"/>
      <w:sz w:val="16"/>
      <w:szCs w:val="16"/>
      <w:lang w:val="uk-UA"/>
    </w:rPr>
  </w:style>
  <w:style w:type="character" w:customStyle="1" w:styleId="ac">
    <w:name w:val="Текст выноски Знак"/>
    <w:link w:val="ab"/>
    <w:uiPriority w:val="99"/>
    <w:semiHidden/>
    <w:locked/>
    <w:rsid w:val="00B533C0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"/>
    <w:link w:val="ae"/>
    <w:uiPriority w:val="99"/>
    <w:semiHidden/>
    <w:unhideWhenUsed/>
    <w:rsid w:val="00B533C0"/>
    <w:pPr>
      <w:widowControl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8"/>
      <w:szCs w:val="28"/>
      <w:lang w:val="uk-UA"/>
    </w:rPr>
  </w:style>
  <w:style w:type="character" w:customStyle="1" w:styleId="ae">
    <w:name w:val="Верхний колонтитул Знак"/>
    <w:link w:val="ad"/>
    <w:uiPriority w:val="99"/>
    <w:semiHidden/>
    <w:locked/>
    <w:rsid w:val="00B533C0"/>
    <w:rPr>
      <w:rFonts w:ascii="Times New Roman" w:hAnsi="Times New Roman" w:cs="Times New Roman"/>
      <w:sz w:val="28"/>
      <w:szCs w:val="28"/>
      <w:lang w:val="x-none" w:eastAsia="ru-RU"/>
    </w:rPr>
  </w:style>
  <w:style w:type="paragraph" w:styleId="af">
    <w:name w:val="footer"/>
    <w:basedOn w:val="a"/>
    <w:link w:val="af0"/>
    <w:uiPriority w:val="99"/>
    <w:unhideWhenUsed/>
    <w:rsid w:val="00B533C0"/>
    <w:pPr>
      <w:widowControl/>
      <w:tabs>
        <w:tab w:val="center" w:pos="4819"/>
        <w:tab w:val="right" w:pos="9639"/>
      </w:tabs>
      <w:overflowPunct w:val="0"/>
      <w:autoSpaceDE w:val="0"/>
      <w:autoSpaceDN w:val="0"/>
      <w:adjustRightInd w:val="0"/>
      <w:spacing w:line="240" w:lineRule="auto"/>
      <w:ind w:firstLine="709"/>
      <w:textAlignment w:val="baseline"/>
    </w:pPr>
    <w:rPr>
      <w:sz w:val="28"/>
      <w:szCs w:val="28"/>
      <w:lang w:val="uk-UA"/>
    </w:rPr>
  </w:style>
  <w:style w:type="character" w:customStyle="1" w:styleId="af0">
    <w:name w:val="Нижний колонтитул Знак"/>
    <w:link w:val="af"/>
    <w:uiPriority w:val="99"/>
    <w:locked/>
    <w:rsid w:val="00B533C0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8220</Words>
  <Characters>46856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2014-03-13T11:55:00Z</dcterms:created>
  <dcterms:modified xsi:type="dcterms:W3CDTF">2014-03-13T11:55:00Z</dcterms:modified>
</cp:coreProperties>
</file>