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Министерство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образования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науки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</w:t>
      </w: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Санкт-Петербургского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государственного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политехнического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университета</w:t>
      </w: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Кафедра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аудита</w:t>
      </w: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514FA">
        <w:rPr>
          <w:b/>
          <w:color w:val="000000"/>
          <w:sz w:val="28"/>
          <w:szCs w:val="28"/>
        </w:rPr>
        <w:t>К</w:t>
      </w:r>
      <w:r w:rsidR="00CC1236" w:rsidRPr="007514FA">
        <w:rPr>
          <w:b/>
          <w:color w:val="000000"/>
          <w:sz w:val="28"/>
          <w:szCs w:val="28"/>
        </w:rPr>
        <w:t>урсовая работа</w:t>
      </w: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курсу: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отчетность</w:t>
      </w: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тему: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Бухгалтерский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учет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санкционирования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расходов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на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примере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Службы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по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контролю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за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оборотом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наркотиков</w:t>
      </w: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3CC9" w:rsidRPr="007514FA" w:rsidRDefault="008E3CC9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B2C6D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6763" w:rsidRPr="007514FA" w:rsidRDefault="00956763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6763" w:rsidRPr="007514FA" w:rsidRDefault="00956763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1236" w:rsidRPr="007514FA" w:rsidRDefault="00CC1236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1236" w:rsidRPr="007514FA" w:rsidRDefault="00CC1236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E3CC9" w:rsidRPr="007514FA" w:rsidRDefault="008E3CC9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1236" w:rsidRPr="007514FA" w:rsidRDefault="00CC1236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1236" w:rsidRPr="007514FA" w:rsidRDefault="00BB2C6D" w:rsidP="008E3CC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2010</w:t>
      </w:r>
    </w:p>
    <w:p w:rsidR="00BB2C6D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br w:type="page"/>
      </w:r>
      <w:r w:rsidR="00BB2C6D" w:rsidRPr="007514FA">
        <w:rPr>
          <w:b/>
          <w:color w:val="000000"/>
          <w:sz w:val="28"/>
          <w:szCs w:val="28"/>
        </w:rPr>
        <w:t>С</w:t>
      </w:r>
      <w:r w:rsidRPr="007514FA">
        <w:rPr>
          <w:b/>
          <w:color w:val="000000"/>
          <w:sz w:val="28"/>
          <w:szCs w:val="28"/>
        </w:rPr>
        <w:t>одержание</w:t>
      </w:r>
    </w:p>
    <w:p w:rsidR="00BB2C6D" w:rsidRPr="007514FA" w:rsidRDefault="00BB2C6D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2C6D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Введение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BB2C6D" w:rsidP="00CC1236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1.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Теоретические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аспекты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учреждении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1.1</w:t>
      </w:r>
      <w:r w:rsidR="00CC1236" w:rsidRPr="007514FA">
        <w:rPr>
          <w:color w:val="000000"/>
          <w:sz w:val="28"/>
          <w:szCs w:val="28"/>
        </w:rPr>
        <w:t xml:space="preserve"> </w:t>
      </w:r>
      <w:r w:rsidR="00917EF6"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917EF6"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="00917EF6" w:rsidRPr="007514FA">
        <w:rPr>
          <w:color w:val="000000"/>
          <w:sz w:val="28"/>
          <w:szCs w:val="28"/>
        </w:rPr>
        <w:t>финансов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917EF6"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917EF6" w:rsidRPr="007514FA">
        <w:rPr>
          <w:color w:val="000000"/>
          <w:sz w:val="28"/>
          <w:szCs w:val="28"/>
        </w:rPr>
        <w:t>организаций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CC1236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 xml:space="preserve">1.2 </w:t>
      </w:r>
      <w:r w:rsidR="00BB2C6D" w:rsidRPr="007514FA">
        <w:rPr>
          <w:color w:val="000000"/>
          <w:sz w:val="28"/>
          <w:szCs w:val="28"/>
        </w:rPr>
        <w:t>Учет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санкционирования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расходов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в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бюджетных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учреждениях</w:t>
      </w:r>
      <w:r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CC1236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 xml:space="preserve">1.3 </w:t>
      </w:r>
      <w:r w:rsidR="00BB2C6D" w:rsidRPr="007514FA">
        <w:rPr>
          <w:color w:val="000000"/>
          <w:sz w:val="28"/>
          <w:szCs w:val="28"/>
        </w:rPr>
        <w:t>Документационное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обеспечение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операций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санкционированию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расходов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в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бюджетных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организациях</w:t>
      </w:r>
      <w:r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2.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Характеристика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Еврейской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автономной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области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регионального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управления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Федеральной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оборотом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наркотиков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2.1</w:t>
      </w:r>
      <w:r w:rsidR="00CC1236" w:rsidRPr="007514FA">
        <w:rPr>
          <w:color w:val="000000"/>
          <w:sz w:val="28"/>
          <w:szCs w:val="28"/>
        </w:rPr>
        <w:t xml:space="preserve"> </w:t>
      </w:r>
      <w:r w:rsidR="00B074DC" w:rsidRPr="007514FA">
        <w:rPr>
          <w:color w:val="000000"/>
          <w:sz w:val="28"/>
          <w:szCs w:val="28"/>
        </w:rPr>
        <w:t>О</w:t>
      </w:r>
      <w:r w:rsidRPr="007514FA">
        <w:rPr>
          <w:color w:val="000000"/>
          <w:sz w:val="28"/>
          <w:szCs w:val="28"/>
        </w:rPr>
        <w:t>рганизационно-экономическая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характеристика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CC1236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 xml:space="preserve">2.2 </w:t>
      </w:r>
      <w:r w:rsidR="00BB2C6D" w:rsidRPr="007514FA">
        <w:rPr>
          <w:color w:val="000000"/>
          <w:sz w:val="28"/>
          <w:szCs w:val="28"/>
        </w:rPr>
        <w:t>Основные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положения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учетной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политики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Службы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ЕАО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РУФСКН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РФ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Хабаровскому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краю</w:t>
      </w:r>
      <w:r w:rsidRPr="007514FA">
        <w:rPr>
          <w:color w:val="000000"/>
          <w:sz w:val="28"/>
          <w:szCs w:val="28"/>
        </w:rPr>
        <w:t xml:space="preserve"> </w:t>
      </w:r>
    </w:p>
    <w:p w:rsidR="00BB2C6D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3.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E22362" w:rsidRPr="007514FA" w:rsidRDefault="00CC1236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 xml:space="preserve">3.1 </w:t>
      </w:r>
      <w:r w:rsidR="00BB2C6D" w:rsidRPr="007514FA">
        <w:rPr>
          <w:color w:val="000000"/>
          <w:sz w:val="28"/>
          <w:szCs w:val="28"/>
        </w:rPr>
        <w:t>Санкционирование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расходов</w:t>
      </w:r>
      <w:r w:rsidRPr="007514FA">
        <w:rPr>
          <w:color w:val="000000"/>
          <w:sz w:val="28"/>
          <w:szCs w:val="28"/>
        </w:rPr>
        <w:t xml:space="preserve"> </w:t>
      </w:r>
      <w:r w:rsidR="00BB2C6D" w:rsidRPr="007514FA">
        <w:rPr>
          <w:color w:val="000000"/>
          <w:sz w:val="28"/>
          <w:szCs w:val="28"/>
        </w:rPr>
        <w:t>бюджета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Службы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ЕАО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РУФСКН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РФ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Хабаровскому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краю</w:t>
      </w:r>
      <w:r w:rsidRPr="007514FA">
        <w:rPr>
          <w:color w:val="000000"/>
          <w:sz w:val="28"/>
          <w:szCs w:val="28"/>
        </w:rPr>
        <w:t xml:space="preserve"> </w:t>
      </w:r>
    </w:p>
    <w:p w:rsidR="00E22362" w:rsidRPr="007514FA" w:rsidRDefault="00CC1236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 xml:space="preserve">3.2 </w:t>
      </w:r>
      <w:r w:rsidR="00E22362" w:rsidRPr="007514FA">
        <w:rPr>
          <w:color w:val="000000"/>
          <w:sz w:val="28"/>
          <w:szCs w:val="28"/>
        </w:rPr>
        <w:t>Пути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совершенствования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бухгалтерского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учета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санкционирования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расходов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Службы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ЕАО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РУФСКН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РФ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Хабаровскому</w:t>
      </w:r>
      <w:r w:rsidRPr="007514FA">
        <w:rPr>
          <w:color w:val="000000"/>
          <w:sz w:val="28"/>
          <w:szCs w:val="28"/>
        </w:rPr>
        <w:t xml:space="preserve"> </w:t>
      </w:r>
      <w:r w:rsidR="00E22362" w:rsidRPr="007514FA">
        <w:rPr>
          <w:color w:val="000000"/>
          <w:sz w:val="28"/>
          <w:szCs w:val="28"/>
        </w:rPr>
        <w:t>краю</w:t>
      </w:r>
      <w:r w:rsidRPr="007514FA">
        <w:rPr>
          <w:color w:val="000000"/>
          <w:sz w:val="28"/>
          <w:szCs w:val="28"/>
        </w:rPr>
        <w:t xml:space="preserve"> </w:t>
      </w:r>
    </w:p>
    <w:p w:rsidR="00E22362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Выводы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E22362" w:rsidRPr="007514FA" w:rsidRDefault="00BB2C6D" w:rsidP="00CC1236">
      <w:pPr>
        <w:spacing w:line="360" w:lineRule="auto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Список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литературы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2C6D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br w:type="page"/>
      </w:r>
      <w:r w:rsidR="00E22362" w:rsidRPr="007514FA">
        <w:rPr>
          <w:b/>
          <w:color w:val="000000"/>
          <w:sz w:val="28"/>
          <w:szCs w:val="28"/>
        </w:rPr>
        <w:t>Введение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4521" w:rsidRPr="007514FA" w:rsidRDefault="00854521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Актуальность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темы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курсовой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работы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состоит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том,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2004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предусмотрено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отражение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(и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других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участников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процесса)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Ранее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распорядителей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отражались.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осуществлялся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Ведомостям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кассовых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Ведомостям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главного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распорядителя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(распорядителя)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Однако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исключением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указанных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распорядителей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перед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баланса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исполнения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сметы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последнего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регистры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велись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крайне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неаккуратно,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позволяло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документально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обосновать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свои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финансирования.</w:t>
      </w:r>
    </w:p>
    <w:p w:rsidR="00854521" w:rsidRPr="007514FA" w:rsidRDefault="00854521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Целью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курсовой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работы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является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рассмотрение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примере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Еврейской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автономной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области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регионального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управления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Федеральной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оборотом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наркотиков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краю.</w:t>
      </w:r>
    </w:p>
    <w:p w:rsidR="00854521" w:rsidRPr="007514FA" w:rsidRDefault="00854521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задачам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курсовой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работы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относятся:</w:t>
      </w:r>
    </w:p>
    <w:p w:rsidR="00854521" w:rsidRPr="007514FA" w:rsidRDefault="009B67C7" w:rsidP="00CC123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изучение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учреждениях;</w:t>
      </w:r>
    </w:p>
    <w:p w:rsidR="009B67C7" w:rsidRPr="007514FA" w:rsidRDefault="009B67C7" w:rsidP="00CC123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рассмотрение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положений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учреждении;</w:t>
      </w:r>
    </w:p>
    <w:p w:rsidR="009B67C7" w:rsidRPr="007514FA" w:rsidRDefault="009B67C7" w:rsidP="00CC123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рассмотрение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политики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результата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краю;</w:t>
      </w:r>
    </w:p>
    <w:p w:rsidR="009B67C7" w:rsidRPr="007514FA" w:rsidRDefault="009B67C7" w:rsidP="00CC123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рассмотрение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внесение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предложений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совершенствованию.</w:t>
      </w:r>
    </w:p>
    <w:p w:rsidR="00E2689C" w:rsidRPr="007514FA" w:rsidRDefault="00E2689C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Объектом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исследования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Служба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Еврейской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автономной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области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регионального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управления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Федеральной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службы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РФ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контролю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оборотом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наркотиков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Хабаровскому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краю,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беспечивающая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пределах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своей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компетенции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контроль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оборотом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наркотических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средств,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психотропных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веществ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их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прекурсоров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осуществление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мер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противодействию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их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незаконному</w:t>
      </w:r>
      <w:r w:rsidR="00CC1236"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iCs/>
          <w:color w:val="000000"/>
          <w:sz w:val="28"/>
          <w:szCs w:val="28"/>
          <w:lang w:val="ru-RU"/>
        </w:rPr>
        <w:t>обороту</w:t>
      </w:r>
    </w:p>
    <w:p w:rsidR="00E2689C" w:rsidRPr="007514FA" w:rsidRDefault="00E2689C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Предметом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исследования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является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санкционировании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расходов.</w:t>
      </w:r>
    </w:p>
    <w:p w:rsidR="00E2689C" w:rsidRPr="007514FA" w:rsidRDefault="00E2689C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ходе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выполнения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исследования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использованы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нормативно-правовая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документация,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учебно-методическая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литература,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внутренняя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документация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предприятия,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источники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Интернет.</w:t>
      </w:r>
    </w:p>
    <w:p w:rsidR="00E2689C" w:rsidRPr="007514FA" w:rsidRDefault="00E2689C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B67C7" w:rsidRPr="007514FA" w:rsidRDefault="009B67C7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362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b/>
          <w:color w:val="000000"/>
          <w:sz w:val="28"/>
          <w:szCs w:val="28"/>
        </w:rPr>
        <w:br w:type="page"/>
      </w:r>
      <w:r w:rsidR="00E22362" w:rsidRPr="007514FA">
        <w:rPr>
          <w:b/>
          <w:color w:val="000000"/>
          <w:sz w:val="28"/>
          <w:szCs w:val="28"/>
        </w:rPr>
        <w:t>1.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Теоретические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аспекты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бухгалтерского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учета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санкционирования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расходов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в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бюджетном</w:t>
      </w:r>
      <w:r w:rsidRPr="007514FA">
        <w:rPr>
          <w:b/>
          <w:color w:val="000000"/>
          <w:sz w:val="28"/>
          <w:szCs w:val="28"/>
        </w:rPr>
        <w:t xml:space="preserve"> </w:t>
      </w:r>
      <w:r w:rsidR="00E22362" w:rsidRPr="007514FA">
        <w:rPr>
          <w:b/>
          <w:color w:val="000000"/>
          <w:sz w:val="28"/>
          <w:szCs w:val="28"/>
        </w:rPr>
        <w:t>учреждении</w:t>
      </w:r>
    </w:p>
    <w:p w:rsidR="00E22362" w:rsidRPr="007514FA" w:rsidRDefault="00E22362" w:rsidP="00CC1236">
      <w:pPr>
        <w:tabs>
          <w:tab w:val="num" w:pos="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2362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rStyle w:val="a6"/>
          <w:color w:val="000000"/>
          <w:sz w:val="28"/>
          <w:szCs w:val="28"/>
        </w:rPr>
        <w:t xml:space="preserve">1.1 </w:t>
      </w:r>
      <w:r w:rsidR="00917EF6" w:rsidRPr="007514FA">
        <w:rPr>
          <w:rStyle w:val="a6"/>
          <w:color w:val="000000"/>
          <w:sz w:val="28"/>
          <w:szCs w:val="28"/>
        </w:rPr>
        <w:t>Бухгалтерский</w:t>
      </w:r>
      <w:r w:rsidRPr="007514FA">
        <w:rPr>
          <w:rStyle w:val="a6"/>
          <w:color w:val="000000"/>
          <w:sz w:val="28"/>
          <w:szCs w:val="28"/>
        </w:rPr>
        <w:t xml:space="preserve"> </w:t>
      </w:r>
      <w:r w:rsidR="00917EF6" w:rsidRPr="007514FA">
        <w:rPr>
          <w:rStyle w:val="a6"/>
          <w:color w:val="000000"/>
          <w:sz w:val="28"/>
          <w:szCs w:val="28"/>
        </w:rPr>
        <w:t>учет</w:t>
      </w:r>
      <w:r w:rsidRPr="007514FA">
        <w:rPr>
          <w:rStyle w:val="a6"/>
          <w:color w:val="000000"/>
          <w:sz w:val="28"/>
          <w:szCs w:val="28"/>
        </w:rPr>
        <w:t xml:space="preserve"> </w:t>
      </w:r>
      <w:r w:rsidR="00917EF6" w:rsidRPr="007514FA">
        <w:rPr>
          <w:rStyle w:val="a6"/>
          <w:color w:val="000000"/>
          <w:sz w:val="28"/>
          <w:szCs w:val="28"/>
        </w:rPr>
        <w:t>финансов</w:t>
      </w:r>
      <w:r w:rsidRPr="007514FA">
        <w:rPr>
          <w:rStyle w:val="a6"/>
          <w:color w:val="000000"/>
          <w:sz w:val="28"/>
          <w:szCs w:val="28"/>
        </w:rPr>
        <w:t xml:space="preserve"> </w:t>
      </w:r>
      <w:r w:rsidR="00917EF6" w:rsidRPr="007514FA">
        <w:rPr>
          <w:rStyle w:val="a6"/>
          <w:color w:val="000000"/>
          <w:sz w:val="28"/>
          <w:szCs w:val="28"/>
        </w:rPr>
        <w:t>бюджетной</w:t>
      </w:r>
      <w:r w:rsidRPr="007514FA">
        <w:rPr>
          <w:rStyle w:val="a6"/>
          <w:color w:val="000000"/>
          <w:sz w:val="28"/>
          <w:szCs w:val="28"/>
        </w:rPr>
        <w:t xml:space="preserve"> </w:t>
      </w:r>
      <w:r w:rsidR="00917EF6" w:rsidRPr="007514FA">
        <w:rPr>
          <w:rStyle w:val="a6"/>
          <w:color w:val="000000"/>
          <w:sz w:val="28"/>
          <w:szCs w:val="28"/>
        </w:rPr>
        <w:t>организации</w:t>
      </w:r>
    </w:p>
    <w:p w:rsidR="00E22362" w:rsidRPr="007514FA" w:rsidRDefault="008E3CC9" w:rsidP="00CC1236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7514FA">
        <w:rPr>
          <w:b/>
          <w:color w:val="FFFFFF"/>
          <w:sz w:val="28"/>
          <w:szCs w:val="28"/>
        </w:rPr>
        <w:t>бухгалтерский учет санкционирование расход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представляет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собой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упорядоченную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систему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сбора,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регистрации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обобщения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информации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денежном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выражении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состоянии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нефинансовых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активов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субъектов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муниципальных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образований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операциях,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приводящих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изменению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вышеуказанных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активов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осуществляется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Федеральным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"О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учете",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законодательством,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нормативными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правовыми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актами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Инструкцией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учету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[4,с.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13]</w:t>
      </w:r>
      <w:r w:rsidRPr="007514FA">
        <w:rPr>
          <w:color w:val="000000"/>
          <w:sz w:val="28"/>
          <w:szCs w:val="28"/>
        </w:rPr>
        <w:t>.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средствам,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полученным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внебюджетных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источников,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также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централизованному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снабжению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материальными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ценностями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применяется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Минфином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составе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Инструкции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учету.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Номер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состоит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26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разрядов.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формировании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номера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используется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структура: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1-17-й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разряд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классификации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ведомственной,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функциональной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классификации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классификации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источников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дефицита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бюджетов;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18-й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разряд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вида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деятельности: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приносящая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средствами,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находящимися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временном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распоряжении,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3;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19-21-й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разряд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синтетического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учета;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22-23-й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разряд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учета;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24-26-й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разряд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классификации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сектора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государственного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управления.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Разряды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18-23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образуют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[3,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п.1]</w:t>
      </w:r>
      <w:r w:rsidRPr="007514FA">
        <w:rPr>
          <w:color w:val="000000"/>
          <w:sz w:val="28"/>
          <w:szCs w:val="28"/>
        </w:rPr>
        <w:t>.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должен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обеспечивать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систематический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ходом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исполнения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смет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состоянием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юридическими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физическими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лицами,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сохранностью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денежных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материальных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ценностей.</w:t>
      </w:r>
    </w:p>
    <w:p w:rsidR="00E22362" w:rsidRPr="007514FA" w:rsidRDefault="00E2236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обязанности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входит: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ведение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требованиями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действующего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законодательства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Инструкции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других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нормативных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правовых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актов;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осуществление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предварительного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заключаемых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договоров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лимитам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казначейском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обслуживании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через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лицевые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своевременным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правильным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оформлением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первичных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законностью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совершаемых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контроль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правильным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экономным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расходованием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целевым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назначением;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начисление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выплата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установленные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сроки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заработной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работникам,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стипендий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учащимся,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студентам,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аспирантам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учебных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заведений;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своевременное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проведение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расчетов,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возникающих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процессе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исполнения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</w:t>
      </w:r>
      <w:r w:rsidR="006634ED" w:rsidRPr="007514FA">
        <w:rPr>
          <w:color w:val="000000"/>
          <w:sz w:val="28"/>
          <w:szCs w:val="28"/>
        </w:rPr>
        <w:t>елах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6634ED" w:rsidRPr="007514FA">
        <w:rPr>
          <w:color w:val="000000"/>
          <w:sz w:val="28"/>
          <w:szCs w:val="28"/>
        </w:rPr>
        <w:t>санкционированных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6634ED" w:rsidRPr="007514FA">
        <w:rPr>
          <w:color w:val="000000"/>
          <w:sz w:val="28"/>
          <w:szCs w:val="28"/>
        </w:rPr>
        <w:t>расходов</w:t>
      </w:r>
      <w:r w:rsidRPr="007514FA">
        <w:rPr>
          <w:color w:val="000000"/>
          <w:sz w:val="28"/>
          <w:szCs w:val="28"/>
        </w:rPr>
        <w:t>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организациями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отдельными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физическими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лицами;</w:t>
      </w:r>
    </w:p>
    <w:p w:rsidR="009652C9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ведение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средствам,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полученным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внебюджетных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источников;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участие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проведении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инвентаризации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имущества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своевременное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правильное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определение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результатов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инвентаризации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отражение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учете;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составление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представление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установленном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порядке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предусмотренные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сроки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отчетности;</w:t>
      </w:r>
    </w:p>
    <w:p w:rsidR="00E22362" w:rsidRPr="007514FA" w:rsidRDefault="00E22362" w:rsidP="00CC1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хранение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(первичных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регистров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отчетности,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также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смет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т.п.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как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бумажных,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так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машинных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носителях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информации)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правилами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организации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государственного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архивного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дела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[7,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с.211]</w:t>
      </w:r>
      <w:r w:rsidRPr="007514FA">
        <w:rPr>
          <w:color w:val="000000"/>
          <w:sz w:val="28"/>
          <w:szCs w:val="28"/>
        </w:rPr>
        <w:t>.</w:t>
      </w:r>
    </w:p>
    <w:p w:rsidR="00917EF6" w:rsidRPr="007514FA" w:rsidRDefault="00917EF6" w:rsidP="00CC1236">
      <w:pPr>
        <w:pStyle w:val="3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учёт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учреждениях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валюте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Российской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Федерации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рублях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копейках.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Ведение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учёта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отчетности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осуществляется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русском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языке.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учёт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ведётся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учреждением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непрерывно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момента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качестве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юридического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лица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реорганизации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ликвидации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порядке,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установленном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законодательством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Российской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Федерации.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Учреждения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расходуют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целевому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назначению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соответствии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действующим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законодательством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меру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выполнения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мероприятий,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предусмотренных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сметами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доходов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расходов,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строго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соблюдая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финансово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бюджетную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дисциплину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обеспечивая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экономию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материальных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ценностей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средств.</w:t>
      </w:r>
    </w:p>
    <w:p w:rsidR="00917EF6" w:rsidRPr="007514FA" w:rsidRDefault="00917EF6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Хозяйственные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отражаются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бумажных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машиночитаемых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носителях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информации.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Следовательно,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любой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носитель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информации,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помощью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которого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подвергаются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первичной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регистрации.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оформляются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любые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последовательности,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которой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они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совершаются.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обеспечивает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сплошной,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непрерывный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всех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объектов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юридическое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обоснование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записей,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которые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делают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основании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имеющих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доказательную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силу;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использование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оперативного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руководства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деятельностью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организации;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сохранностью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собственности,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так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как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подтверждается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материальная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ответственность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работников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доверенные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ценности;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укрепление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законности,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поскольку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служат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источниками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сведений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правильности,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целесообразности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каждой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ревизиях.</w:t>
      </w:r>
    </w:p>
    <w:p w:rsidR="00917EF6" w:rsidRPr="007514FA" w:rsidRDefault="00917EF6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учреждений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непроизводственной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сферы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наиболее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характерно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ведение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мемориально-ордерной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журнально-ордерной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формам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учета.</w:t>
      </w:r>
    </w:p>
    <w:p w:rsidR="00917EF6" w:rsidRPr="007514FA" w:rsidRDefault="00917EF6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Мемориально-ордерная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определяется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следующими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признаками: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количеством,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структурой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внешним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видом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регистров,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последовательностью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связей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между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регистрами,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также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между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самими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способом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записи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них,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использованием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тех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технических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мемориально-ордерной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проверенные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принятые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систематизируются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датам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совершения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ордерами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накопительными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ведомостями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  <w:szCs w:val="28"/>
          <w:lang w:val="ru-RU"/>
        </w:rPr>
        <w:t>[11,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  <w:szCs w:val="28"/>
          <w:lang w:val="ru-RU"/>
        </w:rPr>
        <w:t>с.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  <w:szCs w:val="28"/>
          <w:lang w:val="ru-RU"/>
        </w:rPr>
        <w:t>63]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17EF6" w:rsidRPr="007514FA" w:rsidRDefault="00917EF6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ордера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подписываются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главным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заместителем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исполнителем,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ордера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регистрируются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книге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«Журнал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главная».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книге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«Журнал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главная»,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правило,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субсчетам,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решению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главного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вестись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счетам.</w:t>
      </w:r>
    </w:p>
    <w:p w:rsidR="00917EF6" w:rsidRPr="007514FA" w:rsidRDefault="00917EF6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Мемориально-ордерная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отличается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строгой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последовательностью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учетного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процесса,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простотой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доступностью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техники,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широко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используются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стандартные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аналитических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регистров,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счетные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машины.</w:t>
      </w:r>
    </w:p>
    <w:p w:rsidR="00917EF6" w:rsidRPr="007514FA" w:rsidRDefault="00917EF6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Недостатками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мемориально-ордерной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являются: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трудоемкость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отрыв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аналитического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синтетического,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громоздкость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аналитического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формы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порой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содержат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показателей,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необходимых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контроля,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анализа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хозяйственной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составления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отчетности.</w:t>
      </w:r>
    </w:p>
    <w:p w:rsidR="008E3CC9" w:rsidRPr="007514FA" w:rsidRDefault="008E3CC9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17EF6" w:rsidRPr="007514FA" w:rsidRDefault="00C13E6B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492pt" fillcolor="window">
            <v:imagedata r:id="rId7" o:title=""/>
          </v:shape>
        </w:pict>
      </w:r>
    </w:p>
    <w:p w:rsidR="008E3CC9" w:rsidRPr="007514FA" w:rsidRDefault="008E3CC9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377" w:rsidRPr="007514FA" w:rsidRDefault="001A2377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настоящее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время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автоматизацией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организации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чаще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используют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журнально-ордерную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форму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учета.</w:t>
      </w:r>
    </w:p>
    <w:p w:rsidR="001A2377" w:rsidRPr="007514FA" w:rsidRDefault="001A2377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Основными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особенностями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журнально-ордерной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формы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являются:</w:t>
      </w:r>
    </w:p>
    <w:p w:rsidR="001A2377" w:rsidRPr="007514FA" w:rsidRDefault="001A2377" w:rsidP="00CC123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применение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ордеров,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которых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только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кредитовому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признаку;</w:t>
      </w:r>
    </w:p>
    <w:p w:rsidR="001A2377" w:rsidRPr="007514FA" w:rsidRDefault="001A2377" w:rsidP="00CC123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совмещение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ряде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ордеров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синтетического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учета;</w:t>
      </w:r>
    </w:p>
    <w:p w:rsidR="001A2377" w:rsidRPr="007514FA" w:rsidRDefault="001A2377" w:rsidP="00CC123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отражение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журналах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ордерах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разрезе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показателей,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необходимых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составления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отчетности;</w:t>
      </w:r>
    </w:p>
    <w:p w:rsidR="001A2377" w:rsidRPr="007514FA" w:rsidRDefault="001A2377" w:rsidP="00CC123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сокращение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количества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записей,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благодаря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рациональному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построению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ордеров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Главной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книги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[11,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</w:rPr>
        <w:t>с.69]</w:t>
      </w:r>
      <w:r w:rsidRPr="007514FA">
        <w:rPr>
          <w:color w:val="000000"/>
          <w:sz w:val="28"/>
          <w:szCs w:val="28"/>
        </w:rPr>
        <w:t>.</w:t>
      </w:r>
    </w:p>
    <w:p w:rsidR="001A2377" w:rsidRPr="007514FA" w:rsidRDefault="001A2377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377" w:rsidRPr="007514FA" w:rsidRDefault="00C13E6B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47.75pt;height:398.25pt" fillcolor="window">
            <v:imagedata r:id="rId8" o:title=""/>
          </v:shape>
        </w:pict>
      </w:r>
    </w:p>
    <w:p w:rsidR="001A2377" w:rsidRPr="007514FA" w:rsidRDefault="001A2377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Применение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журнально-ордерной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формы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позволяет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значительно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уменьшить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трудоемкость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совмещения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одном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регистре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синтетического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облегчает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составление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отчетов.</w:t>
      </w:r>
    </w:p>
    <w:p w:rsidR="001A2377" w:rsidRPr="007514FA" w:rsidRDefault="001A2377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недостаткам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журнально-ордерной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формы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отнести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сложность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громоздкость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построения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журналов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ордеров,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ориентированных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ручное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заполнение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затрудняющих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механизацию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учета.</w:t>
      </w:r>
    </w:p>
    <w:p w:rsidR="009652C9" w:rsidRPr="007514FA" w:rsidRDefault="009652C9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2377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b/>
          <w:color w:val="000000"/>
          <w:sz w:val="28"/>
          <w:szCs w:val="28"/>
        </w:rPr>
        <w:t xml:space="preserve">1.2 </w:t>
      </w:r>
      <w:r w:rsidR="001A2377" w:rsidRPr="007514FA">
        <w:rPr>
          <w:b/>
          <w:color w:val="000000"/>
          <w:sz w:val="28"/>
          <w:szCs w:val="28"/>
        </w:rPr>
        <w:t>Учет</w:t>
      </w:r>
      <w:r w:rsidRPr="007514FA">
        <w:rPr>
          <w:b/>
          <w:color w:val="000000"/>
          <w:sz w:val="28"/>
          <w:szCs w:val="28"/>
        </w:rPr>
        <w:t xml:space="preserve"> </w:t>
      </w:r>
      <w:r w:rsidR="001A2377" w:rsidRPr="007514FA">
        <w:rPr>
          <w:b/>
          <w:color w:val="000000"/>
          <w:sz w:val="28"/>
          <w:szCs w:val="28"/>
        </w:rPr>
        <w:t>санкционирования</w:t>
      </w:r>
      <w:r w:rsidRPr="007514FA">
        <w:rPr>
          <w:b/>
          <w:color w:val="000000"/>
          <w:sz w:val="28"/>
          <w:szCs w:val="28"/>
        </w:rPr>
        <w:t xml:space="preserve"> </w:t>
      </w:r>
      <w:r w:rsidR="001A2377" w:rsidRPr="007514FA">
        <w:rPr>
          <w:b/>
          <w:color w:val="000000"/>
          <w:sz w:val="28"/>
          <w:szCs w:val="28"/>
        </w:rPr>
        <w:t>расходов</w:t>
      </w:r>
      <w:r w:rsidRPr="007514FA">
        <w:rPr>
          <w:b/>
          <w:color w:val="000000"/>
          <w:sz w:val="28"/>
          <w:szCs w:val="28"/>
        </w:rPr>
        <w:t xml:space="preserve"> </w:t>
      </w:r>
      <w:r w:rsidR="001A2377" w:rsidRPr="007514FA">
        <w:rPr>
          <w:b/>
          <w:color w:val="000000"/>
          <w:sz w:val="28"/>
          <w:szCs w:val="28"/>
        </w:rPr>
        <w:t>в</w:t>
      </w:r>
      <w:r w:rsidRPr="007514FA">
        <w:rPr>
          <w:b/>
          <w:color w:val="000000"/>
          <w:sz w:val="28"/>
          <w:szCs w:val="28"/>
        </w:rPr>
        <w:t xml:space="preserve"> </w:t>
      </w:r>
      <w:r w:rsidR="001A2377" w:rsidRPr="007514FA">
        <w:rPr>
          <w:b/>
          <w:color w:val="000000"/>
          <w:sz w:val="28"/>
          <w:szCs w:val="28"/>
        </w:rPr>
        <w:t>бюджетных</w:t>
      </w:r>
      <w:r w:rsidRPr="007514FA">
        <w:rPr>
          <w:b/>
          <w:color w:val="000000"/>
          <w:sz w:val="28"/>
          <w:szCs w:val="28"/>
        </w:rPr>
        <w:t xml:space="preserve"> </w:t>
      </w:r>
      <w:r w:rsidR="001A2377" w:rsidRPr="007514FA">
        <w:rPr>
          <w:b/>
          <w:color w:val="000000"/>
          <w:sz w:val="28"/>
          <w:szCs w:val="28"/>
        </w:rPr>
        <w:t>учреждениях</w:t>
      </w:r>
      <w:r w:rsidRPr="007514FA">
        <w:rPr>
          <w:b/>
          <w:color w:val="000000"/>
          <w:sz w:val="28"/>
          <w:szCs w:val="28"/>
        </w:rPr>
        <w:t xml:space="preserve"> </w:t>
      </w:r>
    </w:p>
    <w:p w:rsidR="001A2377" w:rsidRPr="007514FA" w:rsidRDefault="001A2377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2377" w:rsidRPr="007514FA" w:rsidRDefault="00525AF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Санкционирование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высшей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инстанцией.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После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принятия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представительными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власти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решения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исполнительные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власти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возможностей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вносят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уточненный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проект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Конкретный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покрытия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определяется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решения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предстоящий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год.</w:t>
      </w:r>
    </w:p>
    <w:p w:rsidR="00525AF2" w:rsidRPr="007514FA" w:rsidRDefault="00525AF2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обязаны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525AF2" w:rsidRPr="007514FA" w:rsidRDefault="00525AF2" w:rsidP="00CC12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ассигнований,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525AF2" w:rsidRPr="007514FA" w:rsidRDefault="00525AF2" w:rsidP="00CC12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лимитов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525AF2" w:rsidRPr="007514FA" w:rsidRDefault="00525AF2" w:rsidP="00CC12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утвержденных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сметных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назначений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приносящей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деятельности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1A2377" w:rsidRPr="007514FA" w:rsidRDefault="00525AF2" w:rsidP="00CC12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принятых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3614BA" w:rsidRPr="007514FA">
        <w:rPr>
          <w:color w:val="000000"/>
          <w:sz w:val="28"/>
          <w:szCs w:val="28"/>
          <w:lang w:val="en-US"/>
        </w:rPr>
        <w:t>[3]</w:t>
      </w:r>
      <w:r w:rsidRPr="007514FA">
        <w:rPr>
          <w:color w:val="000000"/>
          <w:sz w:val="28"/>
          <w:szCs w:val="28"/>
        </w:rPr>
        <w:t>.</w:t>
      </w:r>
    </w:p>
    <w:p w:rsidR="00525AF2" w:rsidRPr="007514FA" w:rsidRDefault="00525AF2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Номер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целях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формируется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отражением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22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разряде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номера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аналитического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года:</w:t>
      </w:r>
    </w:p>
    <w:p w:rsidR="00525AF2" w:rsidRPr="007514FA" w:rsidRDefault="00525AF2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1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–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год;</w:t>
      </w:r>
    </w:p>
    <w:p w:rsidR="00525AF2" w:rsidRPr="007514FA" w:rsidRDefault="00525AF2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2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–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(очередной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год);</w:t>
      </w:r>
    </w:p>
    <w:p w:rsidR="00525AF2" w:rsidRPr="007514FA" w:rsidRDefault="00525AF2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3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–второй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(первый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очередным);</w:t>
      </w:r>
    </w:p>
    <w:p w:rsidR="00525AF2" w:rsidRPr="007514FA" w:rsidRDefault="00525AF2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4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–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очередным.</w:t>
      </w:r>
    </w:p>
    <w:p w:rsidR="00525AF2" w:rsidRPr="007514FA" w:rsidRDefault="00525AF2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завершении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(остатки)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аналитическим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переносятся.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должны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формироваться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неисполненных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обязательств.</w:t>
      </w:r>
    </w:p>
    <w:p w:rsidR="005F6D6F" w:rsidRPr="007514FA" w:rsidRDefault="005F6D6F" w:rsidP="00CC1236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Показатели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(остатки)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соответствующим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сформированные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отчетном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первый,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второй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подлежат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переносу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соответственно:</w:t>
      </w:r>
    </w:p>
    <w:p w:rsidR="005F6D6F" w:rsidRPr="007514FA" w:rsidRDefault="005F6D6F" w:rsidP="00CC1236">
      <w:pPr>
        <w:pStyle w:val="31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показатели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первого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года;</w:t>
      </w:r>
    </w:p>
    <w:p w:rsidR="005F6D6F" w:rsidRPr="007514FA" w:rsidRDefault="005F6D6F" w:rsidP="00CC1236">
      <w:pPr>
        <w:pStyle w:val="31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показатели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второго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текущим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первого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текущим;</w:t>
      </w:r>
    </w:p>
    <w:p w:rsidR="005F6D6F" w:rsidRPr="007514FA" w:rsidRDefault="005F6D6F" w:rsidP="00CC1236">
      <w:pPr>
        <w:pStyle w:val="31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показатели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второго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очередным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второго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текущим.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Аналитический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осуществляется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бюджета:</w:t>
      </w:r>
    </w:p>
    <w:p w:rsidR="005F6D6F" w:rsidRPr="007514FA" w:rsidRDefault="005F6D6F" w:rsidP="00CC1236">
      <w:pPr>
        <w:pStyle w:val="Oaeno"/>
        <w:widowControl/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финансовым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разрезе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главных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распорядителей,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распорядителей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главных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уполномоченных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источников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дефицита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бюджета;</w:t>
      </w:r>
    </w:p>
    <w:p w:rsidR="005F6D6F" w:rsidRPr="007514FA" w:rsidRDefault="005F6D6F" w:rsidP="00CC1236">
      <w:pPr>
        <w:pStyle w:val="Oaeno"/>
        <w:widowControl/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главными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распорядителями,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распорядителями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главными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администраторами,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уполномоченными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источников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дефицита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разрезе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подведомственных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ему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распорядителей,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источников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дефицита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соответственно.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разрезе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счетов: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5F6D6F" w:rsidRPr="007514FA" w:rsidRDefault="005F6D6F" w:rsidP="00CC1236">
      <w:pPr>
        <w:pStyle w:val="Oaeno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050110000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года»;</w:t>
      </w:r>
    </w:p>
    <w:p w:rsidR="005F6D6F" w:rsidRPr="007514FA" w:rsidRDefault="005F6D6F" w:rsidP="00CC1236">
      <w:pPr>
        <w:pStyle w:val="Oaeno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050120000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(очередного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года)»;</w:t>
      </w:r>
    </w:p>
    <w:p w:rsidR="005F6D6F" w:rsidRPr="007514FA" w:rsidRDefault="005F6D6F" w:rsidP="00CC1236">
      <w:pPr>
        <w:pStyle w:val="Oaeno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050130000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(первого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очередным)»;</w:t>
      </w:r>
    </w:p>
    <w:p w:rsidR="005F6D6F" w:rsidRPr="007514FA" w:rsidRDefault="005F6D6F" w:rsidP="00CC1236">
      <w:pPr>
        <w:pStyle w:val="Oaeno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050140000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очередным»;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обязательства»;</w:t>
      </w:r>
    </w:p>
    <w:p w:rsidR="005F6D6F" w:rsidRPr="007514FA" w:rsidRDefault="005F6D6F" w:rsidP="00CC1236">
      <w:pPr>
        <w:pStyle w:val="Oaeno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050210000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год»;</w:t>
      </w:r>
    </w:p>
    <w:p w:rsidR="005F6D6F" w:rsidRPr="007514FA" w:rsidRDefault="005F6D6F" w:rsidP="00CC1236">
      <w:pPr>
        <w:pStyle w:val="Oaeno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050220000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год)»;</w:t>
      </w:r>
    </w:p>
    <w:p w:rsidR="005F6D6F" w:rsidRPr="007514FA" w:rsidRDefault="005F6D6F" w:rsidP="00CC1236">
      <w:pPr>
        <w:pStyle w:val="Oaeno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050230000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(первый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очередным)»;</w:t>
      </w:r>
    </w:p>
    <w:p w:rsidR="005F6D6F" w:rsidRPr="007514FA" w:rsidRDefault="005F6D6F" w:rsidP="00CC1236">
      <w:pPr>
        <w:pStyle w:val="Oaeno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050240000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очередным»;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ассигнования»;</w:t>
      </w:r>
    </w:p>
    <w:p w:rsidR="005F6D6F" w:rsidRPr="007514FA" w:rsidRDefault="005F6D6F" w:rsidP="00CC1236">
      <w:pPr>
        <w:pStyle w:val="Oaeno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050310000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года»;</w:t>
      </w:r>
    </w:p>
    <w:p w:rsidR="005F6D6F" w:rsidRPr="007514FA" w:rsidRDefault="005F6D6F" w:rsidP="00CC1236">
      <w:pPr>
        <w:pStyle w:val="Oaeno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050320000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(очередного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года)»;</w:t>
      </w:r>
    </w:p>
    <w:p w:rsidR="005F6D6F" w:rsidRPr="007514FA" w:rsidRDefault="005F6D6F" w:rsidP="00CC1236">
      <w:pPr>
        <w:pStyle w:val="Oaeno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050330000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(первого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очередным)»;</w:t>
      </w:r>
    </w:p>
    <w:p w:rsidR="005F6D6F" w:rsidRPr="007514FA" w:rsidRDefault="005F6D6F" w:rsidP="00CC1236">
      <w:pPr>
        <w:pStyle w:val="Oaeno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050340000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очередным»;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050400000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деятельности»;</w:t>
      </w:r>
    </w:p>
    <w:p w:rsidR="005F6D6F" w:rsidRPr="007514FA" w:rsidRDefault="005F6D6F" w:rsidP="00CC1236">
      <w:pPr>
        <w:pStyle w:val="Oaeno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050410000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год»;</w:t>
      </w:r>
    </w:p>
    <w:p w:rsidR="005F6D6F" w:rsidRPr="007514FA" w:rsidRDefault="005F6D6F" w:rsidP="00CC1236">
      <w:pPr>
        <w:pStyle w:val="Oaeno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050420000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[15,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с.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114]</w:t>
      </w:r>
      <w:r w:rsidRPr="007514FA">
        <w:rPr>
          <w:rFonts w:ascii="Times New Roman" w:hAnsi="Times New Roman"/>
          <w:color w:val="000000"/>
          <w:sz w:val="28"/>
        </w:rPr>
        <w:t>.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050100000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предназначен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казначейства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очередной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периода.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счетах: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«Доведенные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распределению»;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050104000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«Переданные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«Полученные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050106000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пути»;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</w:t>
      </w:r>
      <w:r w:rsidR="005B59E6" w:rsidRPr="007514FA">
        <w:rPr>
          <w:rFonts w:ascii="Times New Roman" w:hAnsi="Times New Roman"/>
          <w:color w:val="000000"/>
          <w:sz w:val="28"/>
        </w:rPr>
        <w:t>7</w:t>
      </w:r>
      <w:r w:rsidRPr="007514FA">
        <w:rPr>
          <w:rFonts w:ascii="Times New Roman" w:hAnsi="Times New Roman"/>
          <w:color w:val="000000"/>
          <w:sz w:val="28"/>
        </w:rPr>
        <w:t>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«Утвержденные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обязательств».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Аналитический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050104000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«Переданные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050105000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«Полученные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Карточке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учета.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050200000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предназначен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периода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рамкам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соответственно.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счетах: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050201000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050202000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деятельности».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050300000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предназначен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второго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периода.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счетах: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«Доведенные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распределению»;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выплат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источникам»;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050304000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«Переданные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«Полученные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050306000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пути»;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050309000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«Утвержденные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ассигнования».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Аналитический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050304000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«Переданные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050305000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«Полученные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Карточке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учета.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050400000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предназначен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текущий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расходам,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осуществляемым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Аналитический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050400000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деятельности»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Карточке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счетах: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050401000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«Утвержденные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деятельности»;</w:t>
      </w:r>
    </w:p>
    <w:p w:rsidR="00AC141E" w:rsidRPr="007514FA" w:rsidRDefault="00AC141E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050402000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«Сметные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средств».</w:t>
      </w:r>
    </w:p>
    <w:p w:rsidR="003807A0" w:rsidRPr="007514FA" w:rsidRDefault="003807A0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Операции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получению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пределах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бухгалтерскими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записями:</w:t>
      </w:r>
    </w:p>
    <w:p w:rsidR="003807A0" w:rsidRPr="007514FA" w:rsidRDefault="003807A0" w:rsidP="00CC1236">
      <w:pPr>
        <w:pStyle w:val="Oaeno"/>
        <w:widowControl/>
        <w:numPr>
          <w:ilvl w:val="1"/>
          <w:numId w:val="13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150115000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150113000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установленном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порядке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течение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года;</w:t>
      </w:r>
    </w:p>
    <w:p w:rsidR="003807A0" w:rsidRPr="007514FA" w:rsidRDefault="003807A0" w:rsidP="00CC1236">
      <w:pPr>
        <w:pStyle w:val="Oaeno"/>
        <w:widowControl/>
        <w:numPr>
          <w:ilvl w:val="1"/>
          <w:numId w:val="13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150113000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150113000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детализация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ему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кодам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статей,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подстатей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КОСГУ,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течение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года;</w:t>
      </w:r>
    </w:p>
    <w:p w:rsidR="003807A0" w:rsidRPr="007514FA" w:rsidRDefault="003807A0" w:rsidP="00CC1236">
      <w:pPr>
        <w:pStyle w:val="Oaeno"/>
        <w:widowControl/>
        <w:numPr>
          <w:ilvl w:val="1"/>
          <w:numId w:val="13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150113000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150211000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пределах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течение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года.</w:t>
      </w:r>
    </w:p>
    <w:p w:rsidR="003807A0" w:rsidRPr="007514FA" w:rsidRDefault="003807A0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Операции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получению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подлежащих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исполнению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бухгалтерскими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записями:</w:t>
      </w:r>
    </w:p>
    <w:p w:rsidR="003807A0" w:rsidRPr="007514FA" w:rsidRDefault="003807A0" w:rsidP="00CC1236">
      <w:pPr>
        <w:pStyle w:val="Oaeno"/>
        <w:widowControl/>
        <w:numPr>
          <w:ilvl w:val="1"/>
          <w:numId w:val="14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150315000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150313000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установленном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порядке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течение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года;</w:t>
      </w:r>
    </w:p>
    <w:p w:rsidR="003807A0" w:rsidRPr="007514FA" w:rsidRDefault="003807A0" w:rsidP="00CC1236">
      <w:pPr>
        <w:pStyle w:val="Oaeno"/>
        <w:widowControl/>
        <w:numPr>
          <w:ilvl w:val="1"/>
          <w:numId w:val="14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150313000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150313000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детализация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показателей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ему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кодам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статей,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подстатей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КОСГУ,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течение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года;</w:t>
      </w:r>
    </w:p>
    <w:p w:rsidR="003807A0" w:rsidRPr="007514FA" w:rsidRDefault="003807A0" w:rsidP="00CC1236">
      <w:pPr>
        <w:pStyle w:val="Oaeno"/>
        <w:widowControl/>
        <w:numPr>
          <w:ilvl w:val="1"/>
          <w:numId w:val="14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150313000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150211000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течение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года.</w:t>
      </w:r>
    </w:p>
    <w:p w:rsidR="003807A0" w:rsidRPr="007514FA" w:rsidRDefault="003807A0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Операции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бухгалтерскими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записями:</w:t>
      </w:r>
    </w:p>
    <w:p w:rsidR="003807A0" w:rsidRPr="007514FA" w:rsidRDefault="003807A0" w:rsidP="00CC1236">
      <w:pPr>
        <w:pStyle w:val="Oaeno"/>
        <w:widowControl/>
        <w:numPr>
          <w:ilvl w:val="1"/>
          <w:numId w:val="15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250411000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250412000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изменений);</w:t>
      </w:r>
    </w:p>
    <w:p w:rsidR="00AC141E" w:rsidRPr="007514FA" w:rsidRDefault="003807A0" w:rsidP="00CC1236">
      <w:pPr>
        <w:pStyle w:val="Oaeno"/>
        <w:widowControl/>
        <w:numPr>
          <w:ilvl w:val="1"/>
          <w:numId w:val="15"/>
        </w:numPr>
        <w:tabs>
          <w:tab w:val="clear" w:pos="222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Дебет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250412000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Кредит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КРБ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250212000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-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пределах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период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(внесенных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изменений).</w:t>
      </w:r>
    </w:p>
    <w:p w:rsidR="005F6D6F" w:rsidRPr="007514FA" w:rsidRDefault="005F6D6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06AEF" w:rsidRPr="007514FA" w:rsidRDefault="00CC1236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7514FA">
        <w:rPr>
          <w:rFonts w:ascii="Times New Roman" w:hAnsi="Times New Roman"/>
          <w:b/>
          <w:color w:val="000000"/>
          <w:sz w:val="28"/>
        </w:rPr>
        <w:t xml:space="preserve">1.3 </w:t>
      </w:r>
      <w:r w:rsidR="00D06AEF" w:rsidRPr="007514FA">
        <w:rPr>
          <w:rFonts w:ascii="Times New Roman" w:hAnsi="Times New Roman"/>
          <w:b/>
          <w:color w:val="000000"/>
          <w:sz w:val="28"/>
        </w:rPr>
        <w:t>Документационное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обеспечение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операций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по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санкционированию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расходов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бюджетной</w:t>
      </w:r>
      <w:r w:rsidRPr="007514FA">
        <w:rPr>
          <w:rFonts w:ascii="Times New Roman" w:hAnsi="Times New Roman"/>
          <w:b/>
          <w:color w:val="000000"/>
          <w:sz w:val="28"/>
        </w:rPr>
        <w:t xml:space="preserve"> </w:t>
      </w:r>
      <w:r w:rsidR="00D06AEF" w:rsidRPr="007514FA">
        <w:rPr>
          <w:rFonts w:ascii="Times New Roman" w:hAnsi="Times New Roman"/>
          <w:b/>
          <w:color w:val="000000"/>
          <w:sz w:val="28"/>
        </w:rPr>
        <w:t>организации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Бюджетный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приносящей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доход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деятельности,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осуществляется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первичных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(учетных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документов),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установленных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исполнении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документооборот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определяется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Порядком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оплаты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администраторов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источников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дефицита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приказом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Минфина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РФ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01.09.2008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N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87н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[3]</w:t>
      </w:r>
      <w:r w:rsidRPr="007514FA">
        <w:rPr>
          <w:rFonts w:ascii="Times New Roman" w:hAnsi="Times New Roman"/>
          <w:color w:val="000000"/>
          <w:sz w:val="28"/>
        </w:rPr>
        <w:t>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Порядок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организации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исполнения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источникам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дефицита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передачи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реорганизации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участников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процесса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уровня,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приказом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Минфина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РФ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30.09.2008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N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104н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Порядком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N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104н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ассигнования)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доводятся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главными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распорядителями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(распорядителями)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расписаниями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(Реестрами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расписаний).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Таким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образом,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ассигнования)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будут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отражаться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расписаний.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Следует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отметить,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что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законодательство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Российской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требует,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чтобы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проводимые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организацией,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были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оформлены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оправдательными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документами.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Эти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служат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первичными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документами,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которых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Однако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федеральном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уровне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установлен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перечень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первичных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подтверждающих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факт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служащих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частности,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Поэтому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должно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самостоятельно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определить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перечень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разработать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формы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этом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учесть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положения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приказа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Министерства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Российской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Федерации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01.09.2008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№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87н.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3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219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кодекса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РФ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пределах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путем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заключения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государственных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(муниципальных)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контрактов,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договоров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или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законом,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иным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правовым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актом,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соглашением.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Следовательно,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должны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быть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совершения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сделки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договора,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соглашения,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заявления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выдачу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аванса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из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кассы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далее.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Накладные,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акты,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счета-фактуры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могут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служить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только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подтверждения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Кроме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того,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предусматривает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сравнение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принимаемых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доведенными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конкретному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коду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классификации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образом,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документы,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которых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может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быть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обязательство,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подписания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руководителем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должны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быть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завизированы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ответственным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предмет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оценки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соответствующую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дату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объема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прав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пределах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сметных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назначений.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Сразу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после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визирования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руководителем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вышеуказанных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проводки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обязательствам.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Таким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образом,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может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документов: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начислении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заработной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платы,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пособий,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компенсаций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выплат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могут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расчетных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ведомостей,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приказов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руководителя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дате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документов;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расчетах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подотчетными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лицами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принимаются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руководителем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письменных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заявлений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дальнейшей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корректировкой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произведенных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утвержденному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руководителем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авансовому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отчету;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начислении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страховых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взносов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пенсионного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страхования,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взносов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страховым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тарифам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обязательное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социальное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страхование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несчастных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случаев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производстве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профессиональных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заболеваний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могут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ежемесячно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последний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месяца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данных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расчетных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ведомостей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регистров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налогового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учета;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заключенным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государственным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контрактам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поставку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нефинансовых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активов,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выполнение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работ,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оказание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услуг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могут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поступлении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соответствующих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контрактов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бухгалтерскую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службу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размере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договорной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стоимости;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могут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приниматься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(счетов-фактур),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если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договор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оформлялся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или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договором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предусмотрены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конкретные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[17,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с.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="003614BA" w:rsidRPr="007514FA">
        <w:rPr>
          <w:rFonts w:ascii="Times New Roman" w:hAnsi="Times New Roman"/>
          <w:color w:val="000000"/>
          <w:sz w:val="28"/>
        </w:rPr>
        <w:t>289]</w:t>
      </w:r>
      <w:r w:rsidRPr="007514FA">
        <w:rPr>
          <w:rFonts w:ascii="Times New Roman" w:hAnsi="Times New Roman"/>
          <w:color w:val="000000"/>
          <w:sz w:val="28"/>
        </w:rPr>
        <w:t>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Кроме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того,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могут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являться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постановления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судебных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органов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другие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документы,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устанавливающие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организации.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Важно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отметить,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что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суммы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предварительной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оплаты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приобретении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нефинансовых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активов,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работ,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услуг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операциями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отражаются,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как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принятые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должны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быть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отражены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бюджетном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учете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осуществления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кассовых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расходов.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Для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санкционирования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оплаты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бюджетное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учреждение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представляет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финансовый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орган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вышеуказанные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документы,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документы,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подтверждающие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факт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исполнения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сделки.</w:t>
      </w:r>
    </w:p>
    <w:p w:rsidR="00D06AEF" w:rsidRPr="007514FA" w:rsidRDefault="00D06AEF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Подтверждение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исполнения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осуществляется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платежных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подтверждающих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списание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единого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бюджета,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а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также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проверки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документов,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подтверждающих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проведение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неденежных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исполнению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денежных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средств.</w:t>
      </w:r>
    </w:p>
    <w:p w:rsidR="00C33C89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br w:type="page"/>
      </w:r>
      <w:r w:rsidR="00C33C89" w:rsidRPr="007514FA">
        <w:rPr>
          <w:b/>
          <w:color w:val="000000"/>
          <w:sz w:val="28"/>
          <w:szCs w:val="28"/>
        </w:rPr>
        <w:t>2.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Характеристика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Службы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Еврейской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автономной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области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регионального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управления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Федеральной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службы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РФ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контролю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за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оборотом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наркотиков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Хабаровскому</w:t>
      </w:r>
      <w:r w:rsidRPr="007514FA">
        <w:rPr>
          <w:b/>
          <w:color w:val="000000"/>
          <w:sz w:val="28"/>
          <w:szCs w:val="28"/>
        </w:rPr>
        <w:t xml:space="preserve"> </w:t>
      </w:r>
      <w:r w:rsidR="00C33C89" w:rsidRPr="007514FA">
        <w:rPr>
          <w:b/>
          <w:color w:val="000000"/>
          <w:sz w:val="28"/>
          <w:szCs w:val="28"/>
        </w:rPr>
        <w:t>краю</w:t>
      </w:r>
    </w:p>
    <w:p w:rsidR="00C33C89" w:rsidRPr="007514FA" w:rsidRDefault="00C33C89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3C89" w:rsidRPr="007514FA" w:rsidRDefault="00C33C89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b/>
          <w:color w:val="000000"/>
          <w:sz w:val="28"/>
          <w:szCs w:val="28"/>
        </w:rPr>
        <w:t>2.1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Организационно-экономическая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характеристика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Службы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по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ЕАО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РУФСКН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РФ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по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Хабаровскому</w:t>
      </w:r>
      <w:r w:rsidR="00CC1236" w:rsidRPr="007514FA">
        <w:rPr>
          <w:b/>
          <w:color w:val="000000"/>
          <w:sz w:val="28"/>
          <w:szCs w:val="28"/>
        </w:rPr>
        <w:t xml:space="preserve"> </w:t>
      </w:r>
      <w:r w:rsidRPr="007514FA">
        <w:rPr>
          <w:b/>
          <w:color w:val="000000"/>
          <w:sz w:val="28"/>
          <w:szCs w:val="28"/>
        </w:rPr>
        <w:t>краю</w:t>
      </w:r>
    </w:p>
    <w:p w:rsidR="005D6660" w:rsidRPr="007514FA" w:rsidRDefault="005D6660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соответствии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Указом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Президента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11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марта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2003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№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306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была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создана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Еврейская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автономная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субъектом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Именно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поэтому,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момент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создания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территории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было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создано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Управление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Еврейской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АО.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Учредителем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Еврейской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автономной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Региональное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управление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краю.</w:t>
      </w: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Еврейской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автономной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структурным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обособленным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подразделением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обеспечивающим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пределах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компетенции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выполнение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задач,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возложенных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Федеральную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Организационная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структура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(рис.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2.1.)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штатная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численность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утверждаются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Директором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Руководство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заместитель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начальника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управления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–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начальник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подотчётна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начальнику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краю.</w:t>
      </w:r>
    </w:p>
    <w:p w:rsidR="005D6660" w:rsidRPr="007514FA" w:rsidRDefault="008E3CC9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br w:type="page"/>
      </w:r>
      <w:r w:rsidR="00C13E6B">
        <w:rPr>
          <w:iCs/>
          <w:color w:val="000000"/>
          <w:sz w:val="28"/>
          <w:szCs w:val="28"/>
        </w:rPr>
        <w:pict>
          <v:shape id="_x0000_i1027" type="#_x0000_t75" style="width:339pt;height:195pt">
            <v:imagedata r:id="rId9" o:title="" croptop="9830f" cropbottom="27944f" cropleft="17192f" cropright="12694f"/>
          </v:shape>
        </w:pict>
      </w: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Рисунок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2.1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-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Организационная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структура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D6660" w:rsidRPr="007514FA" w:rsidRDefault="005D6660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Проведём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горизонтальный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анализ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показателей,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целью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которого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является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выявление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динамики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абсолютного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относительного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изменения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период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2007-2009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годы.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Итоговые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показатели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(общая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сумма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финансирования)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2008-2009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сравним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общими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показателями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Федеральной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(табл.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2.1.).</w:t>
      </w:r>
      <w:r w:rsidR="00CC1236" w:rsidRPr="007514FA">
        <w:rPr>
          <w:color w:val="000000"/>
          <w:sz w:val="28"/>
        </w:rPr>
        <w:t xml:space="preserve"> </w:t>
      </w:r>
    </w:p>
    <w:p w:rsidR="00CC1236" w:rsidRPr="007514FA" w:rsidRDefault="00CC1236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Таблица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2.1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закладываемых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2008-2009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(тыс.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руб.)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74"/>
        <w:gridCol w:w="1236"/>
        <w:gridCol w:w="1417"/>
        <w:gridCol w:w="1559"/>
      </w:tblGrid>
      <w:tr w:rsidR="005D6660" w:rsidRPr="007514FA" w:rsidTr="00CC1236">
        <w:tc>
          <w:tcPr>
            <w:tcW w:w="3119" w:type="dxa"/>
            <w:vMerge w:val="restart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Наименование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gridSpan w:val="2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976" w:type="dxa"/>
            <w:gridSpan w:val="2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Динамика</w:t>
            </w:r>
          </w:p>
        </w:tc>
      </w:tr>
      <w:tr w:rsidR="005D6660" w:rsidRPr="007514FA" w:rsidTr="00CC1236">
        <w:tc>
          <w:tcPr>
            <w:tcW w:w="3119" w:type="dxa"/>
            <w:vMerge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36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7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Абсолютные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изменения</w:t>
            </w:r>
          </w:p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тыс.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Относительные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изменения</w:t>
            </w:r>
          </w:p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5D6660" w:rsidRPr="007514FA" w:rsidTr="00CC1236">
        <w:tc>
          <w:tcPr>
            <w:tcW w:w="3119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Финансирование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Федеральной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службы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РФ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по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контролю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за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оборотом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наркотиков</w:t>
            </w:r>
          </w:p>
        </w:tc>
        <w:tc>
          <w:tcPr>
            <w:tcW w:w="1174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7743653,8</w:t>
            </w:r>
          </w:p>
        </w:tc>
        <w:tc>
          <w:tcPr>
            <w:tcW w:w="1236" w:type="dxa"/>
            <w:vAlign w:val="center"/>
          </w:tcPr>
          <w:p w:rsidR="005D6660" w:rsidRPr="007514FA" w:rsidRDefault="005D6660" w:rsidP="00CC1236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8611804,7</w:t>
            </w:r>
          </w:p>
        </w:tc>
        <w:tc>
          <w:tcPr>
            <w:tcW w:w="1417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+</w:t>
            </w:r>
            <w:r w:rsidR="00CC1236" w:rsidRPr="007514F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iCs/>
                <w:color w:val="000000"/>
                <w:sz w:val="20"/>
                <w:szCs w:val="20"/>
              </w:rPr>
              <w:t>868150,9</w:t>
            </w:r>
          </w:p>
        </w:tc>
        <w:tc>
          <w:tcPr>
            <w:tcW w:w="1559" w:type="dxa"/>
            <w:vAlign w:val="center"/>
          </w:tcPr>
          <w:p w:rsidR="005D6660" w:rsidRPr="007514FA" w:rsidRDefault="005D6660" w:rsidP="00CC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7514FA">
              <w:rPr>
                <w:iCs/>
                <w:color w:val="000000"/>
                <w:sz w:val="20"/>
                <w:szCs w:val="20"/>
              </w:rPr>
              <w:t>+11,2%</w:t>
            </w:r>
          </w:p>
        </w:tc>
      </w:tr>
    </w:tbl>
    <w:p w:rsidR="005D6660" w:rsidRPr="007514FA" w:rsidRDefault="005D6660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24DB6" w:rsidRPr="007514FA" w:rsidRDefault="00E24DB6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Такой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подход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позволит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определить,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какую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долю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объём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ЕАО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занимает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общей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сумме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Федеральной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также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установить,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изменилась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ли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эта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доля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2009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году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сравнению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2008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годом.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Если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доля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ЕАО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2009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году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выросла,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значит,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произошло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увеличение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содержание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(относительно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других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территориальных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органов).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есть,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необходимо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исходить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из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того,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что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общее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2009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выросло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11,2%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(табл.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2.1.),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если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ЕАО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выросло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большей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мере,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это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будет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свидетельствовать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отрицательных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тенденциях,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причины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которых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необходимо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будет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установить.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Горизонтальный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анализ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показателей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представлен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табл.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2.2.</w:t>
      </w:r>
    </w:p>
    <w:p w:rsidR="00CC1236" w:rsidRPr="007514FA" w:rsidRDefault="00CC1236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24DB6" w:rsidRPr="007514FA" w:rsidRDefault="00E24DB6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Таблица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2.2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Анализ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динамики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факторных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показателей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фактическим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расходам)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2007-</w:t>
      </w:r>
      <w:r w:rsidRPr="007514FA">
        <w:rPr>
          <w:color w:val="000000"/>
          <w:sz w:val="28"/>
          <w:szCs w:val="28"/>
        </w:rPr>
        <w:t>2009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годы</w:t>
      </w:r>
    </w:p>
    <w:tbl>
      <w:tblPr>
        <w:tblW w:w="89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992"/>
        <w:gridCol w:w="993"/>
        <w:gridCol w:w="567"/>
        <w:gridCol w:w="471"/>
        <w:gridCol w:w="379"/>
        <w:gridCol w:w="425"/>
        <w:gridCol w:w="573"/>
        <w:gridCol w:w="142"/>
        <w:gridCol w:w="851"/>
        <w:gridCol w:w="850"/>
      </w:tblGrid>
      <w:tr w:rsidR="00E24DB6" w:rsidRPr="007514FA" w:rsidTr="008E3CC9">
        <w:trPr>
          <w:trHeight w:val="278"/>
        </w:trPr>
        <w:tc>
          <w:tcPr>
            <w:tcW w:w="567" w:type="dxa"/>
            <w:vMerge w:val="restart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№</w:t>
            </w:r>
          </w:p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6243" w:type="dxa"/>
            <w:gridSpan w:val="10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Период</w:t>
            </w:r>
          </w:p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4DB6" w:rsidRPr="007514FA" w:rsidTr="008E3CC9">
        <w:trPr>
          <w:trHeight w:val="277"/>
        </w:trPr>
        <w:tc>
          <w:tcPr>
            <w:tcW w:w="567" w:type="dxa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3" w:type="dxa"/>
            <w:vMerge w:val="restart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gridSpan w:val="3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43" w:type="dxa"/>
            <w:gridSpan w:val="3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динамика</w:t>
            </w:r>
          </w:p>
        </w:tc>
      </w:tr>
      <w:tr w:rsidR="00CC1236" w:rsidRPr="007514FA" w:rsidTr="008E3CC9">
        <w:trPr>
          <w:trHeight w:val="277"/>
        </w:trPr>
        <w:tc>
          <w:tcPr>
            <w:tcW w:w="567" w:type="dxa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т.руб.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8" w:type="dxa"/>
            <w:gridSpan w:val="2"/>
            <w:vMerge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т.руб.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%</w:t>
            </w:r>
          </w:p>
        </w:tc>
      </w:tr>
      <w:tr w:rsidR="00CC1236" w:rsidRPr="007514FA" w:rsidTr="008E3CC9">
        <w:trPr>
          <w:trHeight w:val="277"/>
        </w:trPr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труда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гражданских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служащих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-494,7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161,26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2.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Денежное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довольствие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12340,0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13261,9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107,47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26842,8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13580,9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202,41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Выходное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пособие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при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увольнении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552,7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-534,4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69,1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477,6</w:t>
            </w:r>
          </w:p>
        </w:tc>
      </w:tr>
      <w:tr w:rsidR="00CC1236" w:rsidRPr="007514FA" w:rsidTr="008E3CC9">
        <w:trPr>
          <w:trHeight w:val="471"/>
        </w:trPr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412,27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201,74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195,82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952,3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540,03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230,99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Командировки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служебные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разъезды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578,57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716,43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137,86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123,83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1796,8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1080,37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250,8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Прочие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транспортные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994,61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545,61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221,52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1982,3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987,69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199,3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7.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Прочие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расходные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материалы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предметы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снабжения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427,45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390,43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-37,02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91,34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1102,6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712,17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282,41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услуг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263,66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117,44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144,54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496,7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130,33</w:t>
            </w:r>
          </w:p>
        </w:tc>
      </w:tr>
      <w:tr w:rsidR="00CC123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отопления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технологических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234,08</w:t>
            </w:r>
          </w:p>
        </w:tc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41,28</w:t>
            </w:r>
          </w:p>
        </w:tc>
        <w:tc>
          <w:tcPr>
            <w:tcW w:w="850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99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9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143,71</w:t>
            </w:r>
          </w:p>
        </w:tc>
      </w:tr>
      <w:tr w:rsidR="00CC1236" w:rsidRPr="007514FA" w:rsidTr="008E3CC9">
        <w:tc>
          <w:tcPr>
            <w:tcW w:w="567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аренды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помещений,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земли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123,16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73,69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-49,47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59,83</w:t>
            </w:r>
          </w:p>
        </w:tc>
        <w:tc>
          <w:tcPr>
            <w:tcW w:w="998" w:type="dxa"/>
            <w:gridSpan w:val="2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76,31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203,56</w:t>
            </w:r>
          </w:p>
        </w:tc>
      </w:tr>
      <w:tr w:rsidR="00E24DB6" w:rsidRPr="007514FA" w:rsidTr="008E3CC9">
        <w:trPr>
          <w:trHeight w:val="414"/>
        </w:trPr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4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E24DB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труда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привлекаемых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238,45</w:t>
            </w:r>
          </w:p>
        </w:tc>
        <w:tc>
          <w:tcPr>
            <w:tcW w:w="103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234,45</w:t>
            </w:r>
          </w:p>
        </w:tc>
        <w:tc>
          <w:tcPr>
            <w:tcW w:w="804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5961,25</w:t>
            </w:r>
          </w:p>
        </w:tc>
        <w:tc>
          <w:tcPr>
            <w:tcW w:w="715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51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9,05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103,8</w:t>
            </w:r>
          </w:p>
        </w:tc>
      </w:tr>
      <w:tr w:rsidR="00E24DB6" w:rsidRPr="007514FA" w:rsidTr="008E3CC9">
        <w:tc>
          <w:tcPr>
            <w:tcW w:w="567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Оплата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потребления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электрической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93,16</w:t>
            </w:r>
          </w:p>
        </w:tc>
        <w:tc>
          <w:tcPr>
            <w:tcW w:w="1038" w:type="dxa"/>
            <w:gridSpan w:val="2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804" w:type="dxa"/>
            <w:gridSpan w:val="2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330,24</w:t>
            </w:r>
          </w:p>
        </w:tc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-7,56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91,88</w:t>
            </w:r>
          </w:p>
        </w:tc>
      </w:tr>
      <w:tr w:rsidR="00E24DB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Приобретение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непроизводственного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оборудования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и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предметов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длительного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пользования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для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государственных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487,73</w:t>
            </w:r>
          </w:p>
        </w:tc>
        <w:tc>
          <w:tcPr>
            <w:tcW w:w="103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358,73</w:t>
            </w:r>
          </w:p>
        </w:tc>
        <w:tc>
          <w:tcPr>
            <w:tcW w:w="804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378,09</w:t>
            </w:r>
          </w:p>
        </w:tc>
        <w:tc>
          <w:tcPr>
            <w:tcW w:w="715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851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-7,43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98,48</w:t>
            </w:r>
          </w:p>
        </w:tc>
      </w:tr>
      <w:tr w:rsidR="00E24DB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14.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Прочие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трансферты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1093,46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807,52</w:t>
            </w:r>
          </w:p>
        </w:tc>
        <w:tc>
          <w:tcPr>
            <w:tcW w:w="103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-285,94</w:t>
            </w:r>
          </w:p>
        </w:tc>
        <w:tc>
          <w:tcPr>
            <w:tcW w:w="804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73,85</w:t>
            </w:r>
          </w:p>
        </w:tc>
        <w:tc>
          <w:tcPr>
            <w:tcW w:w="715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879,3</w:t>
            </w:r>
          </w:p>
        </w:tc>
        <w:tc>
          <w:tcPr>
            <w:tcW w:w="851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71,78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108,89</w:t>
            </w:r>
          </w:p>
        </w:tc>
      </w:tr>
      <w:tr w:rsidR="00E24DB6" w:rsidRPr="007514FA" w:rsidTr="008E3CC9">
        <w:tc>
          <w:tcPr>
            <w:tcW w:w="567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Прочие</w:t>
            </w:r>
            <w:r w:rsidR="00CC1236" w:rsidRPr="007514FA">
              <w:rPr>
                <w:color w:val="000000"/>
                <w:sz w:val="20"/>
                <w:szCs w:val="20"/>
              </w:rPr>
              <w:t xml:space="preserve"> </w:t>
            </w:r>
            <w:r w:rsidRPr="007514FA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606,93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1149,4</w:t>
            </w:r>
          </w:p>
        </w:tc>
        <w:tc>
          <w:tcPr>
            <w:tcW w:w="103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542,47</w:t>
            </w:r>
          </w:p>
        </w:tc>
        <w:tc>
          <w:tcPr>
            <w:tcW w:w="804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189,38</w:t>
            </w:r>
          </w:p>
        </w:tc>
        <w:tc>
          <w:tcPr>
            <w:tcW w:w="715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1238,4</w:t>
            </w:r>
          </w:p>
        </w:tc>
        <w:tc>
          <w:tcPr>
            <w:tcW w:w="851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bCs/>
                <w:iCs/>
                <w:color w:val="000000"/>
                <w:sz w:val="20"/>
                <w:szCs w:val="20"/>
              </w:rPr>
              <w:t>107,74</w:t>
            </w:r>
          </w:p>
        </w:tc>
      </w:tr>
      <w:tr w:rsidR="00E24DB6" w:rsidRPr="007514FA" w:rsidTr="008E3CC9">
        <w:tc>
          <w:tcPr>
            <w:tcW w:w="2693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17955,47</w:t>
            </w:r>
          </w:p>
        </w:tc>
        <w:tc>
          <w:tcPr>
            <w:tcW w:w="993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19720,37</w:t>
            </w:r>
          </w:p>
        </w:tc>
        <w:tc>
          <w:tcPr>
            <w:tcW w:w="1038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1764,9</w:t>
            </w:r>
          </w:p>
        </w:tc>
        <w:tc>
          <w:tcPr>
            <w:tcW w:w="804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109,83</w:t>
            </w:r>
          </w:p>
        </w:tc>
        <w:tc>
          <w:tcPr>
            <w:tcW w:w="715" w:type="dxa"/>
            <w:gridSpan w:val="2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37422,3</w:t>
            </w:r>
          </w:p>
        </w:tc>
        <w:tc>
          <w:tcPr>
            <w:tcW w:w="851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17701,93</w:t>
            </w:r>
          </w:p>
        </w:tc>
        <w:tc>
          <w:tcPr>
            <w:tcW w:w="850" w:type="dxa"/>
            <w:vAlign w:val="center"/>
          </w:tcPr>
          <w:p w:rsidR="00E24DB6" w:rsidRPr="007514FA" w:rsidRDefault="00E24DB6" w:rsidP="00CC1236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514FA">
              <w:rPr>
                <w:color w:val="000000"/>
                <w:sz w:val="20"/>
                <w:szCs w:val="20"/>
              </w:rPr>
              <w:t>189,76</w:t>
            </w:r>
          </w:p>
        </w:tc>
      </w:tr>
    </w:tbl>
    <w:p w:rsidR="00E24DB6" w:rsidRPr="007514FA" w:rsidRDefault="00E24DB6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B25A3" w:rsidRPr="007514FA" w:rsidRDefault="009B25A3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Проведённый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анализ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динамики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факторных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показателей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2007-2009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дал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следующие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результаты.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2007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наблюдается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чёткая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тенденция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содержание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ЕАО.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Так,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2008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году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сравнению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2007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годом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выросли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общие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9,83%.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содержание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Службы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может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быть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обоснован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учётом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уровня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инфляции.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Наибольшее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влияние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оказали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такие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факторы,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денежное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довольствие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военнослужащих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(аттестованных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сотрудников),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прочие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транспортные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услуги,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затрат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приобретение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непроизводственного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оборудования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предметов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длительного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пользования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для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государственных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учреждений,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оплату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труда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привлекаемых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лиц,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рост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оплату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ГСМ.</w:t>
      </w:r>
    </w:p>
    <w:p w:rsidR="00725B3C" w:rsidRPr="007514FA" w:rsidRDefault="008E3CC9" w:rsidP="00CC123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7514FA">
        <w:rPr>
          <w:color w:val="000000"/>
          <w:sz w:val="28"/>
        </w:rPr>
        <w:br w:type="page"/>
      </w:r>
      <w:r w:rsidR="00CC1236" w:rsidRPr="007514FA">
        <w:rPr>
          <w:b/>
          <w:color w:val="000000"/>
          <w:sz w:val="28"/>
        </w:rPr>
        <w:t>2.2 Основные положения учетной политики Службы по ЕАО РУФСКН РФ по Хабаровскому краю</w:t>
      </w:r>
    </w:p>
    <w:p w:rsidR="00725B3C" w:rsidRPr="007514FA" w:rsidRDefault="00725B3C" w:rsidP="00CC1236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361" w:rsidRPr="007514FA" w:rsidRDefault="007E7361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Федеральная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России)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исполнительной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власти,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осуществляющим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функции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выработке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государственной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политики,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нормативно-правовому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регулированию,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надзору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сфере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наркотических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психотропных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веществ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прекурсоров,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противодействия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незаконному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обороту.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</w:p>
    <w:p w:rsidR="007E7361" w:rsidRPr="007514FA" w:rsidRDefault="007E7361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специально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уполномочена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решение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задач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сфере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наркотических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психотропных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веществ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прекурсоров,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противодействия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незаконному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обороту.</w:t>
      </w:r>
    </w:p>
    <w:p w:rsidR="00725B3C" w:rsidRPr="007514FA" w:rsidRDefault="00725B3C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Официальное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сокращённое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наименование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–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(далее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–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Служба).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руководствуется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Конституцией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конституционными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законами,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законами,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указами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распоряжениями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Президента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постановлениями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распоряжениями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Правительства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международными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договорами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нормативными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правовыми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актами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Типовым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положением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Региональном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управлении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Временным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Положением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краю.</w:t>
      </w:r>
    </w:p>
    <w:p w:rsidR="00725B3C" w:rsidRPr="007514FA" w:rsidRDefault="00725B3C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юридическим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лицом,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имеет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печать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изображением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Государственного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герба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своим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наименованием,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другие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необходимые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для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печати,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штампы,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бланки,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лицевые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счета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казначейства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текущие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счета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учреждениях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Центрального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банка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имеет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бухгалтерского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учёта.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через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Региональное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управление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</w:p>
    <w:p w:rsidR="00A935A2" w:rsidRPr="007514FA" w:rsidRDefault="00A935A2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Основными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задачами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являются:</w:t>
      </w:r>
    </w:p>
    <w:p w:rsidR="00A935A2" w:rsidRPr="007514FA" w:rsidRDefault="00A935A2" w:rsidP="00CC1236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Обеспечение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пределах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компетенции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наркотических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психотропных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веществ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прекурсоров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мер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противодействию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незаконному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обороту;</w:t>
      </w:r>
    </w:p>
    <w:p w:rsidR="00A935A2" w:rsidRPr="007514FA" w:rsidRDefault="00A935A2" w:rsidP="00CC1236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Выявление,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предупреждение,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пресечение,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раскрытие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предварительное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расследование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преступлений,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производства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делам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административных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правонарушениях,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которые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отнесены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законодательством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соответственно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подследственности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либо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компетенции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наркоконтроля;</w:t>
      </w:r>
    </w:p>
    <w:p w:rsidR="00A935A2" w:rsidRPr="007514FA" w:rsidRDefault="00A935A2" w:rsidP="00CC1236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Координация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территориальных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исполнительной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власти,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исполнительной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Еврейской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местного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самоуправления,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территории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обслуживания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сфере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наркотических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психотропных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веществ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прекурсоров,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противодействия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незаконному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обороту;</w:t>
      </w:r>
    </w:p>
    <w:p w:rsidR="00A935A2" w:rsidRPr="007514FA" w:rsidRDefault="00A935A2" w:rsidP="00CC1236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Участие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разработке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реализации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региональной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политики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сфере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наркотических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психотропных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веществ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прекурсоров,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также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области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противодействия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незаконному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обороту.</w:t>
      </w:r>
    </w:p>
    <w:p w:rsidR="00A935A2" w:rsidRPr="007514FA" w:rsidRDefault="00A935A2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организует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плановой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основе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соответствии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требованиями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нормативных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правовых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актов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России,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соблюдением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принципов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единоначалия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принятии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решений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персональной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ответственности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сотрудников.</w:t>
      </w:r>
    </w:p>
    <w:p w:rsidR="00082D94" w:rsidRPr="007514FA" w:rsidRDefault="00082D94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отчетность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составляется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организации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основании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данных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аналитического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синтетического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Израсходованные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материальные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ресурсы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оцениваются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фактической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стоимости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приобретения,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однородным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видам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материальных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ресурсов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средняя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цена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устанавливается,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т.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применяется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ФИФО.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переоценке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основных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используются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коэффициенты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пересчета,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разработанные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Госкомстатом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России.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Инвентаризация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проводится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ежегодно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состоянию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октября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отчетного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года,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инвентаризация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кассы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раз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месяц.</w:t>
      </w:r>
    </w:p>
    <w:p w:rsidR="00082D94" w:rsidRPr="007514FA" w:rsidRDefault="00082D94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Представление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первичных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бухгалтерию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регламентируется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графиком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документооборота.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лицами,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ответственными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хранение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материальных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ценностей,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заключается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письменный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договор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полной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индивидуальной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материальной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ответственности.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Получение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материальных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ценностей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осуществляется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лицом,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полномочия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которого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подтверждаются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доверенностью.</w:t>
      </w:r>
    </w:p>
    <w:p w:rsidR="00082D94" w:rsidRPr="007514FA" w:rsidRDefault="00082D94" w:rsidP="00CC123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Службе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ЕАО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РУФСКН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РФ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Хабаровскому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краю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хозяйственные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операции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оправдательными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документами,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служат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первичными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документами.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Проверенные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принятые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первичные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документы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систематизируют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датам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совершения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оформляются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раздельными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журналами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операций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накопительными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ведомостями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операциям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счёт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полученных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счет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внебюджетных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источников,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которым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присваиваются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постоянные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номера.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обеспечения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контроля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сохранностью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полученных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счет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внебюджетных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источников,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достоверности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данных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учреждении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проводится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инвентаризация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имущества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финансовых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средств.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Порядок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аналитического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Служба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ЕАО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РУФСКН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РФ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Хабаровскому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краю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установила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исходя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Плана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счетов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нормативных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актов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объектам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учета.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учреждении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применяется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мемориально-ордерная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система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ведения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бухгалтерского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называются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регистры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журналами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операций,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предусмотрено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автоматизированной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системой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1С</w:t>
      </w:r>
      <w:r w:rsidR="00CC1236" w:rsidRPr="007514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  <w:lang w:val="ru-RU"/>
        </w:rPr>
        <w:t>Бухгалтерия.</w:t>
      </w:r>
    </w:p>
    <w:p w:rsidR="00082D94" w:rsidRPr="007514FA" w:rsidRDefault="00082D94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C1236" w:rsidRPr="007514FA" w:rsidRDefault="00CC1236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E5579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br w:type="page"/>
      </w:r>
      <w:r w:rsidR="002E5579" w:rsidRPr="007514FA">
        <w:rPr>
          <w:b/>
          <w:color w:val="000000"/>
          <w:sz w:val="28"/>
          <w:szCs w:val="28"/>
        </w:rPr>
        <w:t>3.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Бухгалтерский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учет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санкционирования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расходов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Службы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ЕАО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РУФСКН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РФ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Хабаровскому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краю</w:t>
      </w:r>
    </w:p>
    <w:p w:rsidR="002E5579" w:rsidRPr="007514FA" w:rsidRDefault="002E5579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5579" w:rsidRPr="007514FA" w:rsidRDefault="00CC1236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b/>
          <w:color w:val="000000"/>
          <w:sz w:val="28"/>
          <w:szCs w:val="28"/>
        </w:rPr>
        <w:t xml:space="preserve">3.1 </w:t>
      </w:r>
      <w:r w:rsidR="002E5579" w:rsidRPr="007514FA">
        <w:rPr>
          <w:b/>
          <w:color w:val="000000"/>
          <w:sz w:val="28"/>
          <w:szCs w:val="28"/>
        </w:rPr>
        <w:t>Санкционирование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расходов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бюджета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Службы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ЕАО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РУФСКН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РФ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Хабаровскому</w:t>
      </w:r>
      <w:r w:rsidRPr="007514FA">
        <w:rPr>
          <w:b/>
          <w:color w:val="000000"/>
          <w:sz w:val="28"/>
          <w:szCs w:val="28"/>
        </w:rPr>
        <w:t xml:space="preserve"> </w:t>
      </w:r>
      <w:r w:rsidR="002E5579" w:rsidRPr="007514FA">
        <w:rPr>
          <w:b/>
          <w:color w:val="000000"/>
          <w:sz w:val="28"/>
          <w:szCs w:val="28"/>
        </w:rPr>
        <w:t>краю</w:t>
      </w:r>
    </w:p>
    <w:p w:rsidR="002E5579" w:rsidRPr="007514FA" w:rsidRDefault="002E5579" w:rsidP="00CC12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закладываемых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2008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–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2009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отражена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таблице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2.1.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данному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ведомству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выросли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11,2%.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Главным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распорядителем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Федеральная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оборотом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наркотиков.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Распорядителем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получателем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(одним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них)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выделяемых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Других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доходов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(внебюджетных)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имеет.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следующим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образом.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Средства,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бюджете,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ассигнуются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счета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Федеральной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затем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счета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затем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поступают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лицевой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счёт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казначействе.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Ассигнование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происходит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путём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направления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уведомлений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лимитах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обязательств.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Сначала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уведомления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направляются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главным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распорядителем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общую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сумму,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которую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включены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структурных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подразделений,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числе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далее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направляет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уведомление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лимитах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обязательств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исходя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основании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поступивших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уведомлений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составляет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расходное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распоряжение,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которое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направляется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казначейство,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после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чего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деньги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зачисляются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лицевой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счёт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происходит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расходование.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Необходимо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отметить,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что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исходя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годового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лимита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обязательств,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расчёта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1/12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часть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годовой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суммы.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очередь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имеет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перебрасывать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исходя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потребностей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между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статьями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итогам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статьям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должны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превышать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определённые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расходы.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Например,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выделить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12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млн.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капитальные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вложения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основные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фонды.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Пусть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текущем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месяце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поступили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ассигнования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млн.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этих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млн.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может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потратить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12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млн.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капитальные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вложения,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течение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следующих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месяцев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эту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статью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нельзя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будет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использовать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средства,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иначе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это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будет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нецелевое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использование.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Для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того,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чтобы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контролировать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целях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исключения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нецелевого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использования,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казначейство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направляются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сведения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годовом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лимите.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ЕАО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целях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обеспечения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контроля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учёта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расходованием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ведётся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бухгалтерский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учёт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финансово-хозяйственной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деятельности.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Учёт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ведётся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соответствии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Инструкцией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учёту.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Бухгалтерией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ведётся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как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синтетический,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так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аналитический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учёт.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Аналитический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регистрах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бухгалтерского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(на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карточках,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накопительных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ведомостях,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книгах,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том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числе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применением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пакетов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прикладных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программ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ведения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бухгалтерского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учета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т.п.).</w:t>
      </w:r>
    </w:p>
    <w:p w:rsidR="0009452E" w:rsidRPr="007514FA" w:rsidRDefault="0009452E" w:rsidP="00CC123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расходованным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средствам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отчитывается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РУФСКН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РФ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Хабаровскому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краю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состоянию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01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июля,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01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октября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отчётного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01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января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следующего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года.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сумм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лимитов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принятых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предназначен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50000000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«Санкционирование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бюджета».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применяет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аналитические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счета: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«Доведенные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050103000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средств»;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050104000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«Переданные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050105000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«Полученные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обязательств»;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050106000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пути»;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050109000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«Утвержденные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обязательств».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январе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2009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г.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в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Службе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ЕАО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РУФСКН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РФ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Хабаровскому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краю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отражены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следующие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записи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счету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050101000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«Доведенные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лимиты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</w:rPr>
        <w:t>обязательств»: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Лимиты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150105211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«Полученные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150103211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150600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рублей;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Лимиты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услугам: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150105223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«Полученные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4FA">
        <w:rPr>
          <w:rFonts w:ascii="Times New Roman" w:hAnsi="Times New Roman"/>
          <w:color w:val="000000"/>
          <w:sz w:val="28"/>
          <w:szCs w:val="28"/>
        </w:rPr>
        <w:t>К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150103223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«ЛБО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получателей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бюджетных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средств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по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расходам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услуг»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400500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принятие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оформлении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соответствующем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порядке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платежных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оплату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договоров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поставщиками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составляется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запись: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150201000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«Принятые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мере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разрешения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проблемы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величина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лимитов,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отраженных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вышеуказанным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списывается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дебета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этих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кредит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средств».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Неиспользованные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ЛБО,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как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федерального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прекращают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действие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31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декабря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поэтому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конец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должно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быть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сальдо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150105000,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150103000,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150201000.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bCs/>
          <w:iCs/>
          <w:color w:val="000000"/>
          <w:sz w:val="28"/>
          <w:szCs w:val="28"/>
        </w:rPr>
        <w:t>Пример.</w:t>
      </w:r>
      <w:r w:rsidR="00CC1236" w:rsidRPr="007514FA">
        <w:rPr>
          <w:bCs/>
          <w:iCs/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оформила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октябре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2009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платежные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поручения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для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перечисления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задолженности:</w:t>
      </w:r>
    </w:p>
    <w:p w:rsidR="00D41E84" w:rsidRPr="007514FA" w:rsidRDefault="00D41E84" w:rsidP="00CC1236">
      <w:pPr>
        <w:numPr>
          <w:ilvl w:val="0"/>
          <w:numId w:val="2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оплате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электрической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энергии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45000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рублей;</w:t>
      </w:r>
    </w:p>
    <w:p w:rsidR="00D41E84" w:rsidRPr="007514FA" w:rsidRDefault="00D41E84" w:rsidP="00CC1236">
      <w:pPr>
        <w:numPr>
          <w:ilvl w:val="0"/>
          <w:numId w:val="21"/>
        </w:numPr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оплате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услуг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связи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30000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рублей.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этом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делаются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записи:</w:t>
      </w:r>
    </w:p>
    <w:p w:rsidR="00D41E84" w:rsidRPr="007514FA" w:rsidRDefault="00D41E84" w:rsidP="00CC123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отражено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договору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поставку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электроэнергии: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150201223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«Принятые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45000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рублей;</w:t>
      </w:r>
    </w:p>
    <w:p w:rsidR="00D41E84" w:rsidRPr="007514FA" w:rsidRDefault="00D41E84" w:rsidP="00CC123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отражено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договору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оказание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150103221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связи»</w:t>
      </w:r>
    </w:p>
    <w:p w:rsidR="00D41E84" w:rsidRPr="007514FA" w:rsidRDefault="00D41E84" w:rsidP="00CC1236">
      <w:pPr>
        <w:pStyle w:val="Oaeno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514FA">
        <w:rPr>
          <w:rFonts w:ascii="Times New Roman" w:hAnsi="Times New Roman"/>
          <w:color w:val="000000"/>
          <w:sz w:val="28"/>
          <w:szCs w:val="28"/>
        </w:rPr>
        <w:t>К-т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150101221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«Принятые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бюджетные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текущего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года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за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счет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услуг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связи»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30000</w:t>
      </w:r>
      <w:r w:rsidR="00CC1236" w:rsidRPr="007514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FA">
        <w:rPr>
          <w:rFonts w:ascii="Times New Roman" w:hAnsi="Times New Roman"/>
          <w:color w:val="000000"/>
          <w:sz w:val="28"/>
          <w:szCs w:val="28"/>
        </w:rPr>
        <w:t>рублей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bCs/>
          <w:iCs/>
          <w:color w:val="000000"/>
          <w:sz w:val="28"/>
          <w:szCs w:val="28"/>
        </w:rPr>
        <w:t>Пример.</w:t>
      </w:r>
      <w:r w:rsidR="00CC1236" w:rsidRPr="007514FA">
        <w:rPr>
          <w:bCs/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статье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расходов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223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«Коммунальные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услуги»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учреждению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соответствии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уведомлением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лимитах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обязательств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было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выделено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780000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="00CC14A0"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="00CC14A0" w:rsidRPr="007514FA">
        <w:rPr>
          <w:iCs/>
          <w:color w:val="000000"/>
          <w:sz w:val="28"/>
          <w:szCs w:val="28"/>
        </w:rPr>
        <w:t>феврале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="00CC14A0" w:rsidRPr="007514FA">
        <w:rPr>
          <w:iCs/>
          <w:color w:val="000000"/>
          <w:sz w:val="28"/>
          <w:szCs w:val="28"/>
        </w:rPr>
        <w:t>2009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="00CC14A0" w:rsidRPr="007514FA">
        <w:rPr>
          <w:iCs/>
          <w:color w:val="000000"/>
          <w:sz w:val="28"/>
          <w:szCs w:val="28"/>
        </w:rPr>
        <w:t>г</w:t>
      </w:r>
      <w:r w:rsidRPr="007514FA">
        <w:rPr>
          <w:iCs/>
          <w:color w:val="000000"/>
          <w:sz w:val="28"/>
          <w:szCs w:val="28"/>
        </w:rPr>
        <w:t>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течение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величина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обязательств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данному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виду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составила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778500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рублей.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этом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делаются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следующие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записи:</w:t>
      </w:r>
    </w:p>
    <w:p w:rsidR="00D41E84" w:rsidRPr="007514FA" w:rsidRDefault="00CC1236" w:rsidP="00CC123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получено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уведомление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о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лимитах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бюджетных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обязательств.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Лимит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бюджетных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обязательств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по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статье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«Коммунальные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услуги»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составил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960000</w:t>
      </w:r>
      <w:r w:rsidRPr="007514FA">
        <w:rPr>
          <w:color w:val="000000"/>
          <w:sz w:val="28"/>
          <w:szCs w:val="28"/>
        </w:rPr>
        <w:t xml:space="preserve"> </w:t>
      </w:r>
      <w:r w:rsidR="00D41E84" w:rsidRPr="007514FA">
        <w:rPr>
          <w:color w:val="000000"/>
          <w:sz w:val="28"/>
          <w:szCs w:val="28"/>
        </w:rPr>
        <w:t>рублей: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150105223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«Полученные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780000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рублей;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150201223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«Принятые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Данная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запись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производится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мере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оплаты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платежей.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течение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оборот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указанным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составил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778500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рублей.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конце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года: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150103223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получателей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средств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150105223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«Полученные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рублей;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150201223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«Принятые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</w:p>
    <w:p w:rsidR="00D41E84" w:rsidRPr="007514FA" w:rsidRDefault="00D41E84" w:rsidP="00CC123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К-т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150105223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«Полученные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ЛБО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расходам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коммунальных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услуг»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778500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рублей.</w:t>
      </w:r>
    </w:p>
    <w:p w:rsidR="00082D94" w:rsidRPr="007514FA" w:rsidRDefault="00082D94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D0222" w:rsidRPr="007514FA" w:rsidRDefault="00CC1236" w:rsidP="00CC1236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7514FA">
        <w:rPr>
          <w:b/>
          <w:iCs/>
          <w:color w:val="000000"/>
          <w:sz w:val="28"/>
          <w:szCs w:val="28"/>
        </w:rPr>
        <w:t xml:space="preserve">3.2 </w:t>
      </w:r>
      <w:r w:rsidR="002D0222" w:rsidRPr="007514FA">
        <w:rPr>
          <w:b/>
          <w:color w:val="000000"/>
          <w:sz w:val="28"/>
          <w:szCs w:val="28"/>
        </w:rPr>
        <w:t>Пути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совершенствования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бухгалтерского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учета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санкционирования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расходов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Службы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ЕАО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РУФСКН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РФ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по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Хабаровскому</w:t>
      </w:r>
      <w:r w:rsidRPr="007514FA">
        <w:rPr>
          <w:b/>
          <w:color w:val="000000"/>
          <w:sz w:val="28"/>
          <w:szCs w:val="28"/>
        </w:rPr>
        <w:t xml:space="preserve"> </w:t>
      </w:r>
      <w:r w:rsidR="002D0222" w:rsidRPr="007514FA">
        <w:rPr>
          <w:b/>
          <w:color w:val="000000"/>
          <w:sz w:val="28"/>
          <w:szCs w:val="28"/>
        </w:rPr>
        <w:t>краю</w:t>
      </w:r>
    </w:p>
    <w:p w:rsidR="00082D94" w:rsidRPr="007514FA" w:rsidRDefault="00082D94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25B3C" w:rsidRPr="007514FA" w:rsidRDefault="00EB106B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50000000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«Санкционирование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осуществлении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предназначен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сумм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лимитов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принятых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ассигнований.</w:t>
      </w:r>
    </w:p>
    <w:p w:rsidR="00EB106B" w:rsidRPr="007514FA" w:rsidRDefault="00EB106B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Стоит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отметить,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особых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недостатков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наблюдается.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можно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отметить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некоторые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направления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совершенствования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краю:</w:t>
      </w:r>
    </w:p>
    <w:p w:rsidR="00EB106B" w:rsidRPr="007514FA" w:rsidRDefault="00D74140" w:rsidP="00CC123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1.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Совершенствование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автоматизированного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учета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данного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учреждения.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настоящее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время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бухгалтерии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при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осуществлении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бюджетного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учета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используется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программа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1С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Бухгалтерия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бюджетного</w:t>
      </w:r>
      <w:r w:rsidR="00CC1236" w:rsidRPr="007514FA">
        <w:rPr>
          <w:color w:val="000000"/>
          <w:sz w:val="28"/>
        </w:rPr>
        <w:t xml:space="preserve"> </w:t>
      </w:r>
      <w:r w:rsidR="00286502" w:rsidRPr="007514FA">
        <w:rPr>
          <w:color w:val="000000"/>
          <w:sz w:val="28"/>
        </w:rPr>
        <w:t>учреждения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версия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7.7.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Так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как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настоящее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время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существует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улучшенная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версия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данной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программы,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то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можно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посоветовать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Службе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перейти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программу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1С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Бухгалтерия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бюджетного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учреждения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версия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8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целях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более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точного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бухгалтерского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учета.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Преимущества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данной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версии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перед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версией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7.7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состоит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следующем: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настройка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плана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счетов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упрощена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стала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более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наглядной;</w:t>
      </w:r>
      <w:r w:rsidR="00CC1236" w:rsidRPr="007514FA">
        <w:rPr>
          <w:color w:val="000000"/>
          <w:sz w:val="28"/>
        </w:rPr>
        <w:t xml:space="preserve"> 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учете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бюджетной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классификации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введено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новое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понятие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–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"Период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действия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КБК”,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что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позволяет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хранить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единой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информационной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базе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операции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старым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новым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кодам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бюджетной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классификации;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расширены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возможности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ведения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аналитического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учета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анализа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данных;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помимо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индивидуального,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реализован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групповой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инвентарных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объектов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формированием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инвентарных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карточек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группового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учета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основных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средств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(ф.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0504032),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актов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приема-передачи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(ф.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0306031),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списания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группы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однотипных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основных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средств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(ф.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0306033).</w:t>
      </w:r>
      <w:r w:rsidR="00CC1236" w:rsidRPr="007514FA">
        <w:rPr>
          <w:color w:val="000000"/>
          <w:sz w:val="28"/>
        </w:rPr>
        <w:t xml:space="preserve"> 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полностью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автоматизированы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операции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зачету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авансов,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полученных,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так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выданных.</w:t>
      </w:r>
      <w:r w:rsidR="00CC1236" w:rsidRPr="007514FA">
        <w:rPr>
          <w:color w:val="000000"/>
          <w:sz w:val="28"/>
        </w:rPr>
        <w:t xml:space="preserve"> 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новой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версии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усовершенствованы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механизмы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интеграции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программами,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использующимися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финансовых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органах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органах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казначейства.</w:t>
      </w:r>
      <w:r w:rsidR="00CC1236" w:rsidRPr="007514FA">
        <w:rPr>
          <w:color w:val="000000"/>
          <w:sz w:val="28"/>
        </w:rPr>
        <w:t xml:space="preserve"> </w:t>
      </w:r>
    </w:p>
    <w:p w:rsidR="00E96D7E" w:rsidRPr="007514FA" w:rsidRDefault="00E96D7E" w:rsidP="00CC1236">
      <w:pPr>
        <w:numPr>
          <w:ilvl w:val="1"/>
          <w:numId w:val="23"/>
        </w:numPr>
        <w:tabs>
          <w:tab w:val="clear" w:pos="2509"/>
          <w:tab w:val="left" w:pos="108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усовершенствована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интеграция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контрольно-кассовой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техникой.</w:t>
      </w:r>
      <w:r w:rsidR="00CC1236" w:rsidRPr="007514FA">
        <w:rPr>
          <w:color w:val="000000"/>
          <w:sz w:val="28"/>
        </w:rPr>
        <w:t xml:space="preserve"> </w:t>
      </w:r>
    </w:p>
    <w:p w:rsidR="00E96D7E" w:rsidRPr="007514FA" w:rsidRDefault="00D74140" w:rsidP="00CC123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Новая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версия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программы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1С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Бухгалтерия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бюджетного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учреждения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8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при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учете</w:t>
      </w:r>
      <w:r w:rsidR="00CC1236" w:rsidRPr="007514FA">
        <w:rPr>
          <w:color w:val="000000"/>
          <w:sz w:val="28"/>
        </w:rPr>
        <w:t xml:space="preserve"> </w:t>
      </w:r>
      <w:r w:rsidR="00E96D7E" w:rsidRPr="007514FA">
        <w:rPr>
          <w:color w:val="000000"/>
          <w:sz w:val="28"/>
        </w:rPr>
        <w:t>санкционирования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обеспечивает:</w:t>
      </w:r>
    </w:p>
    <w:p w:rsidR="00D74140" w:rsidRPr="007514FA" w:rsidRDefault="00D74140" w:rsidP="00CC123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учет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полученных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учреждением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Разрешений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осуществление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приносящей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доход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деятельности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(ф.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0531735)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Дополнений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Разрешению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осуществление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приносящей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доход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деятельности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(ф.0531736),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формирование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данных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для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передачи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Федеральное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казначейство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электронном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виде;</w:t>
      </w:r>
    </w:p>
    <w:p w:rsidR="00D74140" w:rsidRPr="007514FA" w:rsidRDefault="00D74140" w:rsidP="00CC123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составление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сметы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приносящей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доход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деятельности,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формирование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информации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смете,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изменениях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смете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для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представления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Федеральное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казначейство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бумажном,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так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электронном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виде;</w:t>
      </w:r>
    </w:p>
    <w:p w:rsidR="00D74140" w:rsidRPr="007514FA" w:rsidRDefault="00D74140" w:rsidP="00CC123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регистрацию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учет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полученных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лимитов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обязательств,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ассигнований,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предельных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объемов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финансирования;</w:t>
      </w:r>
    </w:p>
    <w:p w:rsidR="00D74140" w:rsidRPr="007514FA" w:rsidRDefault="00D74140" w:rsidP="00CC123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формирование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расписаний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бюджетополучателем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для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представления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Федеральное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казначейство;</w:t>
      </w:r>
      <w:r w:rsidR="00CC1236" w:rsidRPr="007514FA">
        <w:rPr>
          <w:color w:val="000000"/>
          <w:sz w:val="28"/>
        </w:rPr>
        <w:t xml:space="preserve"> </w:t>
      </w:r>
    </w:p>
    <w:p w:rsidR="00D74140" w:rsidRPr="007514FA" w:rsidRDefault="00D74140" w:rsidP="00CC123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контроль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принятия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обязательств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пределах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доведенных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кодам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классификации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расходов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соответствующего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лимитов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обязательств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с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учетом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принятых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неисполненных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обязательств;</w:t>
      </w:r>
      <w:r w:rsidR="00CC1236" w:rsidRPr="007514FA">
        <w:rPr>
          <w:color w:val="000000"/>
          <w:sz w:val="28"/>
        </w:rPr>
        <w:t xml:space="preserve"> </w:t>
      </w:r>
    </w:p>
    <w:p w:rsidR="00D74140" w:rsidRPr="007514FA" w:rsidRDefault="00D74140" w:rsidP="00CC1236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7514FA">
        <w:rPr>
          <w:color w:val="000000"/>
          <w:sz w:val="28"/>
        </w:rPr>
        <w:t>контроль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непревышения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кассовых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выплат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по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источникам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финансирования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дефицита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бюджета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над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доведенными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бюджетными</w:t>
      </w:r>
      <w:r w:rsidR="00CC1236" w:rsidRPr="007514FA">
        <w:rPr>
          <w:color w:val="000000"/>
          <w:sz w:val="28"/>
        </w:rPr>
        <w:t xml:space="preserve"> </w:t>
      </w:r>
      <w:r w:rsidRPr="007514FA">
        <w:rPr>
          <w:color w:val="000000"/>
          <w:sz w:val="28"/>
        </w:rPr>
        <w:t>ассигнованиями.</w:t>
      </w:r>
    </w:p>
    <w:p w:rsidR="00C33C89" w:rsidRPr="007514FA" w:rsidRDefault="00707D04" w:rsidP="00CC1236">
      <w:pPr>
        <w:numPr>
          <w:ilvl w:val="0"/>
          <w:numId w:val="23"/>
        </w:numPr>
        <w:tabs>
          <w:tab w:val="clear" w:pos="1789"/>
          <w:tab w:val="left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Второе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направление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совершенствования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связано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Приказом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Минфина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06.12.2010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N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162н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«Об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утверждении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Инструкции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применению»,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согласно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4911F7" w:rsidRPr="007514FA">
        <w:rPr>
          <w:color w:val="000000"/>
          <w:sz w:val="28"/>
          <w:szCs w:val="28"/>
        </w:rPr>
        <w:t>которому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внесены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изменения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раздела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"Санкционирование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бюджета".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Службе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краю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следует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принять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во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внимание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данные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изменения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осуществлении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будущем.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Основные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изменения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коснулись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преобразования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учету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расходов,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частности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добавление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новых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F74090"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(Счет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050600000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«</w:t>
      </w:r>
      <w:r w:rsidR="00F86A39" w:rsidRPr="007514FA">
        <w:rPr>
          <w:color w:val="000000"/>
          <w:sz w:val="28"/>
        </w:rPr>
        <w:t>Право</w:t>
      </w:r>
      <w:r w:rsidR="00CC1236" w:rsidRPr="007514FA">
        <w:rPr>
          <w:color w:val="000000"/>
          <w:sz w:val="28"/>
        </w:rPr>
        <w:t xml:space="preserve"> </w:t>
      </w:r>
      <w:r w:rsidR="00F86A39" w:rsidRPr="007514FA">
        <w:rPr>
          <w:color w:val="000000"/>
          <w:sz w:val="28"/>
        </w:rPr>
        <w:t>на</w:t>
      </w:r>
      <w:r w:rsidR="00CC1236" w:rsidRPr="007514FA">
        <w:rPr>
          <w:color w:val="000000"/>
          <w:sz w:val="28"/>
        </w:rPr>
        <w:t xml:space="preserve"> </w:t>
      </w:r>
      <w:r w:rsidR="00F86A39" w:rsidRPr="007514FA">
        <w:rPr>
          <w:color w:val="000000"/>
          <w:sz w:val="28"/>
        </w:rPr>
        <w:t>принятие</w:t>
      </w:r>
      <w:r w:rsidR="00CC1236" w:rsidRPr="007514FA">
        <w:rPr>
          <w:color w:val="000000"/>
          <w:sz w:val="28"/>
        </w:rPr>
        <w:t xml:space="preserve"> </w:t>
      </w:r>
      <w:r w:rsidR="00F86A39" w:rsidRPr="007514FA">
        <w:rPr>
          <w:color w:val="000000"/>
          <w:sz w:val="28"/>
        </w:rPr>
        <w:t>обязательств</w:t>
      </w:r>
      <w:r w:rsidR="00F86A39" w:rsidRPr="007514FA">
        <w:rPr>
          <w:color w:val="000000"/>
          <w:sz w:val="28"/>
          <w:szCs w:val="28"/>
        </w:rPr>
        <w:t>»,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который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предназначен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учреждениями,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финансовым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органами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объема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прав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денежном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выражении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принятие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учреждением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исполнение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которых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предусмотрено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утвержденной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сметой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доходов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приносящей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доход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деятельности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текущий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финансовый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год,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а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также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сумм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внесенных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изменений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показатели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сметных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назначений,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утверждаемые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установленном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порядке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течение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текущего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финансового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="00F86A39" w:rsidRPr="007514FA">
        <w:rPr>
          <w:color w:val="000000"/>
          <w:sz w:val="28"/>
          <w:szCs w:val="28"/>
        </w:rPr>
        <w:t>года)</w:t>
      </w:r>
      <w:r w:rsidR="009108DD" w:rsidRPr="007514FA">
        <w:rPr>
          <w:color w:val="000000"/>
          <w:sz w:val="28"/>
          <w:szCs w:val="28"/>
        </w:rPr>
        <w:t>.</w:t>
      </w:r>
    </w:p>
    <w:p w:rsidR="009108DD" w:rsidRPr="007514FA" w:rsidRDefault="009108DD" w:rsidP="00CC1236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8DD" w:rsidRPr="007514FA" w:rsidRDefault="009108DD" w:rsidP="00CC1236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8DD" w:rsidRPr="007514FA" w:rsidRDefault="00CC1236" w:rsidP="00CC1236">
      <w:pPr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br w:type="page"/>
      </w:r>
      <w:r w:rsidR="009108DD" w:rsidRPr="007514FA">
        <w:rPr>
          <w:b/>
          <w:color w:val="000000"/>
          <w:sz w:val="28"/>
          <w:szCs w:val="28"/>
        </w:rPr>
        <w:t>Выводы</w:t>
      </w:r>
    </w:p>
    <w:p w:rsidR="008E64D1" w:rsidRPr="007514FA" w:rsidRDefault="008E64D1" w:rsidP="00CC1236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2C9" w:rsidRPr="007514FA" w:rsidRDefault="008E64D1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изучении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можно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сделать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вывод,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это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высшей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инстанцией.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Конкретный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объем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покрытия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определяется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или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решения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предстоящий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год.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E64D1" w:rsidRPr="007514FA" w:rsidRDefault="008E64D1" w:rsidP="00CC1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Бюджетные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обязаны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E64D1" w:rsidRPr="007514FA" w:rsidRDefault="008E64D1" w:rsidP="00CC1236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ассигнований,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E64D1" w:rsidRPr="007514FA" w:rsidRDefault="008E64D1" w:rsidP="00CC1236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лимитов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E64D1" w:rsidRPr="007514FA" w:rsidRDefault="008E64D1" w:rsidP="00CC1236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утвержденных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сметных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назначений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приносящей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деятельности,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E64D1" w:rsidRPr="007514FA" w:rsidRDefault="008E64D1" w:rsidP="00CC1236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принятых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CC1236" w:rsidRPr="007514FA" w:rsidRDefault="008E64D1" w:rsidP="00CC123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Для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отражения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соответствующих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предназначены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Раздела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Плана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счетов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учета.</w:t>
      </w:r>
      <w:r w:rsidR="008E3CC9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операций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ассигнованиями,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лимитами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утвержденными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сметными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назначениями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приносящей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доход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принятых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обязательств,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осуществляется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основании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первичных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документов,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установленных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финансовым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органом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соответствующего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курсовой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работе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был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рассмотрен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санкционирования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расходов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Службе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ЕАО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РУФСКН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Хабаровскому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краю.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Необходимо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отметить,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что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финансирование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осуществляется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исходя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годового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лимита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обязательств,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расчёта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1/12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часть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годовой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суммы.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Служба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свою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очередь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имеет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право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перебрасывать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бюджетные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исходя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из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потребностей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между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статьями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расходов,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итогам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года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по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статьям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должны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превышать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суммы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запланированных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средств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на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определённые</w:t>
      </w:r>
      <w:r w:rsidR="00CC1236" w:rsidRPr="007514FA">
        <w:rPr>
          <w:iCs/>
          <w:color w:val="000000"/>
          <w:sz w:val="28"/>
          <w:szCs w:val="28"/>
        </w:rPr>
        <w:t xml:space="preserve"> </w:t>
      </w:r>
      <w:r w:rsidRPr="007514FA">
        <w:rPr>
          <w:iCs/>
          <w:color w:val="000000"/>
          <w:sz w:val="28"/>
          <w:szCs w:val="28"/>
        </w:rPr>
        <w:t>расходы.</w:t>
      </w:r>
    </w:p>
    <w:p w:rsidR="008E64D1" w:rsidRPr="007514FA" w:rsidRDefault="00CC1236" w:rsidP="00CC1236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7514FA">
        <w:rPr>
          <w:iCs/>
          <w:color w:val="000000"/>
          <w:sz w:val="28"/>
          <w:szCs w:val="28"/>
        </w:rPr>
        <w:br w:type="page"/>
      </w:r>
      <w:r w:rsidR="00DC30BF" w:rsidRPr="007514FA">
        <w:rPr>
          <w:b/>
          <w:iCs/>
          <w:color w:val="000000"/>
          <w:sz w:val="28"/>
          <w:szCs w:val="28"/>
        </w:rPr>
        <w:t>Список</w:t>
      </w:r>
      <w:r w:rsidRPr="007514FA">
        <w:rPr>
          <w:b/>
          <w:iCs/>
          <w:color w:val="000000"/>
          <w:sz w:val="28"/>
          <w:szCs w:val="28"/>
        </w:rPr>
        <w:t xml:space="preserve"> </w:t>
      </w:r>
      <w:r w:rsidR="00DC30BF" w:rsidRPr="007514FA">
        <w:rPr>
          <w:b/>
          <w:iCs/>
          <w:color w:val="000000"/>
          <w:sz w:val="28"/>
          <w:szCs w:val="28"/>
        </w:rPr>
        <w:t>литературы</w:t>
      </w:r>
    </w:p>
    <w:p w:rsidR="00DC30BF" w:rsidRPr="007514FA" w:rsidRDefault="00DC30BF" w:rsidP="00CC1236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кодекс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</w:t>
      </w:r>
    </w:p>
    <w:p w:rsidR="009A763A" w:rsidRPr="007514FA" w:rsidRDefault="009A763A" w:rsidP="00CC1236">
      <w:pPr>
        <w:numPr>
          <w:ilvl w:val="0"/>
          <w:numId w:val="28"/>
        </w:numPr>
        <w:tabs>
          <w:tab w:val="clear" w:pos="180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Федеральный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Закон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15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августа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1996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№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115-ФЗ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классификации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РФ»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(с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изменениями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26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марта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1994г,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августа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2000г,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8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августа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2001г,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7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2002г,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6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2003г,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26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мая,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29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июня,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декабря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2004г,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22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декабря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2005г,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18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декабря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2006г.)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Инструкция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148н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30.12.2008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Алексеева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И.В.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шаг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шагом.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М.: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ЭКАР,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2007.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291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Вахрин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П.И.,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анализ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коммерческих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некоммерческих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организациях.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ИКЦ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«Маркетинг»,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2007.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320с.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Годин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А.М.,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Подпорина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И.В.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система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Дашков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2008.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276с.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9A763A" w:rsidRPr="007514FA" w:rsidRDefault="009A763A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Данилов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Е.Н.,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Абарникова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В.Е.,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Шипков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Л.К.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Анализ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хозяйственной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деятельности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научных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ФиС,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2009.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336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Захарьин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В.Р.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учёт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учреждениях.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М.: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Налоговый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вестник,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2008.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328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Кельчевская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Н.Р.,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Прохорова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Н.Б.,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Павлова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М.Б.,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Проведение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финансового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анализа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государственного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Екатеринбург: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Изд-во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УГТУ-УПИ,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2007.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127с.</w:t>
      </w:r>
    </w:p>
    <w:p w:rsidR="009A763A" w:rsidRPr="007514FA" w:rsidRDefault="009A763A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Кондраков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Н.П.,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ИНФРА-М,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2007.-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715с.</w:t>
      </w:r>
    </w:p>
    <w:p w:rsidR="009A763A" w:rsidRPr="007514FA" w:rsidRDefault="009A763A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Кузина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Е.Л.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организациях.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Книга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сервис,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2010.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284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</w:p>
    <w:p w:rsidR="009A763A" w:rsidRPr="007514FA" w:rsidRDefault="009A763A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Маклеева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Г.И.,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Артюхин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Р.В.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отчетность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ч.–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М.: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ЭКАР,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2010.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599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399с.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Паклар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А.Н.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М.: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ЮСТИЦИФОРМ,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-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2006.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418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Пшенникова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Е.Н.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процесс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Учебное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пособие.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СПб.: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Унирайт,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2009.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430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Родионова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В.М.,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Баятова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И.М.,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Маркина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Е.В.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контроль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учреждениях.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ФБК-ПРЕСС,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2007.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232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45542" w:rsidRPr="007514FA" w:rsidRDefault="00845542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Таксир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К.И.,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Хромова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Т.В.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Комментарий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Бюжетному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кодексу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Российской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Федерации.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М.: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Юрайт-Издат,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2010.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339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</w:p>
    <w:p w:rsidR="009A763A" w:rsidRPr="007514FA" w:rsidRDefault="009A763A" w:rsidP="00CC1236">
      <w:pPr>
        <w:numPr>
          <w:ilvl w:val="0"/>
          <w:numId w:val="28"/>
        </w:numPr>
        <w:tabs>
          <w:tab w:val="clear" w:pos="1800"/>
          <w:tab w:val="num" w:pos="42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14FA">
        <w:rPr>
          <w:color w:val="000000"/>
          <w:sz w:val="28"/>
          <w:szCs w:val="28"/>
        </w:rPr>
        <w:t>Токарев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И.Н.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Бухгалтерский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учет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в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бюджетных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учреждениях.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М: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ИД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ФБК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ПРЕСС,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2009.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–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503</w:t>
      </w:r>
      <w:r w:rsidR="00CC1236" w:rsidRPr="007514FA">
        <w:rPr>
          <w:color w:val="000000"/>
          <w:sz w:val="28"/>
          <w:szCs w:val="28"/>
        </w:rPr>
        <w:t xml:space="preserve"> </w:t>
      </w:r>
      <w:r w:rsidRPr="007514FA">
        <w:rPr>
          <w:color w:val="000000"/>
          <w:sz w:val="28"/>
          <w:szCs w:val="28"/>
        </w:rPr>
        <w:t>с.</w:t>
      </w:r>
      <w:r w:rsidR="00CC1236" w:rsidRPr="007514FA">
        <w:rPr>
          <w:color w:val="000000"/>
          <w:sz w:val="28"/>
          <w:szCs w:val="28"/>
        </w:rPr>
        <w:t xml:space="preserve"> </w:t>
      </w:r>
    </w:p>
    <w:p w:rsidR="008E3CC9" w:rsidRPr="007514FA" w:rsidRDefault="008E3CC9" w:rsidP="008E3CC9">
      <w:pPr>
        <w:tabs>
          <w:tab w:val="num" w:pos="1800"/>
        </w:tabs>
        <w:spacing w:line="360" w:lineRule="auto"/>
        <w:jc w:val="both"/>
        <w:rPr>
          <w:color w:val="FFFFFF"/>
          <w:sz w:val="28"/>
          <w:szCs w:val="28"/>
        </w:rPr>
      </w:pPr>
    </w:p>
    <w:p w:rsidR="008E3CC9" w:rsidRPr="007514FA" w:rsidRDefault="008E3CC9" w:rsidP="008E3CC9">
      <w:pPr>
        <w:pStyle w:val="ab"/>
        <w:jc w:val="center"/>
        <w:rPr>
          <w:color w:val="FFFFFF"/>
          <w:sz w:val="28"/>
          <w:szCs w:val="28"/>
        </w:rPr>
      </w:pPr>
    </w:p>
    <w:p w:rsidR="008E3CC9" w:rsidRPr="007514FA" w:rsidRDefault="008E3CC9" w:rsidP="008E3CC9">
      <w:pPr>
        <w:tabs>
          <w:tab w:val="num" w:pos="1800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E3CC9" w:rsidRPr="007514FA" w:rsidSect="00CC1236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FA" w:rsidRDefault="007514FA">
      <w:r>
        <w:separator/>
      </w:r>
    </w:p>
  </w:endnote>
  <w:endnote w:type="continuationSeparator" w:id="0">
    <w:p w:rsidR="007514FA" w:rsidRDefault="007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42" w:rsidRDefault="00845542" w:rsidP="002E6627">
    <w:pPr>
      <w:pStyle w:val="a3"/>
      <w:framePr w:wrap="around" w:vAnchor="text" w:hAnchor="margin" w:xAlign="center" w:y="1"/>
      <w:rPr>
        <w:rStyle w:val="a5"/>
      </w:rPr>
    </w:pPr>
  </w:p>
  <w:p w:rsidR="00845542" w:rsidRDefault="008455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42" w:rsidRDefault="00845542" w:rsidP="00CC123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FA" w:rsidRDefault="007514FA">
      <w:r>
        <w:separator/>
      </w:r>
    </w:p>
  </w:footnote>
  <w:footnote w:type="continuationSeparator" w:id="0">
    <w:p w:rsidR="007514FA" w:rsidRDefault="0075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C9" w:rsidRPr="00B97714" w:rsidRDefault="008E3CC9" w:rsidP="008E3CC9">
    <w:pPr>
      <w:pStyle w:val="ab"/>
      <w:jc w:val="center"/>
      <w:rPr>
        <w:sz w:val="28"/>
        <w:szCs w:val="28"/>
      </w:rPr>
    </w:pPr>
  </w:p>
  <w:p w:rsidR="008E3CC9" w:rsidRDefault="008E3C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C2B"/>
    <w:multiLevelType w:val="hybridMultilevel"/>
    <w:tmpl w:val="F496AC7C"/>
    <w:lvl w:ilvl="0" w:tplc="B3B473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2CF4D6A"/>
    <w:multiLevelType w:val="multilevel"/>
    <w:tmpl w:val="A6FA51D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24"/>
        </w:tabs>
        <w:ind w:left="2224" w:hanging="4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054B46"/>
    <w:multiLevelType w:val="hybridMultilevel"/>
    <w:tmpl w:val="FF2E4C08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C733E"/>
    <w:multiLevelType w:val="multilevel"/>
    <w:tmpl w:val="A6FA51D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24"/>
        </w:tabs>
        <w:ind w:left="2224" w:hanging="4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B015BB"/>
    <w:multiLevelType w:val="multilevel"/>
    <w:tmpl w:val="C03C30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5">
    <w:nsid w:val="1E5A2A57"/>
    <w:multiLevelType w:val="hybridMultilevel"/>
    <w:tmpl w:val="2E864AB2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EAC6854"/>
    <w:multiLevelType w:val="hybridMultilevel"/>
    <w:tmpl w:val="6B3EA6FC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D2D4C"/>
    <w:multiLevelType w:val="multilevel"/>
    <w:tmpl w:val="EB26A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3C04517"/>
    <w:multiLevelType w:val="hybridMultilevel"/>
    <w:tmpl w:val="A290F1D4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43B32B8"/>
    <w:multiLevelType w:val="hybridMultilevel"/>
    <w:tmpl w:val="FE4C39E8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F5DC4"/>
    <w:multiLevelType w:val="hybridMultilevel"/>
    <w:tmpl w:val="D2DA6FAC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FEF0E41"/>
    <w:multiLevelType w:val="hybridMultilevel"/>
    <w:tmpl w:val="F50EC9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1567B04"/>
    <w:multiLevelType w:val="hybridMultilevel"/>
    <w:tmpl w:val="A314D006"/>
    <w:lvl w:ilvl="0" w:tplc="1C041C6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1C20DE"/>
    <w:multiLevelType w:val="hybridMultilevel"/>
    <w:tmpl w:val="2F96E7B0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B7E52"/>
    <w:multiLevelType w:val="multilevel"/>
    <w:tmpl w:val="684A3C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786D85"/>
    <w:multiLevelType w:val="hybridMultilevel"/>
    <w:tmpl w:val="8AF8DD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6">
    <w:nsid w:val="47845E8E"/>
    <w:multiLevelType w:val="hybridMultilevel"/>
    <w:tmpl w:val="684A3C14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ADC270A"/>
    <w:multiLevelType w:val="multilevel"/>
    <w:tmpl w:val="CEFAD9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51B602C9"/>
    <w:multiLevelType w:val="hybridMultilevel"/>
    <w:tmpl w:val="7602A44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B3B473EC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9">
    <w:nsid w:val="538D11AE"/>
    <w:multiLevelType w:val="hybridMultilevel"/>
    <w:tmpl w:val="FE8CC6FE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4517D66"/>
    <w:multiLevelType w:val="multilevel"/>
    <w:tmpl w:val="8AF8D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1">
    <w:nsid w:val="54AC2151"/>
    <w:multiLevelType w:val="hybridMultilevel"/>
    <w:tmpl w:val="C5B8D8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52A7C49"/>
    <w:multiLevelType w:val="multilevel"/>
    <w:tmpl w:val="B9766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673371B"/>
    <w:multiLevelType w:val="hybridMultilevel"/>
    <w:tmpl w:val="82E2AA82"/>
    <w:lvl w:ilvl="0" w:tplc="A838F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71F1796"/>
    <w:multiLevelType w:val="hybridMultilevel"/>
    <w:tmpl w:val="25163454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7F6406B"/>
    <w:multiLevelType w:val="multilevel"/>
    <w:tmpl w:val="A6FA51D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24"/>
        </w:tabs>
        <w:ind w:left="2224" w:hanging="4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9FA7B56"/>
    <w:multiLevelType w:val="multilevel"/>
    <w:tmpl w:val="A6FA51D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24"/>
        </w:tabs>
        <w:ind w:left="2224" w:hanging="4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14E0667"/>
    <w:multiLevelType w:val="multilevel"/>
    <w:tmpl w:val="C3BA5D04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71CA116D"/>
    <w:multiLevelType w:val="hybridMultilevel"/>
    <w:tmpl w:val="8D92B51C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265DF0"/>
    <w:multiLevelType w:val="hybridMultilevel"/>
    <w:tmpl w:val="354E6DF6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8DF6261"/>
    <w:multiLevelType w:val="hybridMultilevel"/>
    <w:tmpl w:val="D7406FE0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A5A1EF8"/>
    <w:multiLevelType w:val="multilevel"/>
    <w:tmpl w:val="C03C30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32">
    <w:nsid w:val="7DE931B8"/>
    <w:multiLevelType w:val="hybridMultilevel"/>
    <w:tmpl w:val="0294306A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4"/>
  </w:num>
  <w:num w:numId="5">
    <w:abstractNumId w:val="30"/>
  </w:num>
  <w:num w:numId="6">
    <w:abstractNumId w:val="6"/>
  </w:num>
  <w:num w:numId="7">
    <w:abstractNumId w:val="16"/>
  </w:num>
  <w:num w:numId="8">
    <w:abstractNumId w:val="1"/>
  </w:num>
  <w:num w:numId="9">
    <w:abstractNumId w:val="5"/>
  </w:num>
  <w:num w:numId="10">
    <w:abstractNumId w:val="29"/>
  </w:num>
  <w:num w:numId="11">
    <w:abstractNumId w:val="28"/>
  </w:num>
  <w:num w:numId="12">
    <w:abstractNumId w:val="14"/>
  </w:num>
  <w:num w:numId="13">
    <w:abstractNumId w:val="3"/>
  </w:num>
  <w:num w:numId="14">
    <w:abstractNumId w:val="26"/>
  </w:num>
  <w:num w:numId="15">
    <w:abstractNumId w:val="25"/>
  </w:num>
  <w:num w:numId="16">
    <w:abstractNumId w:val="9"/>
  </w:num>
  <w:num w:numId="17">
    <w:abstractNumId w:val="4"/>
  </w:num>
  <w:num w:numId="18">
    <w:abstractNumId w:val="31"/>
  </w:num>
  <w:num w:numId="19">
    <w:abstractNumId w:val="21"/>
  </w:num>
  <w:num w:numId="20">
    <w:abstractNumId w:val="22"/>
  </w:num>
  <w:num w:numId="21">
    <w:abstractNumId w:val="8"/>
  </w:num>
  <w:num w:numId="22">
    <w:abstractNumId w:val="32"/>
  </w:num>
  <w:num w:numId="23">
    <w:abstractNumId w:val="18"/>
  </w:num>
  <w:num w:numId="24">
    <w:abstractNumId w:val="0"/>
  </w:num>
  <w:num w:numId="25">
    <w:abstractNumId w:val="27"/>
  </w:num>
  <w:num w:numId="26">
    <w:abstractNumId w:val="19"/>
  </w:num>
  <w:num w:numId="27">
    <w:abstractNumId w:val="10"/>
  </w:num>
  <w:num w:numId="28">
    <w:abstractNumId w:val="15"/>
  </w:num>
  <w:num w:numId="29">
    <w:abstractNumId w:val="11"/>
  </w:num>
  <w:num w:numId="30">
    <w:abstractNumId w:val="12"/>
  </w:num>
  <w:num w:numId="31">
    <w:abstractNumId w:val="23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C6D"/>
    <w:rsid w:val="00082D94"/>
    <w:rsid w:val="0009452E"/>
    <w:rsid w:val="001A2377"/>
    <w:rsid w:val="001A5BE8"/>
    <w:rsid w:val="00252095"/>
    <w:rsid w:val="00271ADE"/>
    <w:rsid w:val="00286502"/>
    <w:rsid w:val="002D0222"/>
    <w:rsid w:val="002E5579"/>
    <w:rsid w:val="002E6627"/>
    <w:rsid w:val="002F034D"/>
    <w:rsid w:val="003614BA"/>
    <w:rsid w:val="003807A0"/>
    <w:rsid w:val="004911F7"/>
    <w:rsid w:val="00520EFF"/>
    <w:rsid w:val="00525AF2"/>
    <w:rsid w:val="00545318"/>
    <w:rsid w:val="005B59E6"/>
    <w:rsid w:val="005D6660"/>
    <w:rsid w:val="005F6D6F"/>
    <w:rsid w:val="006524E9"/>
    <w:rsid w:val="006634ED"/>
    <w:rsid w:val="00707D04"/>
    <w:rsid w:val="00725B3C"/>
    <w:rsid w:val="00750D17"/>
    <w:rsid w:val="007514FA"/>
    <w:rsid w:val="007E7361"/>
    <w:rsid w:val="00845542"/>
    <w:rsid w:val="00854521"/>
    <w:rsid w:val="008C67D3"/>
    <w:rsid w:val="008E3CC9"/>
    <w:rsid w:val="008E64D1"/>
    <w:rsid w:val="009108DD"/>
    <w:rsid w:val="00917EF6"/>
    <w:rsid w:val="00956763"/>
    <w:rsid w:val="009652C9"/>
    <w:rsid w:val="009A763A"/>
    <w:rsid w:val="009B25A3"/>
    <w:rsid w:val="009B67C7"/>
    <w:rsid w:val="009F271D"/>
    <w:rsid w:val="00A935A2"/>
    <w:rsid w:val="00AC141E"/>
    <w:rsid w:val="00B074DC"/>
    <w:rsid w:val="00B97714"/>
    <w:rsid w:val="00BB2C6D"/>
    <w:rsid w:val="00BC684B"/>
    <w:rsid w:val="00C13E6B"/>
    <w:rsid w:val="00C33C89"/>
    <w:rsid w:val="00C3472E"/>
    <w:rsid w:val="00C4039D"/>
    <w:rsid w:val="00C71913"/>
    <w:rsid w:val="00CC1236"/>
    <w:rsid w:val="00CC14A0"/>
    <w:rsid w:val="00D06AEF"/>
    <w:rsid w:val="00D41E84"/>
    <w:rsid w:val="00D74140"/>
    <w:rsid w:val="00DC30BF"/>
    <w:rsid w:val="00DF4B92"/>
    <w:rsid w:val="00E21B85"/>
    <w:rsid w:val="00E22362"/>
    <w:rsid w:val="00E24DB6"/>
    <w:rsid w:val="00E2689C"/>
    <w:rsid w:val="00E96D7E"/>
    <w:rsid w:val="00EA4B6A"/>
    <w:rsid w:val="00EB106B"/>
    <w:rsid w:val="00F70161"/>
    <w:rsid w:val="00F73CDC"/>
    <w:rsid w:val="00F74090"/>
    <w:rsid w:val="00F86A39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236513C-64B8-4C20-9D1E-9320E806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4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634ED"/>
    <w:rPr>
      <w:rFonts w:cs="Times New Roman"/>
    </w:rPr>
  </w:style>
  <w:style w:type="character" w:styleId="a6">
    <w:name w:val="Strong"/>
    <w:uiPriority w:val="22"/>
    <w:qFormat/>
    <w:rsid w:val="00917EF6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917EF6"/>
    <w:pPr>
      <w:spacing w:line="360" w:lineRule="auto"/>
      <w:jc w:val="both"/>
    </w:pPr>
    <w:rPr>
      <w:rFonts w:ascii="Calibri" w:hAnsi="Calibri"/>
      <w:szCs w:val="20"/>
      <w:lang w:val="en-US" w:eastAsia="en-US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917EF6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Oaeno">
    <w:name w:val="Oaeno"/>
    <w:basedOn w:val="a"/>
    <w:rsid w:val="00525AF2"/>
    <w:pPr>
      <w:widowControl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5F6D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rsid w:val="00D41E84"/>
    <w:pPr>
      <w:spacing w:after="120"/>
    </w:pPr>
    <w:rPr>
      <w:rFonts w:ascii="Calibri" w:hAnsi="Calibri"/>
      <w:lang w:val="en-US" w:eastAsia="en-US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CC12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C1236"/>
    <w:rPr>
      <w:rFonts w:cs="Times New Roman"/>
      <w:sz w:val="24"/>
      <w:szCs w:val="24"/>
    </w:rPr>
  </w:style>
  <w:style w:type="character" w:styleId="ad">
    <w:name w:val="Hyperlink"/>
    <w:uiPriority w:val="99"/>
    <w:rsid w:val="008E3C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2014-03-22T12:05:00Z</dcterms:created>
  <dcterms:modified xsi:type="dcterms:W3CDTF">2014-03-22T12:05:00Z</dcterms:modified>
</cp:coreProperties>
</file>