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Волжский институт строительства и технологий</w:t>
      </w: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(филиал)</w:t>
      </w: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Волгоградского государственного архитектурно-строительного университета</w:t>
      </w: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Факультет МТ</w:t>
      </w: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Кафедра ТОМП</w:t>
      </w: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B6640" w:rsidRPr="001E3316" w:rsidRDefault="00BB6640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B6640" w:rsidRPr="001E3316" w:rsidRDefault="00BB6640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B6640" w:rsidRPr="001E3316" w:rsidRDefault="00BB6640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B6640" w:rsidRPr="001E3316" w:rsidRDefault="00BB6640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Курсовая работа</w:t>
      </w:r>
    </w:p>
    <w:p w:rsidR="00684368" w:rsidRPr="001E3316" w:rsidRDefault="00BB6640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5252B9" w:rsidRPr="001E3316">
        <w:rPr>
          <w:rFonts w:ascii="Times New Roman" w:hAnsi="Times New Roman"/>
          <w:noProof/>
          <w:color w:val="000000"/>
          <w:sz w:val="28"/>
          <w:szCs w:val="28"/>
        </w:rPr>
        <w:t>о дисциплине: «Технология производства»</w:t>
      </w: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7"/>
        </w:rPr>
      </w:pPr>
      <w:r w:rsidRPr="001E3316">
        <w:rPr>
          <w:rFonts w:ascii="Times New Roman" w:hAnsi="Times New Roman"/>
          <w:b/>
          <w:noProof/>
          <w:color w:val="000000"/>
          <w:sz w:val="28"/>
          <w:szCs w:val="27"/>
        </w:rPr>
        <w:t>«</w:t>
      </w:r>
      <w:r w:rsidR="00684368" w:rsidRPr="001E3316">
        <w:rPr>
          <w:rFonts w:ascii="Times New Roman" w:hAnsi="Times New Roman"/>
          <w:b/>
          <w:noProof/>
          <w:color w:val="000000"/>
          <w:sz w:val="28"/>
          <w:szCs w:val="27"/>
        </w:rPr>
        <w:t xml:space="preserve">Циркониевый электрокорунд, его получение, свойства, </w:t>
      </w:r>
      <w:r w:rsidRPr="001E3316">
        <w:rPr>
          <w:rFonts w:ascii="Times New Roman" w:hAnsi="Times New Roman"/>
          <w:b/>
          <w:noProof/>
          <w:color w:val="000000"/>
          <w:sz w:val="28"/>
          <w:szCs w:val="27"/>
        </w:rPr>
        <w:t>применение»</w:t>
      </w:r>
    </w:p>
    <w:p w:rsidR="005252B9" w:rsidRPr="001E3316" w:rsidRDefault="005252B9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B6640" w:rsidRPr="001E3316" w:rsidRDefault="00BB6640" w:rsidP="00BB6640">
      <w:pPr>
        <w:tabs>
          <w:tab w:val="left" w:pos="6750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B6640" w:rsidRPr="001E3316" w:rsidRDefault="005252B9" w:rsidP="00BB6640">
      <w:pPr>
        <w:tabs>
          <w:tab w:val="left" w:pos="6750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Выполнила: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ст.гр. ПМКМП-2-07</w:t>
      </w:r>
    </w:p>
    <w:p w:rsidR="00BB6640" w:rsidRPr="001E3316" w:rsidRDefault="00684368" w:rsidP="00BB6640">
      <w:pPr>
        <w:tabs>
          <w:tab w:val="left" w:pos="6750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Тарасова Я.А.</w:t>
      </w:r>
    </w:p>
    <w:p w:rsidR="00BB6640" w:rsidRPr="001E3316" w:rsidRDefault="00C03E65" w:rsidP="00BB6640">
      <w:pPr>
        <w:tabs>
          <w:tab w:val="left" w:pos="6750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Проверил: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к.т.н., доцент</w:t>
      </w:r>
    </w:p>
    <w:p w:rsidR="00C03E65" w:rsidRPr="001E3316" w:rsidRDefault="00C03E65" w:rsidP="00BB6640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Орлова Т.Н</w:t>
      </w:r>
    </w:p>
    <w:p w:rsidR="00C03E65" w:rsidRPr="001E3316" w:rsidRDefault="00C03E65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03E65" w:rsidRPr="001E3316" w:rsidRDefault="00C03E65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B6640" w:rsidRPr="001E3316" w:rsidRDefault="00BB6640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B6640" w:rsidRPr="001E3316" w:rsidRDefault="00BB6640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BB6640" w:rsidRPr="001E3316" w:rsidRDefault="00BB6640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03E65" w:rsidRPr="001E3316" w:rsidRDefault="00C03E65" w:rsidP="00BB66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C03E65" w:rsidRPr="001E3316" w:rsidRDefault="00C03E65" w:rsidP="00BB6640">
      <w:pPr>
        <w:tabs>
          <w:tab w:val="left" w:pos="2145"/>
        </w:tabs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Волжский 2010</w:t>
      </w:r>
    </w:p>
    <w:p w:rsidR="00221E6A" w:rsidRPr="001E3316" w:rsidRDefault="00AE3EF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Содержание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221E6A" w:rsidRPr="001E3316" w:rsidRDefault="00221E6A" w:rsidP="00BB664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Циркониевый электрокорунд</w:t>
      </w:r>
    </w:p>
    <w:p w:rsidR="00221E6A" w:rsidRPr="001E3316" w:rsidRDefault="00221E6A" w:rsidP="00BB664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Свойства циркониевого электрокорунда</w:t>
      </w:r>
    </w:p>
    <w:p w:rsidR="00221E6A" w:rsidRPr="001E3316" w:rsidRDefault="00221E6A" w:rsidP="00BB664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Микроструктура циркониевого электрокорунда</w:t>
      </w:r>
    </w:p>
    <w:p w:rsidR="00221E6A" w:rsidRPr="001E3316" w:rsidRDefault="00221E6A" w:rsidP="00BB664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Фазовые равновесия в электрокорунде системы А1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ZrO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</w:p>
    <w:p w:rsidR="00221E6A" w:rsidRPr="001E3316" w:rsidRDefault="00221E6A" w:rsidP="00BB664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221E6A" w:rsidRPr="001E3316" w:rsidRDefault="00221E6A" w:rsidP="00BB6640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Список литературы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курсовой работе будет рассмотрен технологический процесс плавки циркониевого электрокорунда, особенности его структуры, физических и химических свойств, а также их изменение от скорости охлаждения расплава и др. Данная работа опирается на опыты проводимые во ВНИИАШе под руководством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В.В.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Карлина, и с участием И.П. Васильева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Г.М. Зарецкой и др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  <w:t>Циркониевый электрокорунд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Циркониевый электрокорунд будем рассматривать как продукт кристаллизации двойной системы. В этой системе, по данным Г. Вартерберга, при массовой доле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равной примерно 40 %, появляется эвтектика с температурой плавления 2193 К. Р.Ф. Геллер определил наличие эвтектического сплава при массовой доле в нем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7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равной 55 %, с температурой плавления 2158 К. Поданным японских исследователей температура плавления эвтектики составляет 2163 К. А.С. Бережной, исследуя систему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7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—ZrO^, построил расчетную диаграмму состояния (рис. 2.42), согласно которой массовая доля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2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в эвтектическом сплаве составляет 32 %, а температура его плавления 2183 К. 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51530C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89pt;mso-wrap-edited:f;mso-wrap-distance-left:0;mso-wrap-distance-right:0;mso-position-horizontal-relative:margin" wrapcoords="0 0 0 21315 3851 21315 3851 21600 21600 21600 21600 21315 21600 21315 21600 0 0 0">
            <v:imagedata r:id="rId7" o:title="" grayscale="t"/>
          </v:shape>
        </w:pic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84368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Характерной чертой системы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А1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—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содержащей 20—25 %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7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является присущая корунду высокая твердость в сочетании с повышенной вязкостью разрушения. При этом наиболее эффективное повышение вязкости разрушения достигается при использовании в композиции тетрагональной формы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стабилизируемой введением в материал 2—3 % (по массе) оксида иттрия Y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Стабилизация кубической формы диоксида циркония более высокими концентрациями (5-6 % Y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по массе), напротив, приводит не к повышению, а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к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снижению вязкости разрушения материала. Моноклинная форма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циркониевом электрокорунде также повышает прочность и вязкость разрушения корунда, но в меньшей степени, чем тетрагональная форма. Это обстоятельство чрезвычайно важно учитывать при получении циркониевого электрокорунда, применяемого для силового шлифования, где роль прочности, ударной вязкости и трещиностойкости абразивного зерна для его эксплуатационных характеристик существенно возрастает.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 зависимости от условий кристаллизации существенно изменяются свойства циркониевого корунда (табл. 1).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Изменение прочностных показателей зерен циркониевого электрокорунда связано с дефектами его микроструктуры, определяемой наличием микротрещин между корундом и баделеитом, обусловленных различием коэффициентов термического расширения этих минералов и возможными модификационными переходами диоксида циркония. С уменьшением размеров кристаллов циркониевого электрокорунда возрастает их сопротивляемость разрушению. Например, уменьшение кристаллов, образующих эвтектические участки со 150 до 30 мкм, увеличивает сопротивление разрушению зерен крупностью 125 мкм более чем в два раза.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Таблица 1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Некоторые свойства зерен циркониевого электрокорунда в зависимости от скорости охлаждения расплава (по данным ВНИИАШа)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37"/>
        <w:gridCol w:w="1795"/>
        <w:gridCol w:w="1893"/>
        <w:gridCol w:w="1707"/>
        <w:gridCol w:w="2339"/>
      </w:tblGrid>
      <w:tr w:rsidR="00BB6640" w:rsidRPr="00965446" w:rsidTr="00965446">
        <w:trPr>
          <w:trHeight w:val="23"/>
        </w:trPr>
        <w:tc>
          <w:tcPr>
            <w:tcW w:w="959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Скорость охлаждения,</w:t>
            </w:r>
            <w:r w:rsidR="00BB6640"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  <w:t>◦</w:t>
            </w: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С/мин</w:t>
            </w:r>
          </w:p>
        </w:tc>
        <w:tc>
          <w:tcPr>
            <w:tcW w:w="937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Прочность единичного зерна № 125, Н/зерно</w:t>
            </w:r>
          </w:p>
        </w:tc>
        <w:tc>
          <w:tcPr>
            <w:tcW w:w="989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Прочность совокупности зерен, %</w:t>
            </w:r>
          </w:p>
        </w:tc>
        <w:tc>
          <w:tcPr>
            <w:tcW w:w="892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Насыпная масса, кг/м</w:t>
            </w: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222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Износостойкость, мин/мм </w:t>
            </w:r>
          </w:p>
        </w:tc>
      </w:tr>
      <w:tr w:rsidR="00BB6640" w:rsidRPr="00965446" w:rsidTr="00965446">
        <w:trPr>
          <w:trHeight w:val="23"/>
        </w:trPr>
        <w:tc>
          <w:tcPr>
            <w:tcW w:w="959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170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2000</w:t>
            </w:r>
          </w:p>
        </w:tc>
        <w:tc>
          <w:tcPr>
            <w:tcW w:w="937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163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197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249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287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351</w:t>
            </w:r>
          </w:p>
        </w:tc>
        <w:tc>
          <w:tcPr>
            <w:tcW w:w="989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66,0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79,3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83,1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87,0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87,0</w:t>
            </w:r>
          </w:p>
        </w:tc>
        <w:tc>
          <w:tcPr>
            <w:tcW w:w="892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1910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1930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1990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1970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2030</w:t>
            </w:r>
          </w:p>
        </w:tc>
        <w:tc>
          <w:tcPr>
            <w:tcW w:w="1222" w:type="pct"/>
            <w:shd w:val="clear" w:color="auto" w:fill="auto"/>
          </w:tcPr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412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470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535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614</w:t>
            </w:r>
          </w:p>
          <w:p w:rsidR="00221E6A" w:rsidRPr="00965446" w:rsidRDefault="00221E6A" w:rsidP="00965446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965446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1200</w:t>
            </w:r>
          </w:p>
        </w:tc>
      </w:tr>
    </w:tbl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51530C">
        <w:rPr>
          <w:rFonts w:ascii="Times New Roman" w:hAnsi="Times New Roman"/>
          <w:noProof/>
          <w:color w:val="000000"/>
          <w:sz w:val="28"/>
          <w:szCs w:val="28"/>
        </w:rPr>
        <w:pict>
          <v:shape id="_x0000_i1026" type="#_x0000_t75" style="width:120pt;height:141pt">
            <v:imagedata r:id="rId8" o:title=""/>
          </v:shape>
        </w:pic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Размер кристаллов циркониевого электрокорунда зависит от условий охлаждения расплава. Так, по данным ВНИИАШа, с увеличением скорости охлаждения расплава от 12—20 до 1000— 2000 °С/мин размер первичных кристаллов уменьшается с 300—400 до 30—10 мкм и растет число участков эвтектического строения. Скорость охлаждения расплава можно изменять, разливая его в металлическую изложницу, аналогичную изложнице такой же емкости, но с металлическими шарами, ускоряющими охлаждение расплава, и на валках-кристаллизаторах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последнем случае расплав из печи поступает в зону формирования ленты, образуемую усилием прижима двух охлаждаемых валков (рис. 2.43), вращающихся навстречу друг другу. На поверхности каждого из вращающихся валков / и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2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образуются твердые "корочки" расплава, которые, встречаясь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точке А (см. рис. 1), сливаются (свариваются) в одну общую "корочку" — твердую полосу циркониевого электрокорунда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Температура расплава в печи при этом составляет 2323— 2373 К, в струе — 2173—2253 К, а в зоне формирования полосы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4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в клине расплава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3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между</w:t>
      </w:r>
      <w:r w:rsidR="00684368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валками — 2123—2163 К. Оптимальная скорость формирования электрокорундовой полосы в этих условиях составляет 0,17 м/с, а ее толщина— 2,5— 3,5 мм. Выход крупного шлифзерна (размер частиц 2—1 мм) из такой полосы составляет 65,3 %, а насыпная масса его изменяется в пределах 2010—1920 кг/м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684368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Сравнительная характеристика химического состава и некоторых свойств зерен циркониевого электрокорунда отечественного производства, полученного из различных шихтовых материалов и охлажденного в валках-кристаллизаторах, по сравнению с зарубежными аналогами приведена в табл. 2.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Анализ данных табл. 2. показывает, что используя различного состава шихты, можно получать материалы с высокими физико-механическими свойствами. При этом зарубежные аналоги, несмотря на более низкое содержание в них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ZiO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,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отличаются более высокими значениями насыпной массы, что, по-видимому, можно объяснить различием в технологии получения зерна. Особенность зарубежной технологии заключается в том, что кристаллизация циркониевого электрокорунда осуществляется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формах с добавлением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них в ходе слива расплава металлических шаров или кусков циркониевого электрокорунда предыдущих плавок, ускоряющих процесс охлаждения расплава. После этого измельчение материала производится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шаровых или стержневых мельницах, обеспечивающих более изометричную форму зерна и более высокую его насыпную массу по сравнению с зерном, полученным из материала,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закристаллизованного 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валках.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Недостатком способа кристаллизации циркониевого электрокорунда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валках-кристаллизаторах является малая их удельная производительность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и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низкая стойкость.</w:t>
      </w:r>
    </w:p>
    <w:p w:rsidR="00221E6A" w:rsidRPr="001E3316" w:rsidRDefault="00221E6A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Таблица 2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Сравнительная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характеристика зерна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циркониевого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электрокорунда, полученного из различных шихтовых материалов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валках-кристаллизаторах.</w:t>
      </w:r>
    </w:p>
    <w:p w:rsidR="00BB6640" w:rsidRPr="001E3316" w:rsidRDefault="0051530C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7" type="#_x0000_t75" style="width:357pt;height:240.7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Технологический процесс промышленной плавки циркониевого электрокорунда аналогичен плавке белого и легированного электрокорунда способом "на выпуск" и производится в таких же электрических трехфазных дуговых печах. При этом в качестве глиноземсодержащего сырья используют шлифматериалы белого и нормального электрокорундов, взятых, как правило, из избыточных номеров зернистостей, находящих ограниченное применение в производстве абразивного инструмента. В качестве второго компонента применяют диоксид циркония, содержащий порядка 98 %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или циркониевый концентрат. Для получения мелкокристаллической структуры циркониевого корунда в России и за рубежом выпуск расплава корунда производят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изложницу, 50 % объема которой заполняется стальными шарами, или применяют специальные изложницы, обеспечивающие охлаждение расплава в виде пластин толщиной 20-50 мм; применяют также охлаждение в валках-кристаллизаторах,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чем было изложено выше.</w:t>
      </w:r>
    </w:p>
    <w:p w:rsidR="00221E6A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  <w:t>Свойства циркониевого электрокорунда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При формировании микроструктуры фаз циркониевого электрокорунда, как и других электроплавленых оксидных материалов, важное значение имеют скорость разливки сплава и последующие условия охлаждения. Так, непрерывнолитые заготовки, полученные на валках-кристаллизаторах, имеют улучшенную микроструктуру и обеспечивают более высокое качество абразивного зерна (изделий). В опытах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расплав циркониевого электрокорунда на основе технического глинозема и нормального электрокорунда разливали со скоростью формирования слитка-ленты 0,16 м/с. Ввиду хрупкости слиток, попадая в приемный короб, разламывался на куски различных размеров. Раздельное охлаждение кусков на воздухе позволяло иметь более высокую скорость снижения температуры по сравнению с охлаждением кусков в стопке в коробе. Исследования показали, что минералогический (фазовый) состав и разрушаемость фракции &lt; 1600 и &lt; 1250 мкм шлифзерна циркониевого электрокорунда зависят от применяемого в шихте глинозем содержащего материала (технического глинозема или нормального электрокорунда), количества фазы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условий охлаждения слитка-ленты. Разрушаемость шлифзерна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X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определяли по выражению, %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Х = (1—G/P)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100, где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G —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масса остатка шлифзерна после испытания и рассева на сите с размером стороны ячейки 1000 мкм;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Р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— масса исходной навески шлифзерна (100 г).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Таблица 3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Химический и фазовый состав циркониевого электрокорунда и разрушаемость шлифзерна. </w:t>
      </w:r>
    </w:p>
    <w:p w:rsidR="00221E6A" w:rsidRPr="001E3316" w:rsidRDefault="0051530C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8" type="#_x0000_t75" style="width:334.5pt;height:234pt">
            <v:imagedata r:id="rId10" o:title=""/>
          </v:shape>
        </w:pic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В табл.3 приведены данные, характеризующие изменение фазового состава циркониевого электрокорунда, полученного на основе технического глинозема (плавка А), нормального электрокорунда без присадки алюминия (плавка Б) и с присадкой алюминия (плавка В). Количество а-А1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эвтектики относятся к случаю охлаждения кусков слитка-ленты каждой плавки в стопке, а количество фазы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для обоих случаев — для охлаждения в стопке и в виде отдельных кусков на воздухе. К сожалению, авторы не привели полный фазовый состав сплавов с указанием количества сопутствующих фаз, как-то: Na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O-11А1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(для плавки А), СаО-6А1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анортита, титановых минералов и др. (для плавок Б и В).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Из данных табл.3 следует, что присадка 0,3% Al в расплав (плавка В) повышает количество фазы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с 14% (плавка Б, без присадки А1) до 20% в слитках, охлажденные в стопке. Авторы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связывают это только с присадкой алюминия</w:t>
      </w:r>
    </w:p>
    <w:p w:rsidR="00221E6A" w:rsidRPr="001E3316" w:rsidRDefault="00221E6A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По-видимому, следует учитывать также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и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тот факт, что в плавке В более высокая концентрация оксидов титана (2,0 против 1,4% в плавке Б) в пересчете на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что приводит также к большему выходу стабилизированной фазы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. С этим, очевидно, связано и большее количество фазы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плавке Б (14,9%) в сравнении с плавкой А (12,0%) на основе технического глинозема, в которой оксиды титана отсутствовали. Это подтверждается данными табл. 9.1, в которой приведены связь количества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от добавок ТiO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поэтому большее количество фазы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сплаве плавки В (2,0 %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 в сравнении со сплавами плавок Б (1,6%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 и А (ТiO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отсутствует), очевидно, связано не только с присадками в расплав алюминия, но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и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наибольшим для данной серии плавок содержанием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оксидов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титана. В связи с этим при выборе оптимального содержания стабилизирующей добавки необходимо учитывать концентрации других оксидов, присутствующих в расплаве циркониевого электрокорунда. Предметом дальнейших исследований должно быть установление функциональной связи количества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слитках от полного химического состава электрокорунда, поскольку разрушаемость, хрупкость зерна тем ниже, чем выше (в изученных пределах) содержание тригональной модификации диоксида циркония (фазы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Микроструктура циркониевого электрокорунда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Микроструктура циркониевого электрокорунда в существенной мере зависит от условий охлаждения расплава. Первичные кристаллы корунда, как правило, имеют вытянутую форму в направлении теплоотвода, а диоксид циркония в виде баделеита обрамляет кристаллы корунда или образует эвтектические участки. В качестве примера на рис. 3 показаны микроструктуры циркониевого электрокорунда, полученного при различных скоростях охлаждения, а на рис. 5 — полученного в слитках различной толщины (разная степень охлаждения по зонам слитка) поданным ВНИИАШа. Для всех видов представленных слитков характерно скелетное строение первичных кристаллов корунда, сцементированных корунд-баделеитовой эвтектикой (см. рис. 5,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а— в)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или баделеитом (см. рис. 5,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г).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Вытянутая в одном направлении форма первичных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кристаллов, характерная для краевых зон слитков (рис. 2.46, я, </w:t>
      </w:r>
      <w:r w:rsidR="00BB6640"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б), 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>особенно четко выражена в слитках малой толшины^(60 и 25 мм); для всех слитков четко выражено увеличение размеров кристаллов от периферии слитка к его центру (см. рис. 6).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51530C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9" type="#_x0000_t75" style="width:146.25pt;height:147pt">
            <v:imagedata r:id="rId11" o:title="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0" type="#_x0000_t75" style="width:154.5pt;height:317.25pt">
            <v:imagedata r:id="rId12" o:title=""/>
          </v:shape>
        </w:pic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Рис. 3. Микроструктура циркониевого электрокорунда (массовая доля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составляет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20—25 %) при различных скоростях охлаждения (х250):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а—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12-20 °С/ммн;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б—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80-130 °С/мин; • — 1000 "С/мин;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г—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циркониевый электрокорунд фирмы "Нортон"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(х500)</w:t>
      </w:r>
    </w:p>
    <w:p w:rsidR="00BB6640" w:rsidRPr="001E3316" w:rsidRDefault="00BB6640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Максимальное содержание эвтектики характерно для слитка толщиной 100 мм. В слитках толщиной 60 и 25 мм в их наружных зонах "эвтектика" отсутствует, а на стыках корундовых кристаллов кристаллизуется практически только баделеит.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Наружные зоны слитков содержат значительное количество округлой формы пор, число которых возрастает по мере роста толщины слитка. Вокруг этих пор обычно наблюдается кристаллизация "эвтектики".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При введении в ходе плавки циркониевого электрокорунда добавки SiO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9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 готовом продукте наблюдается стекло, содержание которого растет по мере</w:t>
      </w:r>
    </w:p>
    <w:p w:rsidR="00BB6640" w:rsidRPr="001E3316" w:rsidRDefault="00BB6640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33FBB" w:rsidRPr="001E3316" w:rsidRDefault="0051530C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1" type="#_x0000_t75" style="width:270.75pt;height:251.25pt;mso-wrap-distance-left:7in;mso-wrap-distance-right:7in;mso-position-horizontal-relative:page" o:allowincell="f">
            <v:imagedata r:id="rId13" o:title=""/>
          </v:shape>
        </w:pic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Рис. 5. Микроструктура центральных зон слитков циркониевого электрокорунда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различной толщины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по данным В.В. Карлина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с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сотрудниками: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i/>
          <w:iCs/>
          <w:noProof/>
          <w:color w:val="000000"/>
          <w:sz w:val="28"/>
          <w:szCs w:val="28"/>
        </w:rPr>
        <w:t xml:space="preserve">а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—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200 мм (скорость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охлаждения 10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С/мин);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6-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100 мм (20 С/мин);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в —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60 мм (60 С/мин);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г—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25 мм (170 °С/мнн); /-— корунд;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2—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баделеит,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3—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корундбаделеитовая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"эвтектика*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perscript"/>
        </w:rPr>
        <w:t>1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(свет отраженный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х200)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D33FBB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51530C">
        <w:rPr>
          <w:rFonts w:ascii="Times New Roman" w:hAnsi="Times New Roman"/>
          <w:noProof/>
          <w:color w:val="000000"/>
          <w:sz w:val="28"/>
          <w:szCs w:val="28"/>
        </w:rPr>
        <w:pict>
          <v:shape id="_x0000_i1032" type="#_x0000_t75" style="width:297pt;height:324pt;mso-wrap-distance-left:1.9pt;mso-wrap-distance-right:1.9pt;mso-position-horizontal-relative:page" o:allowincell="f">
            <v:imagedata r:id="rId14" o:title=""/>
          </v:shape>
        </w:pic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Рис. 6. Микроструктура циркониевого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электрокорунда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слитках толщиной 25 мм (свет отраженный; х200)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>{а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— краевая зона;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>б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— центр)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и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60 мм (в— краевая зона; г—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центр):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Фазовые равновесия в электрокорунде системы </w:t>
      </w:r>
      <w:r w:rsidR="00221E6A"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А1</w:t>
      </w:r>
      <w:r w:rsidR="00221E6A"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="00221E6A"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О</w:t>
      </w:r>
      <w:r w:rsidR="00221E6A"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3</w:t>
      </w:r>
      <w:r w:rsidR="00221E6A"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—</w:t>
      </w:r>
      <w:r w:rsidR="00221E6A"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ZrO</w:t>
      </w:r>
      <w:r w:rsidR="00221E6A"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Электроплавленый продукт состава 70 %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—30 %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является исходным материалом для получения абразивного инструмента. Силовое обдирочное шлифование этим абразивом ведется при высоких скоростях резания (от 60 до 80 м/с) и больших радиальных усилиях прижатия абразивного круга к обрабатываемой поверхности (5—10 кН), что обеспечивает производительность сошлифования до 250 кг стали/ч и 400 кг чугуна/ч. Абразивный круг (шлифзерно) подвергается высоким термическим нагрузкам. Температура в зоне резания достигает температур плавления обрабатываемых стальных и чугунных деталей. Изготовление абразивных кругов также связано с их обжигом при высоких температурах, поэтому необходимо учитывать полиморфные превращения оксида циркония и других фаз, которые могут оказывать влияние на качество абразивного инструмента.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Новыми исследованиями установлено, что стабилизируется не моноклинная модификация (бадделеит), а тетрагональная структура ZC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(или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2K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). Наибольший эффект повышения качества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51530C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3" type="#_x0000_t75" style="width:269.25pt;height:177.75pt">
            <v:imagedata r:id="rId15" o:title=""/>
          </v:shape>
        </w:pic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циркониевого электрокорунда достигается при стабилизации тригональной модификации (ZrO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). Имеются два главных направления стабилизации ZrO2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сплавах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—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: легирование расплавов некоторыми тугоплавкими оксидами и создание высокой степени нестехиометричности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по кислороду (ZrO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x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). Выбору оптимального состава электрокорунда, легированного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предшествовал большой период исследовательских и опытно-промышленных разработок по определению требований к химическому составу исходных компонентов шихты, технологическим параметрам плавки в дуговых печах и скорости разливки (кристаллизации) и охлаждения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последние годы производимый циркониевый электрокорунд, облагороженный также некоторыми оксидами, содержит 70%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30%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21E6A" w:rsidRPr="001E3316" w:rsidRDefault="00221E6A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Диаграмма состояния системы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—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относится к простым эвтектическим (рис. 9.1). Координаты эвтектической точки точно не установлены и по данным различных авторов колеблются в пределах 32—55%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1983—2193 К.</w:t>
      </w:r>
    </w:p>
    <w:p w:rsidR="00BB6640" w:rsidRPr="001E3316" w:rsidRDefault="00221E6A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—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сплав состава 75%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—25%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должен иметь в структуре 36,2% первичных кристаллов а-А1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63,8 % эвтектики. Однако промышленные слитки кристаллизуются в неравновесных условиях с различной скоростью. Поэтому соотношение структурных фаз может существенно различаться, что, естественно, влияет на свойства циркониевого электрокорунда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221E6A" w:rsidRPr="001E3316" w:rsidRDefault="00221E6A" w:rsidP="00BB66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Также в опытах сравнивали процессы формирования структуры образцов сплава доэвтектического (75% Al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+ 25%ZrO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 и заэвтектического (37,1%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+ 62,9%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). Скорость охлаждения изменяли, разливая расплав из электродуговой печи в металлическую изложницу вместимостью 0,25 м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в изложницу такой же вместимостью с металлическими шарами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и на валках-кристаллизаторах. В слитках доэвтектического состава, полученных при скоростях охлаждения по всем трем вариантам, выявлены три характерные макроструктурные зоны: 1) мелкокристаллической корочки; 2) столбчатых кристаллов; 3) равноосных полиэдрических кристаллов. В макроструктуре слитков выявляются поры (рис. 9.2). Толщина и микроструктура корочки не зависят от скорости охлаждения. Условия разливки оказывают большое влияние на формирование зон столбчатых и равноосных кристаллов. Выявлено принципиальное различие структур закристаллизованных с различной скоростью доэвтектического и заэвггектического расплавов. В образцах доэвтектического сплава большие скорости не подавляют кристаллизацию первичных кристаллов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образование квазиэвтектической структуры. В заэвтектическом сплаве (62,9%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 в зоне мелкокристаллической корочки первичные кристаллы полностью отсутствуют. Существенно отличаются и формы роста кристаллов а-А1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эвтектики. Для первичных кристаллов а-А1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характерны граненные, а для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— округлые формы роста.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Ведущей фазой при кристаллизации эвтектики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—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2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является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. Колонки эвтектики дублируют строение и внешнюю форму кристаллов корунда. В доэвтектическом сплаве, размеры первичных кристаллов а-А1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эвтектических колоний в сплаве соизмеримы между собой и минимальны. Это обстоятельство обеспечивает получение из этих сплавов шлифовального зерна с наименьшей разрушаемостью.</w:t>
      </w: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ФАЗОВЫЕ РАВНОВЕСИЯ В ЭЛЕКТРОКОРУНДЕ СИСТЕМЫ А1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—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ZrO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—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TiO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51530C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4" type="#_x0000_t75" style="width:162.75pt;height:237.75pt;mso-wrap-distance-left:1.9pt;mso-wrap-distance-right:1.9pt;mso-position-horizontal-relative:margin" o:allowincell="f">
            <v:imagedata r:id="rId16" o:title=""/>
          </v:shape>
        </w:pic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В системе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—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(рис. 9.3) образуется одно соединение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-TiO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с широким интервалом гомогенности. Имеются области твердого раствора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твердого раствора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. Расворимость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определяли 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методом высокотемпературного твердофазного взаимодействия. Порошки исходных веществ готовили с осаждением из раствора, прессовали в стальной форме и отжигали на воздухе при 1300 °С в течение 792 ч, при 1400 °С 360 ч и при 1500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с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С 288 ч. Растворимость TiO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тетрагональном ZrO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, определения рентгенофазовым и дифференциальным термическим анализом, составила 13,8±3%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при 1300 °С, 14,9±0,2%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при 1400 °С и 16,1 ±0,2%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при 1500 °С. При охлаждении до комнатной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температуры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эти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21E6A" w:rsidRPr="001E3316">
        <w:rPr>
          <w:rFonts w:ascii="Times New Roman" w:hAnsi="Times New Roman"/>
          <w:noProof/>
          <w:color w:val="000000"/>
          <w:sz w:val="28"/>
          <w:szCs w:val="28"/>
        </w:rPr>
        <w:t>твердые растворы превращаются в мета-стабильные моноклинные твердые растворы без изменения состава.</w:t>
      </w:r>
    </w:p>
    <w:p w:rsidR="00684368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Исследовано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влияние титансодержащих (и для сравнения оксида кальция) добавок в расплав 70%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+ 30%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2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на минеральный состав и температурные интервалы полиморфного превращения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сплавах. Проведены три серии пла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вок.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 первой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вводили в шихту, состоящую из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затем ее сплавляли в дуговой печи. Во второй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присаживали в расплав перед выпуском из печи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и в третьей в расплав перед выпуском вводили не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а металлический титан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Плавки всех трех вариантов разливали на валках-кристаллизаторах. Расплавы (70%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Оз — 30%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) с 4% СаО сливали в изложницу вместимостью 0,5 м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. Установлено, что количество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2T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и температурные интервалы обратимого превращения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-&gt;-—ZrO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2M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зависят от условий легирования расплава титансодержащими добавками и последующих режимов термической обработки образцов циркониевого электрокорунда.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Массовая доля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случае присадки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шихту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составило 20%. Если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вводили перед выпуском, содержание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ZrO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увеличилось до 55%. В образце сплава с присадкой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шихту, массовая доля непревра-тившейся фазы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после термообработки (1300 °С, 15 мин) составила 20%, т. е. осталась на уровне исходного его содержания. В случае ввода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расплав перед выпуском массовая доля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достигла 55%, а после термообработки уменьшилась до 30%. Отжиг образца с вводом металлического титана перед выпуском (по режиму 1300 °С, т = 2 ч) приводил к полному завершению протекания превращения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-^ZrO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2M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 сплаве, стабилизированном СаО, содержались минеральные фазы: корунд а-А1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, гексаалюминат кальция СаО-6А1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3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и оксид циркония двух модификаций в соотношении 80%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2M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и 20%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. Кубическая модификация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2K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отсутствовала. Превращение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2M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-^ZrO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образце Д происходило при 900 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>~С.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Таким образом, установлено, что ввод титансодержащих добавок в расплав эдектрокорунда состава 70%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+ 30%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2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стабилизирует фазу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и повышает ее устойчивость при изменении температурных условий. Механизм стабилизации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2T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трактуется по-разному. В монографии А. П. Гаршина и др.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указывается, что стабилизация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возможна благодаря образованию твердого раствора TiO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в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2T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К. Е. Скуббаро, анализируя физические свойства нестехиометрических неорганических материалов, указывает, что в соответствии с причинами, вызывающими образование соединений переменного состава, нестехиометрические соединения можно разделить на две большие группы. К первой отнесены соединения, образованные вследствие существования одного из элементов в нескольких валентных состояниях, ко второй — соединения, образованные вследствие изоморфного замещения одного элемента атомами другого с отличающейся валентностью. Причем при изоморфном замещении возможно отсутствие атомов в узлах решетки и отсутствие катионов в узлах решетки, например. В этой связи встречающаяся в литературе запись стабилизированных модификаций оксида циркония без указания отсутствия дефектност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>и аниона подлежит уточнению. Б.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Я. Сухаревский и А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М. Гавриш показали, что выигрыш в работе образования зародыша новой фазы при полиморфном превращении возможен только в случае неравновесной концентрации вакансий в образце. В случае закаленной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наблюдается как заметное снижение температуры перехода, так и вырождение изотермической полноты превращения.</w:t>
      </w:r>
      <w:r w:rsidR="00D33FBB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Высокую дефектность ZrO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по кислороду можно достичь не только восстановлением оксида циркония титаном</w:t>
      </w:r>
      <w:r w:rsidRPr="001E3316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, 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но и алюминием или другими металлами, имеющими высокое химическое сродство к кислороду и оксиды которых не образуют с А1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1E33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3</w:t>
      </w:r>
      <w:r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соединений (структурных фаз), снижающих абразивные свойства зерна (изделий) циркониевого электрокорунда.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br w:type="page"/>
      </w:r>
      <w:r w:rsidR="00221E6A"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Заключение.</w:t>
      </w:r>
    </w:p>
    <w:p w:rsidR="00BB6640" w:rsidRPr="001E3316" w:rsidRDefault="00BB6640" w:rsidP="00BB6640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Циркониевый электрокорунд обладает большой износостойкостью и динамической прочностью, применяется для изготовления силовых обдирочных кругов (зачистка заготовок металла - устранение поверхностных дефектов перед прокаткой), в качестве материала для дробеструйных машин и галтовочных барабанов, в качестве добавки при производстве шлифовальных и обдирочных кругов из нормального электрокорунда марки 13А,14А различных типоразмеров и отрезных дисков - для повышения износостойкости и производительности. Шлифзерно циркониевого электрокорунда с содержанием ZrO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30-40% менее прочное на износ и хрупкое, но за счет выкрашивания мелких частиц сохраняет 'колючую' поверхность и оставляет меньше прижогов на рельсах. Комплексное применение шлифзерна ZrO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(20-25%) и ZrO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  <w:vertAlign w:val="subscript"/>
        </w:rPr>
        <w:t>2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(35-40%) позволяет решить проблему увеличения ресурса круга и исключения прижогов. Применяется при производстве фрикционных материалов для различных тормозных систем, позволяет получить хорошее трение без износа диска, производство шлифовальной шкурки для</w:t>
      </w:r>
      <w:r w:rsidR="00BB6640"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лепестковых торцевых кругов</w:t>
      </w:r>
      <w:r w:rsidR="00BB6640"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Pr="001E3316">
        <w:rPr>
          <w:rFonts w:ascii="Times New Roman" w:hAnsi="Times New Roman"/>
          <w:bCs/>
          <w:noProof/>
          <w:color w:val="000000"/>
          <w:sz w:val="28"/>
          <w:szCs w:val="28"/>
        </w:rPr>
        <w:t>и др. Аспирационная пыль используется как добавка в жаростойкие краски, во фрикционные материалы.</w:t>
      </w:r>
    </w:p>
    <w:p w:rsidR="00221E6A" w:rsidRPr="001E3316" w:rsidRDefault="00221E6A" w:rsidP="00BB664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BB6640" w:rsidP="00BB664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br w:type="page"/>
        <w:t>Список литературы</w:t>
      </w:r>
    </w:p>
    <w:p w:rsidR="00221E6A" w:rsidRPr="001E3316" w:rsidRDefault="00221E6A" w:rsidP="00BB6640">
      <w:pPr>
        <w:tabs>
          <w:tab w:val="left" w:pos="420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21E6A" w:rsidRPr="001E3316" w:rsidRDefault="00221E6A" w:rsidP="00BB6640">
      <w:pPr>
        <w:numPr>
          <w:ilvl w:val="0"/>
          <w:numId w:val="40"/>
        </w:numPr>
        <w:tabs>
          <w:tab w:val="left" w:pos="426"/>
          <w:tab w:val="left" w:pos="4200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1E3316">
        <w:rPr>
          <w:rFonts w:ascii="Times New Roman" w:hAnsi="Times New Roman"/>
          <w:noProof/>
          <w:color w:val="000000"/>
          <w:sz w:val="28"/>
          <w:szCs w:val="28"/>
        </w:rPr>
        <w:t>Абразивные материалы и инструменты. Технология производства.</w:t>
      </w:r>
      <w:r w:rsidR="00BB6640" w:rsidRPr="001E3316">
        <w:rPr>
          <w:rFonts w:ascii="Times New Roman" w:hAnsi="Times New Roman"/>
          <w:noProof/>
          <w:color w:val="000000"/>
          <w:sz w:val="28"/>
          <w:szCs w:val="28"/>
        </w:rPr>
        <w:t xml:space="preserve"> Гришин, Федотов.</w:t>
      </w:r>
      <w:bookmarkStart w:id="0" w:name="_GoBack"/>
      <w:bookmarkEnd w:id="0"/>
    </w:p>
    <w:sectPr w:rsidR="00221E6A" w:rsidRPr="001E3316" w:rsidSect="00BB664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46" w:rsidRDefault="00965446" w:rsidP="00DC4547">
      <w:pPr>
        <w:spacing w:after="0" w:line="240" w:lineRule="auto"/>
      </w:pPr>
      <w:r>
        <w:separator/>
      </w:r>
    </w:p>
  </w:endnote>
  <w:endnote w:type="continuationSeparator" w:id="0">
    <w:p w:rsidR="00965446" w:rsidRDefault="00965446" w:rsidP="00DC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46" w:rsidRDefault="00965446" w:rsidP="00DC4547">
      <w:pPr>
        <w:spacing w:after="0" w:line="240" w:lineRule="auto"/>
      </w:pPr>
      <w:r>
        <w:separator/>
      </w:r>
    </w:p>
  </w:footnote>
  <w:footnote w:type="continuationSeparator" w:id="0">
    <w:p w:rsidR="00965446" w:rsidRDefault="00965446" w:rsidP="00DC4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705C"/>
    <w:multiLevelType w:val="hybridMultilevel"/>
    <w:tmpl w:val="76E24844"/>
    <w:lvl w:ilvl="0" w:tplc="A9DE2F0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6752D"/>
    <w:multiLevelType w:val="hybridMultilevel"/>
    <w:tmpl w:val="211A64E0"/>
    <w:lvl w:ilvl="0" w:tplc="3C5939E4">
      <w:numFmt w:val="bullet"/>
      <w:lvlText w:val="-"/>
      <w:lvlJc w:val="left"/>
      <w:pPr>
        <w:ind w:left="502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6645"/>
    <w:multiLevelType w:val="multilevel"/>
    <w:tmpl w:val="F4F2698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2.%2"/>
      <w:lvlJc w:val="left"/>
      <w:pPr>
        <w:ind w:left="1584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04E380C"/>
    <w:multiLevelType w:val="hybridMultilevel"/>
    <w:tmpl w:val="D4763A2E"/>
    <w:lvl w:ilvl="0" w:tplc="A9DE2F0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E3B8A"/>
    <w:multiLevelType w:val="hybridMultilevel"/>
    <w:tmpl w:val="D57A59B4"/>
    <w:lvl w:ilvl="0" w:tplc="98BAA29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1598D"/>
    <w:multiLevelType w:val="hybridMultilevel"/>
    <w:tmpl w:val="585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95478"/>
    <w:multiLevelType w:val="hybridMultilevel"/>
    <w:tmpl w:val="8176EE90"/>
    <w:lvl w:ilvl="0" w:tplc="3C5939E4">
      <w:numFmt w:val="bullet"/>
      <w:lvlText w:val="-"/>
      <w:lvlJc w:val="left"/>
      <w:pPr>
        <w:ind w:left="644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AD2782E"/>
    <w:multiLevelType w:val="hybridMultilevel"/>
    <w:tmpl w:val="7D628E4C"/>
    <w:lvl w:ilvl="0" w:tplc="A9DE2F0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989E73C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B15397"/>
    <w:multiLevelType w:val="hybridMultilevel"/>
    <w:tmpl w:val="107A772E"/>
    <w:lvl w:ilvl="0" w:tplc="3C5939E4">
      <w:numFmt w:val="bullet"/>
      <w:lvlText w:val="-"/>
      <w:lvlJc w:val="left"/>
      <w:pPr>
        <w:ind w:left="36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02D7461"/>
    <w:multiLevelType w:val="hybridMultilevel"/>
    <w:tmpl w:val="0218BD32"/>
    <w:lvl w:ilvl="0" w:tplc="3C5939E4">
      <w:numFmt w:val="bullet"/>
      <w:lvlText w:val="-"/>
      <w:lvlJc w:val="left"/>
      <w:pPr>
        <w:ind w:left="36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0D33918"/>
    <w:multiLevelType w:val="hybridMultilevel"/>
    <w:tmpl w:val="04EC3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FC0641"/>
    <w:multiLevelType w:val="hybridMultilevel"/>
    <w:tmpl w:val="1CC409C8"/>
    <w:lvl w:ilvl="0" w:tplc="3C5939E4">
      <w:numFmt w:val="bullet"/>
      <w:lvlText w:val="-"/>
      <w:lvlJc w:val="left"/>
      <w:pPr>
        <w:ind w:left="644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48B68E6"/>
    <w:multiLevelType w:val="hybridMultilevel"/>
    <w:tmpl w:val="F5D0CBB2"/>
    <w:lvl w:ilvl="0" w:tplc="5D26B72F">
      <w:numFmt w:val="bullet"/>
      <w:lvlText w:val="-"/>
      <w:lvlJc w:val="left"/>
      <w:pPr>
        <w:ind w:left="644" w:hanging="360"/>
      </w:pPr>
      <w:rPr>
        <w:rFonts w:ascii="Symbol" w:hAnsi="Symbol"/>
        <w:snapToGrid/>
        <w:sz w:val="2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48E6B0A"/>
    <w:multiLevelType w:val="hybridMultilevel"/>
    <w:tmpl w:val="71A8CDD6"/>
    <w:lvl w:ilvl="0" w:tplc="A9DE2F04">
      <w:numFmt w:val="bullet"/>
      <w:lvlText w:val="—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138F2"/>
    <w:multiLevelType w:val="hybridMultilevel"/>
    <w:tmpl w:val="D6CE5AAC"/>
    <w:lvl w:ilvl="0" w:tplc="3C5939E4">
      <w:numFmt w:val="bullet"/>
      <w:lvlText w:val="-"/>
      <w:lvlJc w:val="left"/>
      <w:pPr>
        <w:ind w:left="927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8EE3EEB"/>
    <w:multiLevelType w:val="multilevel"/>
    <w:tmpl w:val="DC6E27C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B8C3A94"/>
    <w:multiLevelType w:val="hybridMultilevel"/>
    <w:tmpl w:val="FCFABA0C"/>
    <w:lvl w:ilvl="0" w:tplc="3C5939E4">
      <w:numFmt w:val="bullet"/>
      <w:lvlText w:val="-"/>
      <w:lvlJc w:val="left"/>
      <w:pPr>
        <w:ind w:left="72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04D42"/>
    <w:multiLevelType w:val="hybridMultilevel"/>
    <w:tmpl w:val="60B6AF74"/>
    <w:lvl w:ilvl="0" w:tplc="3C5939E4">
      <w:numFmt w:val="bullet"/>
      <w:lvlText w:val="-"/>
      <w:lvlJc w:val="left"/>
      <w:pPr>
        <w:ind w:left="928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A328C3"/>
    <w:multiLevelType w:val="hybridMultilevel"/>
    <w:tmpl w:val="5730350A"/>
    <w:lvl w:ilvl="0" w:tplc="24E60D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003E89"/>
    <w:multiLevelType w:val="hybridMultilevel"/>
    <w:tmpl w:val="90CC6DB0"/>
    <w:lvl w:ilvl="0" w:tplc="3C5939E4">
      <w:numFmt w:val="bullet"/>
      <w:lvlText w:val="-"/>
      <w:lvlJc w:val="left"/>
      <w:pPr>
        <w:ind w:left="72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6592A"/>
    <w:multiLevelType w:val="hybridMultilevel"/>
    <w:tmpl w:val="D25E191C"/>
    <w:lvl w:ilvl="0" w:tplc="3C5939E4">
      <w:numFmt w:val="bullet"/>
      <w:lvlText w:val="-"/>
      <w:lvlJc w:val="left"/>
      <w:pPr>
        <w:ind w:left="502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6A0BEA"/>
    <w:multiLevelType w:val="hybridMultilevel"/>
    <w:tmpl w:val="8BD6F732"/>
    <w:lvl w:ilvl="0" w:tplc="A9DE2F04">
      <w:numFmt w:val="bullet"/>
      <w:lvlText w:val="—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28142D"/>
    <w:multiLevelType w:val="hybridMultilevel"/>
    <w:tmpl w:val="0484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7D607E"/>
    <w:multiLevelType w:val="hybridMultilevel"/>
    <w:tmpl w:val="30FCBB6A"/>
    <w:lvl w:ilvl="0" w:tplc="A9DE2F04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A9DE2F04">
      <w:numFmt w:val="bullet"/>
      <w:lvlText w:val="—"/>
      <w:lvlJc w:val="left"/>
      <w:pPr>
        <w:ind w:left="927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54000F"/>
    <w:multiLevelType w:val="hybridMultilevel"/>
    <w:tmpl w:val="F51E2696"/>
    <w:lvl w:ilvl="0" w:tplc="3C5939E4">
      <w:numFmt w:val="bullet"/>
      <w:lvlText w:val="-"/>
      <w:lvlJc w:val="left"/>
      <w:pPr>
        <w:ind w:left="72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3624F"/>
    <w:multiLevelType w:val="hybridMultilevel"/>
    <w:tmpl w:val="6F9C3D7C"/>
    <w:lvl w:ilvl="0" w:tplc="3C5939E4">
      <w:numFmt w:val="bullet"/>
      <w:lvlText w:val="-"/>
      <w:lvlJc w:val="left"/>
      <w:pPr>
        <w:ind w:left="36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035E8E"/>
    <w:multiLevelType w:val="hybridMultilevel"/>
    <w:tmpl w:val="89E6B18E"/>
    <w:lvl w:ilvl="0" w:tplc="3C5939E4">
      <w:numFmt w:val="bullet"/>
      <w:lvlText w:val="-"/>
      <w:lvlJc w:val="left"/>
      <w:pPr>
        <w:ind w:left="644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67185C84"/>
    <w:multiLevelType w:val="hybridMultilevel"/>
    <w:tmpl w:val="8ED283E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88158E1"/>
    <w:multiLevelType w:val="hybridMultilevel"/>
    <w:tmpl w:val="0310BA9E"/>
    <w:lvl w:ilvl="0" w:tplc="3C5939E4">
      <w:numFmt w:val="bullet"/>
      <w:lvlText w:val="-"/>
      <w:lvlJc w:val="left"/>
      <w:pPr>
        <w:ind w:left="644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8C75538"/>
    <w:multiLevelType w:val="hybridMultilevel"/>
    <w:tmpl w:val="03D6970E"/>
    <w:lvl w:ilvl="0" w:tplc="3C5939E4">
      <w:numFmt w:val="bullet"/>
      <w:lvlText w:val="-"/>
      <w:lvlJc w:val="left"/>
      <w:pPr>
        <w:ind w:left="72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DA4274"/>
    <w:multiLevelType w:val="hybridMultilevel"/>
    <w:tmpl w:val="3DCE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A08A2"/>
    <w:multiLevelType w:val="hybridMultilevel"/>
    <w:tmpl w:val="AA5E5E86"/>
    <w:lvl w:ilvl="0" w:tplc="3C5939E4">
      <w:numFmt w:val="bullet"/>
      <w:lvlText w:val="-"/>
      <w:lvlJc w:val="left"/>
      <w:pPr>
        <w:ind w:left="502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A824260"/>
    <w:multiLevelType w:val="hybridMultilevel"/>
    <w:tmpl w:val="3B62A754"/>
    <w:lvl w:ilvl="0" w:tplc="3C5939E4">
      <w:numFmt w:val="bullet"/>
      <w:lvlText w:val="-"/>
      <w:lvlJc w:val="left"/>
      <w:pPr>
        <w:ind w:left="644" w:hanging="360"/>
      </w:pPr>
      <w:rPr>
        <w:rFonts w:ascii="Symbol" w:hAnsi="Symbol" w:hint="default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B7409E3"/>
    <w:multiLevelType w:val="hybridMultilevel"/>
    <w:tmpl w:val="EB9A00AC"/>
    <w:lvl w:ilvl="0" w:tplc="3C5939E4">
      <w:numFmt w:val="bullet"/>
      <w:lvlText w:val="-"/>
      <w:lvlJc w:val="left"/>
      <w:pPr>
        <w:ind w:left="72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B9764F"/>
    <w:multiLevelType w:val="hybridMultilevel"/>
    <w:tmpl w:val="1F94E4DA"/>
    <w:lvl w:ilvl="0" w:tplc="3C5939E4">
      <w:numFmt w:val="bullet"/>
      <w:lvlText w:val="-"/>
      <w:lvlJc w:val="left"/>
      <w:pPr>
        <w:ind w:left="72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513472"/>
    <w:multiLevelType w:val="hybridMultilevel"/>
    <w:tmpl w:val="79E85D32"/>
    <w:lvl w:ilvl="0" w:tplc="3C5939E4">
      <w:numFmt w:val="bullet"/>
      <w:lvlText w:val="-"/>
      <w:lvlJc w:val="left"/>
      <w:pPr>
        <w:ind w:left="72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BF725C"/>
    <w:multiLevelType w:val="hybridMultilevel"/>
    <w:tmpl w:val="4A80A42A"/>
    <w:lvl w:ilvl="0" w:tplc="3C5939E4">
      <w:numFmt w:val="bullet"/>
      <w:lvlText w:val="-"/>
      <w:lvlJc w:val="left"/>
      <w:pPr>
        <w:ind w:left="720" w:hanging="360"/>
      </w:pPr>
      <w:rPr>
        <w:rFonts w:ascii="Symbol" w:hAnsi="Symbol" w:hint="default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557DF"/>
    <w:multiLevelType w:val="hybridMultilevel"/>
    <w:tmpl w:val="A4DE60F4"/>
    <w:lvl w:ilvl="0" w:tplc="3C5939E4">
      <w:numFmt w:val="bullet"/>
      <w:lvlText w:val="-"/>
      <w:lvlJc w:val="left"/>
      <w:pPr>
        <w:ind w:left="36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25364"/>
    <w:multiLevelType w:val="hybridMultilevel"/>
    <w:tmpl w:val="6BA2A3B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EC811F7"/>
    <w:multiLevelType w:val="hybridMultilevel"/>
    <w:tmpl w:val="D82CA5F6"/>
    <w:lvl w:ilvl="0" w:tplc="3C5939E4">
      <w:numFmt w:val="bullet"/>
      <w:lvlText w:val="-"/>
      <w:lvlJc w:val="left"/>
      <w:pPr>
        <w:ind w:left="720" w:hanging="360"/>
      </w:pPr>
      <w:rPr>
        <w:rFonts w:ascii="Symbol" w:hAnsi="Symbol"/>
        <w:snapToGrid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5"/>
  </w:num>
  <w:num w:numId="5">
    <w:abstractNumId w:val="18"/>
  </w:num>
  <w:num w:numId="6">
    <w:abstractNumId w:val="21"/>
  </w:num>
  <w:num w:numId="7">
    <w:abstractNumId w:val="26"/>
  </w:num>
  <w:num w:numId="8">
    <w:abstractNumId w:val="12"/>
  </w:num>
  <w:num w:numId="9">
    <w:abstractNumId w:val="6"/>
  </w:num>
  <w:num w:numId="10">
    <w:abstractNumId w:val="28"/>
  </w:num>
  <w:num w:numId="11">
    <w:abstractNumId w:val="11"/>
  </w:num>
  <w:num w:numId="12">
    <w:abstractNumId w:val="8"/>
  </w:num>
  <w:num w:numId="13">
    <w:abstractNumId w:val="16"/>
  </w:num>
  <w:num w:numId="14">
    <w:abstractNumId w:val="37"/>
  </w:num>
  <w:num w:numId="15">
    <w:abstractNumId w:val="39"/>
  </w:num>
  <w:num w:numId="16">
    <w:abstractNumId w:val="2"/>
  </w:num>
  <w:num w:numId="17">
    <w:abstractNumId w:val="17"/>
  </w:num>
  <w:num w:numId="18">
    <w:abstractNumId w:val="35"/>
  </w:num>
  <w:num w:numId="19">
    <w:abstractNumId w:val="33"/>
  </w:num>
  <w:num w:numId="20">
    <w:abstractNumId w:val="29"/>
  </w:num>
  <w:num w:numId="21">
    <w:abstractNumId w:val="25"/>
  </w:num>
  <w:num w:numId="22">
    <w:abstractNumId w:val="36"/>
  </w:num>
  <w:num w:numId="23">
    <w:abstractNumId w:val="19"/>
  </w:num>
  <w:num w:numId="24">
    <w:abstractNumId w:val="24"/>
  </w:num>
  <w:num w:numId="25">
    <w:abstractNumId w:val="14"/>
  </w:num>
  <w:num w:numId="26">
    <w:abstractNumId w:val="32"/>
  </w:num>
  <w:num w:numId="27">
    <w:abstractNumId w:val="9"/>
  </w:num>
  <w:num w:numId="28">
    <w:abstractNumId w:val="1"/>
  </w:num>
  <w:num w:numId="29">
    <w:abstractNumId w:val="20"/>
  </w:num>
  <w:num w:numId="30">
    <w:abstractNumId w:val="34"/>
  </w:num>
  <w:num w:numId="31">
    <w:abstractNumId w:val="31"/>
  </w:num>
  <w:num w:numId="32">
    <w:abstractNumId w:val="7"/>
  </w:num>
  <w:num w:numId="33">
    <w:abstractNumId w:val="0"/>
  </w:num>
  <w:num w:numId="34">
    <w:abstractNumId w:val="13"/>
  </w:num>
  <w:num w:numId="35">
    <w:abstractNumId w:val="4"/>
  </w:num>
  <w:num w:numId="36">
    <w:abstractNumId w:val="3"/>
  </w:num>
  <w:num w:numId="37">
    <w:abstractNumId w:val="23"/>
  </w:num>
  <w:num w:numId="38">
    <w:abstractNumId w:val="38"/>
  </w:num>
  <w:num w:numId="39">
    <w:abstractNumId w:val="27"/>
  </w:num>
  <w:num w:numId="40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7E1"/>
    <w:rsid w:val="00020BC6"/>
    <w:rsid w:val="0002295F"/>
    <w:rsid w:val="00080C8A"/>
    <w:rsid w:val="000A10D9"/>
    <w:rsid w:val="000A4320"/>
    <w:rsid w:val="000A48ED"/>
    <w:rsid w:val="000C054D"/>
    <w:rsid w:val="000E1877"/>
    <w:rsid w:val="000F75B9"/>
    <w:rsid w:val="00107AE1"/>
    <w:rsid w:val="001128B6"/>
    <w:rsid w:val="00124A5F"/>
    <w:rsid w:val="00145C49"/>
    <w:rsid w:val="0015341B"/>
    <w:rsid w:val="001847DE"/>
    <w:rsid w:val="00186F01"/>
    <w:rsid w:val="001B2032"/>
    <w:rsid w:val="001D0F5C"/>
    <w:rsid w:val="001E154B"/>
    <w:rsid w:val="001E3316"/>
    <w:rsid w:val="001E3641"/>
    <w:rsid w:val="001E4B96"/>
    <w:rsid w:val="001F26CA"/>
    <w:rsid w:val="00221E6A"/>
    <w:rsid w:val="0023163B"/>
    <w:rsid w:val="002A2039"/>
    <w:rsid w:val="002E0D52"/>
    <w:rsid w:val="002F3200"/>
    <w:rsid w:val="0030058F"/>
    <w:rsid w:val="0030288F"/>
    <w:rsid w:val="00302F23"/>
    <w:rsid w:val="00334C43"/>
    <w:rsid w:val="00361450"/>
    <w:rsid w:val="003723E9"/>
    <w:rsid w:val="003754BF"/>
    <w:rsid w:val="00397274"/>
    <w:rsid w:val="003B0F7E"/>
    <w:rsid w:val="00423FF6"/>
    <w:rsid w:val="00480E73"/>
    <w:rsid w:val="00486B15"/>
    <w:rsid w:val="00491B2B"/>
    <w:rsid w:val="004B464C"/>
    <w:rsid w:val="004C0C46"/>
    <w:rsid w:val="004F30A1"/>
    <w:rsid w:val="0051530C"/>
    <w:rsid w:val="00516399"/>
    <w:rsid w:val="00516AB8"/>
    <w:rsid w:val="005252B9"/>
    <w:rsid w:val="00545C22"/>
    <w:rsid w:val="005952D0"/>
    <w:rsid w:val="0059735B"/>
    <w:rsid w:val="005A2266"/>
    <w:rsid w:val="005C5DB2"/>
    <w:rsid w:val="005D14D6"/>
    <w:rsid w:val="005E3B0D"/>
    <w:rsid w:val="005E44DA"/>
    <w:rsid w:val="005F450B"/>
    <w:rsid w:val="00650453"/>
    <w:rsid w:val="00662DF9"/>
    <w:rsid w:val="00672A6A"/>
    <w:rsid w:val="006827B3"/>
    <w:rsid w:val="00684368"/>
    <w:rsid w:val="00690537"/>
    <w:rsid w:val="006939CB"/>
    <w:rsid w:val="006A6839"/>
    <w:rsid w:val="006C743B"/>
    <w:rsid w:val="006E25E3"/>
    <w:rsid w:val="006F126E"/>
    <w:rsid w:val="0071242B"/>
    <w:rsid w:val="00722340"/>
    <w:rsid w:val="00744FF9"/>
    <w:rsid w:val="007472DA"/>
    <w:rsid w:val="007523BA"/>
    <w:rsid w:val="0076663F"/>
    <w:rsid w:val="007B58A3"/>
    <w:rsid w:val="007C596E"/>
    <w:rsid w:val="007F7B78"/>
    <w:rsid w:val="008473CB"/>
    <w:rsid w:val="008631E9"/>
    <w:rsid w:val="00881D92"/>
    <w:rsid w:val="008A7133"/>
    <w:rsid w:val="008C6BCD"/>
    <w:rsid w:val="008D398F"/>
    <w:rsid w:val="008F08F3"/>
    <w:rsid w:val="00965446"/>
    <w:rsid w:val="00972E56"/>
    <w:rsid w:val="00980C10"/>
    <w:rsid w:val="009A248C"/>
    <w:rsid w:val="009C5851"/>
    <w:rsid w:val="00A03F65"/>
    <w:rsid w:val="00A12196"/>
    <w:rsid w:val="00A31B73"/>
    <w:rsid w:val="00A367FC"/>
    <w:rsid w:val="00A37DD6"/>
    <w:rsid w:val="00A50D4B"/>
    <w:rsid w:val="00A5687F"/>
    <w:rsid w:val="00A77503"/>
    <w:rsid w:val="00A83129"/>
    <w:rsid w:val="00A8363E"/>
    <w:rsid w:val="00AA5144"/>
    <w:rsid w:val="00AB1DD8"/>
    <w:rsid w:val="00AB6A49"/>
    <w:rsid w:val="00AD0627"/>
    <w:rsid w:val="00AE3EF0"/>
    <w:rsid w:val="00AF6114"/>
    <w:rsid w:val="00B004B1"/>
    <w:rsid w:val="00B1716A"/>
    <w:rsid w:val="00B278E4"/>
    <w:rsid w:val="00B47579"/>
    <w:rsid w:val="00B520A1"/>
    <w:rsid w:val="00B724D5"/>
    <w:rsid w:val="00B80D35"/>
    <w:rsid w:val="00BB1D43"/>
    <w:rsid w:val="00BB3802"/>
    <w:rsid w:val="00BB6640"/>
    <w:rsid w:val="00BC4235"/>
    <w:rsid w:val="00BD3C72"/>
    <w:rsid w:val="00BD44DD"/>
    <w:rsid w:val="00BD57E0"/>
    <w:rsid w:val="00BD6703"/>
    <w:rsid w:val="00C03E65"/>
    <w:rsid w:val="00C041B5"/>
    <w:rsid w:val="00C045C9"/>
    <w:rsid w:val="00C257E1"/>
    <w:rsid w:val="00C53550"/>
    <w:rsid w:val="00C6226D"/>
    <w:rsid w:val="00C6617D"/>
    <w:rsid w:val="00C73822"/>
    <w:rsid w:val="00C90B83"/>
    <w:rsid w:val="00CA5883"/>
    <w:rsid w:val="00CD2B04"/>
    <w:rsid w:val="00CF57CF"/>
    <w:rsid w:val="00D07217"/>
    <w:rsid w:val="00D32D38"/>
    <w:rsid w:val="00D33FBB"/>
    <w:rsid w:val="00D4490D"/>
    <w:rsid w:val="00D65D54"/>
    <w:rsid w:val="00D72356"/>
    <w:rsid w:val="00D77AAE"/>
    <w:rsid w:val="00D96E40"/>
    <w:rsid w:val="00DB1D67"/>
    <w:rsid w:val="00DB2FD2"/>
    <w:rsid w:val="00DC0ACA"/>
    <w:rsid w:val="00DC4547"/>
    <w:rsid w:val="00E54B1C"/>
    <w:rsid w:val="00E77840"/>
    <w:rsid w:val="00EA302C"/>
    <w:rsid w:val="00F05F35"/>
    <w:rsid w:val="00F5465E"/>
    <w:rsid w:val="00F66D34"/>
    <w:rsid w:val="00F91E2F"/>
    <w:rsid w:val="00F92655"/>
    <w:rsid w:val="00F9691F"/>
    <w:rsid w:val="00F97CDB"/>
    <w:rsid w:val="00FC7E3A"/>
    <w:rsid w:val="00FD3553"/>
    <w:rsid w:val="00FE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28CD765-2FF5-49FE-A3A5-70AB73F5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CD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1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6617D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page number"/>
    <w:uiPriority w:val="99"/>
    <w:rsid w:val="00C257E1"/>
    <w:rPr>
      <w:rFonts w:cs="Times New Roman"/>
    </w:rPr>
  </w:style>
  <w:style w:type="paragraph" w:styleId="a4">
    <w:name w:val="No Spacing"/>
    <w:uiPriority w:val="1"/>
    <w:qFormat/>
    <w:rsid w:val="00C6617D"/>
    <w:rPr>
      <w:rFonts w:cs="Times New Roman"/>
      <w:sz w:val="22"/>
      <w:szCs w:val="22"/>
    </w:rPr>
  </w:style>
  <w:style w:type="paragraph" w:styleId="a5">
    <w:name w:val="TOC Heading"/>
    <w:basedOn w:val="1"/>
    <w:next w:val="a"/>
    <w:uiPriority w:val="39"/>
    <w:qFormat/>
    <w:rsid w:val="00334C43"/>
    <w:pPr>
      <w:spacing w:line="240" w:lineRule="auto"/>
      <w:outlineLvl w:val="9"/>
    </w:pPr>
    <w:rPr>
      <w:lang w:val="en-US" w:eastAsia="en-US"/>
    </w:rPr>
  </w:style>
  <w:style w:type="paragraph" w:styleId="a6">
    <w:name w:val="Normal (Web)"/>
    <w:basedOn w:val="a"/>
    <w:uiPriority w:val="99"/>
    <w:unhideWhenUsed/>
    <w:rsid w:val="00124A5F"/>
    <w:pPr>
      <w:spacing w:before="100" w:beforeAutospacing="1" w:after="100" w:afterAutospacing="1" w:line="240" w:lineRule="auto"/>
      <w:ind w:firstLine="480"/>
      <w:jc w:val="both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4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C42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1242B"/>
    <w:pPr>
      <w:ind w:left="720"/>
      <w:contextualSpacing/>
    </w:pPr>
  </w:style>
  <w:style w:type="character" w:customStyle="1" w:styleId="CharacterStyle3">
    <w:name w:val="Character Style 3"/>
    <w:rsid w:val="00A5687F"/>
    <w:rPr>
      <w:rFonts w:ascii="Arial" w:hAnsi="Arial"/>
      <w:sz w:val="28"/>
    </w:rPr>
  </w:style>
  <w:style w:type="paragraph" w:customStyle="1" w:styleId="Style18">
    <w:name w:val="Style 18"/>
    <w:rsid w:val="00A5687F"/>
    <w:pPr>
      <w:widowControl w:val="0"/>
      <w:autoSpaceDE w:val="0"/>
      <w:autoSpaceDN w:val="0"/>
      <w:spacing w:line="360" w:lineRule="auto"/>
      <w:ind w:firstLine="648"/>
    </w:pPr>
    <w:rPr>
      <w:rFonts w:ascii="Arial" w:hAnsi="Arial" w:cs="Arial"/>
      <w:sz w:val="28"/>
      <w:szCs w:val="28"/>
    </w:rPr>
  </w:style>
  <w:style w:type="paragraph" w:customStyle="1" w:styleId="Style1">
    <w:name w:val="Style 1"/>
    <w:rsid w:val="00A5687F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C7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C743B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DC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DC4547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C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DC4547"/>
    <w:rPr>
      <w:rFonts w:cs="Times New Roman"/>
      <w:sz w:val="22"/>
      <w:szCs w:val="22"/>
    </w:rPr>
  </w:style>
  <w:style w:type="paragraph" w:customStyle="1" w:styleId="Style2">
    <w:name w:val="Style 2"/>
    <w:rsid w:val="0015341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CharacterStyle1">
    <w:name w:val="Character Style 1"/>
    <w:rsid w:val="0015341B"/>
    <w:rPr>
      <w:rFonts w:ascii="Tahoma" w:hAnsi="Tahoma"/>
      <w:sz w:val="26"/>
    </w:rPr>
  </w:style>
  <w:style w:type="paragraph" w:customStyle="1" w:styleId="Style7">
    <w:name w:val="Style 7"/>
    <w:rsid w:val="006827B3"/>
    <w:pPr>
      <w:widowControl w:val="0"/>
      <w:autoSpaceDE w:val="0"/>
      <w:autoSpaceDN w:val="0"/>
      <w:spacing w:line="360" w:lineRule="auto"/>
    </w:pPr>
    <w:rPr>
      <w:rFonts w:ascii="Arial" w:hAnsi="Arial" w:cs="Arial"/>
      <w:sz w:val="28"/>
      <w:szCs w:val="28"/>
    </w:rPr>
  </w:style>
  <w:style w:type="paragraph" w:customStyle="1" w:styleId="Style8">
    <w:name w:val="Style 8"/>
    <w:rsid w:val="006827B3"/>
    <w:pPr>
      <w:widowControl w:val="0"/>
      <w:autoSpaceDE w:val="0"/>
      <w:autoSpaceDN w:val="0"/>
      <w:spacing w:line="316" w:lineRule="auto"/>
    </w:pPr>
    <w:rPr>
      <w:rFonts w:ascii="Arial" w:hAnsi="Arial" w:cs="Arial"/>
      <w:sz w:val="28"/>
      <w:szCs w:val="28"/>
    </w:rPr>
  </w:style>
  <w:style w:type="paragraph" w:customStyle="1" w:styleId="Style6">
    <w:name w:val="Style 6"/>
    <w:rsid w:val="006827B3"/>
    <w:pPr>
      <w:widowControl w:val="0"/>
      <w:autoSpaceDE w:val="0"/>
      <w:autoSpaceDN w:val="0"/>
      <w:spacing w:before="36" w:line="360" w:lineRule="auto"/>
    </w:pPr>
    <w:rPr>
      <w:rFonts w:ascii="Tahoma" w:hAnsi="Tahoma" w:cs="Tahoma"/>
      <w:sz w:val="26"/>
      <w:szCs w:val="26"/>
    </w:rPr>
  </w:style>
  <w:style w:type="paragraph" w:customStyle="1" w:styleId="ae">
    <w:name w:val="Чертежный"/>
    <w:rsid w:val="00491B2B"/>
    <w:pPr>
      <w:jc w:val="both"/>
    </w:pPr>
    <w:rPr>
      <w:rFonts w:ascii="ISOCPEUR" w:hAnsi="ISOCPEUR" w:cs="Times New Roman"/>
      <w:i/>
      <w:sz w:val="28"/>
      <w:lang w:val="uk-UA"/>
    </w:rPr>
  </w:style>
  <w:style w:type="character" w:customStyle="1" w:styleId="apple-style-span">
    <w:name w:val="apple-style-span"/>
    <w:rsid w:val="00D32D38"/>
    <w:rPr>
      <w:rFonts w:cs="Times New Roman"/>
    </w:rPr>
  </w:style>
  <w:style w:type="character" w:customStyle="1" w:styleId="apple-converted-space">
    <w:name w:val="apple-converted-space"/>
    <w:rsid w:val="00D32D38"/>
    <w:rPr>
      <w:rFonts w:cs="Times New Roman"/>
    </w:rPr>
  </w:style>
  <w:style w:type="character" w:styleId="af">
    <w:name w:val="Hyperlink"/>
    <w:uiPriority w:val="99"/>
    <w:semiHidden/>
    <w:unhideWhenUsed/>
    <w:rsid w:val="00D32D38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221E6A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Professional"/>
    <w:basedOn w:val="a1"/>
    <w:uiPriority w:val="99"/>
    <w:unhideWhenUsed/>
    <w:rsid w:val="00BB6640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7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DEAD"/>
            <w:bottom w:val="none" w:sz="0" w:space="0" w:color="auto"/>
            <w:right w:val="single" w:sz="48" w:space="0" w:color="FFDEAD"/>
          </w:divBdr>
        </w:div>
      </w:divsChild>
    </w:div>
    <w:div w:id="11868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69"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2014-03-21T18:50:00Z</dcterms:created>
  <dcterms:modified xsi:type="dcterms:W3CDTF">2014-03-21T18:50:00Z</dcterms:modified>
</cp:coreProperties>
</file>