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86" w:rsidRPr="006141D8" w:rsidRDefault="00141567" w:rsidP="006141D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41D8">
        <w:rPr>
          <w:b/>
          <w:sz w:val="28"/>
          <w:szCs w:val="28"/>
        </w:rPr>
        <w:t>Введение</w:t>
      </w:r>
    </w:p>
    <w:p w:rsidR="00E46E18" w:rsidRPr="006141D8" w:rsidRDefault="00E46E18" w:rsidP="006141D8">
      <w:pPr>
        <w:spacing w:line="360" w:lineRule="auto"/>
        <w:ind w:firstLine="709"/>
        <w:jc w:val="both"/>
        <w:rPr>
          <w:sz w:val="28"/>
          <w:szCs w:val="28"/>
        </w:rPr>
      </w:pPr>
    </w:p>
    <w:p w:rsidR="00A33C86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сложившейся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практике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ежегодно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разрабатывает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направления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предстоящие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3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которых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определяются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целевые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ориентиры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достижению.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Определение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стратегических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направлений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среднесрочный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период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повышает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предсказуемость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снижает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степень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неопределенности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участников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направлении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развития.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выполнение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задач,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стоящих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перед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осложнилось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высокой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степенью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неясности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перспектив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развития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соответственно,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внутренней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условиях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высокого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риска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дальнейшего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ухудшения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ситуации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центральные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крупнейших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развитых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начали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оказывать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помощь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своим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банковским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системам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стабилизации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ситуации.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годовая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(декабрь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сравнению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декабрем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предыдущего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года)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составила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18,8%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(максимальный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уровень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последние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лет).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Специфика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текущего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момента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заключается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том,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условиях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усиливающегося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инфляционного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давления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ухудшения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ситуации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перед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перед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другими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центральными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банками,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возникла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определенная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дилемма.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одной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стороны,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необходимо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обеспечить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достижение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стабильности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другой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стабильность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системы,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сохранить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условия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дальнейшего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экономического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условиях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принял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решение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разработать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направления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два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вперед,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есть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2008-2009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годы.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помимо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реализации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особое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внимание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уделено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комплексу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мер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обеспечению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стабильности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системы.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мере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снижения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неопределенности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намерен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вернуться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практике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разработки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направлений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трехлетний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период.</w:t>
      </w:r>
    </w:p>
    <w:p w:rsidR="00141567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О</w:t>
      </w:r>
      <w:r w:rsidR="00141567" w:rsidRPr="006141D8">
        <w:rPr>
          <w:sz w:val="28"/>
          <w:szCs w:val="28"/>
        </w:rPr>
        <w:t>собенности</w:t>
      </w:r>
      <w:r w:rsidR="006141D8">
        <w:rPr>
          <w:sz w:val="28"/>
          <w:szCs w:val="28"/>
        </w:rPr>
        <w:t xml:space="preserve"> </w:t>
      </w:r>
      <w:r w:rsidR="00141567" w:rsidRPr="006141D8">
        <w:rPr>
          <w:sz w:val="28"/>
          <w:szCs w:val="28"/>
        </w:rPr>
        <w:t>развития</w:t>
      </w:r>
      <w:r w:rsidR="006141D8">
        <w:rPr>
          <w:sz w:val="28"/>
          <w:szCs w:val="28"/>
        </w:rPr>
        <w:t xml:space="preserve"> </w:t>
      </w:r>
      <w:r w:rsidR="00141567" w:rsidRPr="006141D8">
        <w:rPr>
          <w:sz w:val="28"/>
          <w:szCs w:val="28"/>
        </w:rPr>
        <w:t>казахстанской</w:t>
      </w:r>
      <w:r w:rsidR="006141D8">
        <w:rPr>
          <w:sz w:val="28"/>
          <w:szCs w:val="28"/>
        </w:rPr>
        <w:t xml:space="preserve"> </w:t>
      </w:r>
      <w:r w:rsidR="00141567" w:rsidRPr="006141D8">
        <w:rPr>
          <w:sz w:val="28"/>
          <w:szCs w:val="28"/>
        </w:rPr>
        <w:t>экономики</w:t>
      </w:r>
      <w:r w:rsidR="006141D8">
        <w:rPr>
          <w:sz w:val="28"/>
          <w:szCs w:val="28"/>
        </w:rPr>
        <w:t xml:space="preserve"> </w:t>
      </w:r>
      <w:r w:rsidR="00141567"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="00141567" w:rsidRPr="006141D8">
        <w:rPr>
          <w:sz w:val="28"/>
          <w:szCs w:val="28"/>
        </w:rPr>
        <w:t>последние</w:t>
      </w:r>
      <w:r w:rsidR="006141D8">
        <w:rPr>
          <w:sz w:val="28"/>
          <w:szCs w:val="28"/>
        </w:rPr>
        <w:t xml:space="preserve"> </w:t>
      </w:r>
      <w:r w:rsidR="00141567" w:rsidRPr="006141D8">
        <w:rPr>
          <w:sz w:val="28"/>
          <w:szCs w:val="28"/>
        </w:rPr>
        <w:t>годы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Финансовые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потрясения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продемонстрировали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подверженность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внешним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рискам.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Фундаментальные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особенности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развития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которые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формировались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протяжении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последних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нескольких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лет,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одними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факторов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уязвимости.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Доходы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сырьевых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отраслей,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заимствования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государственных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расходов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продолжали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способствовать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«перегреву»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совокупного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спроса.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Ограниченность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инструментов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инвестирования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условиях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объективной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неспособности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быстро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удовлетворить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спрос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услуги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инфраструктуры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недвижимость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активно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растущем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спросе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привела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«перегреву»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недвижимости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повышению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доходности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секторе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строительства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других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услуг.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недвижимости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наиболее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привлекательным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инвестиций.</w:t>
      </w:r>
      <w:r w:rsidR="006141D8">
        <w:rPr>
          <w:sz w:val="28"/>
          <w:szCs w:val="28"/>
        </w:rPr>
        <w:t xml:space="preserve"> 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Рост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сектора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последние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сопровождается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значительным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накоплением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рисков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системе.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Укрепление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повышение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суверенного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кредитного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рейтинга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рейтингов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отечественных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инвестиционная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привлекательность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сектора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способствовали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экспансии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казахстанских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капитала.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Хотя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заимствования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высокие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темпы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увеличения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кредитования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обеспечивались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соответствующим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качеством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ссудного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портфеля,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менее,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потенциальный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риск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ухудшения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качества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активов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адекватно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оценен.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Экспансивное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кредитование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строительной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отрасли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недвижимости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обусловило,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одной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стороны,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дальнейшее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повышение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недвижимости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усиление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подверженности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сектора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кредитным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рискам.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другой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стороны,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сектор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строительства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практически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полностью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зависеть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финансирования.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течение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ряда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Агентством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регулированию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надзору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организаций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принимались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минимизации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возникающих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рисков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системе.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частности,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предпринимались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регулированию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качества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ссудного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портфеля,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совершенствованию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механизма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минимальных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резервных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требований,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разработаны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новые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требования,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направленные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более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адекватную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оценку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кредитного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риска,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формирование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провизий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увеличение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капитала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организаций,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вводились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ограничения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приток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заимствований.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Вместе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возникшие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проблемы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привели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проявлению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накопленных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рисков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системы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повышению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уязвимости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внешним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шокам.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Казахстанские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которых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внешнее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финансирование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является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важным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источником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пополнения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ресурсной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базы,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столкнулись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проблемой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нехватки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текущей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Снижение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финансирования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привело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первую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очередь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сокращению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строительства,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снижению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активности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других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отраслях.</w:t>
      </w:r>
      <w:r w:rsidR="006141D8">
        <w:rPr>
          <w:sz w:val="28"/>
          <w:szCs w:val="28"/>
        </w:rPr>
        <w:t xml:space="preserve"> </w:t>
      </w:r>
    </w:p>
    <w:p w:rsidR="00D740CE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Переоценка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риска,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трудности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фондированием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системе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привели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снижению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международными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рейтинговыми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агентствами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Standard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&amp;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Poor’s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Fitch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суверенного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кредитного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рейтинга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рейтингов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ряда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отечественных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менее,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значительного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замедления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темпов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конца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произошло.</w:t>
      </w:r>
    </w:p>
    <w:p w:rsidR="00141567" w:rsidRPr="006141D8" w:rsidRDefault="006141D8" w:rsidP="006141D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46E18" w:rsidRPr="006141D8">
        <w:rPr>
          <w:b/>
          <w:sz w:val="28"/>
          <w:szCs w:val="28"/>
        </w:rPr>
        <w:t>1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Параметры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макроэкономического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развития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в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2007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году</w:t>
      </w:r>
    </w:p>
    <w:p w:rsidR="00E46E18" w:rsidRPr="006141D8" w:rsidRDefault="00E46E18" w:rsidP="006141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41567" w:rsidRPr="006141D8" w:rsidRDefault="00E46E18" w:rsidP="006141D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41D8">
        <w:rPr>
          <w:b/>
          <w:sz w:val="28"/>
          <w:szCs w:val="28"/>
        </w:rPr>
        <w:t>1.1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Развитие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мировых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финансовых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и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товарных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рынков</w:t>
      </w:r>
    </w:p>
    <w:p w:rsidR="00E46E18" w:rsidRPr="006141D8" w:rsidRDefault="00E46E18" w:rsidP="006141D8">
      <w:pPr>
        <w:spacing w:line="360" w:lineRule="auto"/>
        <w:ind w:firstLine="709"/>
        <w:jc w:val="both"/>
        <w:rPr>
          <w:sz w:val="28"/>
          <w:szCs w:val="28"/>
        </w:rPr>
      </w:pP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Мировая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развивалась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высокими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темпами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первой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половине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оценкам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МВФ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темп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ее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период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составил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около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5%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годовом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выражении.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Половина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приходилась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развитие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Китая,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Индии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России.</w:t>
      </w:r>
      <w:r w:rsidR="006141D8">
        <w:rPr>
          <w:sz w:val="28"/>
          <w:szCs w:val="28"/>
        </w:rPr>
        <w:t xml:space="preserve"> 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Кроме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того,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полугодии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характеризовался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постепенным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незначительным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ставок.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Причиной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ужесточение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центральными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некоторых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развитых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результате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повышения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Европейский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центральный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дважды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поднимал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базовую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процентную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ставку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марте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3,75%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июне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4%.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Японии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поднял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ставку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0,5%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феврале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Базовая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ФРС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оставалась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5,25%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сентября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продолжались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тренды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характеризующиеся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ослаблением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доллара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укреплением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евро,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фунта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стерлингов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медленным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укреплением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китайского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юаня.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второй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половине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темпы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развитых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снизились.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Замедление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Европе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Японии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связано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укреплением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снижением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притока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инвестиций.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замедление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обуславливается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кризисом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«sub-prime»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ипотеки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следствие,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падением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потребительской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уверенности.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августе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кризис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ипотечных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займов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который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возник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начале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перерос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локального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глобальный.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результате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повысилась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волатильность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рынках.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Падение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«sub-prime»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ипотеки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неопределенность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рисков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величины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конечных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потерь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привели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последующему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кризису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рынках.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Рост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рисков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привел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тому,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портфельные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инвесторы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вывели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капитал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развивающихся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рынков.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результате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большинства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развивающихся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доступ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внешним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заимствованиям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оказался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практически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закрыт.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Ряд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центральных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частности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Федеральная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резервная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система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Европейский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центральный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отреагировали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возникший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кризис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проведением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кредитных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интервенций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поддержания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систем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своих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стран.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условиях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колебание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процентных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усилилось.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Либор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3-месячным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долларовым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депозитам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повысилась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5,36%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состоянию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конец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июля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достигнув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сентября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своего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максимального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значения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5,73%.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После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вливания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стороны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Европейского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центрального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декабре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Либор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снизилась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4,73%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состоянию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28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декабря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года).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целом,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вступила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период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высокой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неопределенности,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источником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которой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является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волатильность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рынках.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Несмотря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стабилизацию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ситуации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последние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крупнейшие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продолжают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списывать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активы,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инвестированные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бумаги,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связанные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ипотечными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займами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низкой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надежности.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Центральные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ведущих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(США,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Евросоюза,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Великобритании,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Канады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Швейцарии)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декабре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объявили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объединении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усилий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выхода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кризиса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ликвидности.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Помимо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нестабильности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столкнулась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проблемой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значительного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товарных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рынках.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условиях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ограниченных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резервных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мощностей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выработки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нефти,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стабильного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спроса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стороны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динамично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развивающихся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увеличивающимися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геополитическими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рисками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начала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отмечается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устойчивая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тенденция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нефть.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декабре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сравнению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началом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средняя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нефть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сорта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Brent,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данным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МВФ,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выросла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46,8%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составила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91,45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баррель.</w:t>
      </w:r>
      <w:r w:rsidR="006141D8">
        <w:rPr>
          <w:sz w:val="28"/>
          <w:szCs w:val="28"/>
        </w:rPr>
        <w:t xml:space="preserve"> 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металлы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продовольственные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продукты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продолжили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свой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индекс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нетопливных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биржевых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товаров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расчетам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МВФ,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включающий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себя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продовольственные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промышленные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товары,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9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месяцев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вырос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6,1%.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индекс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металлы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вырос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1,5%,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индекс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продовольственных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товаров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18,2%.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Низкий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урожай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странах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производителях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зерновых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культур,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производства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альтернативных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видов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топлива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растительном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сырье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(биоэтанол)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привели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сокращению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предложения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соответствующих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товаров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повлекло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них.</w:t>
      </w:r>
      <w:r w:rsidR="006141D8">
        <w:rPr>
          <w:sz w:val="28"/>
          <w:szCs w:val="28"/>
        </w:rPr>
        <w:t xml:space="preserve"> 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Так,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данным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МВФ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пшеницу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(Канада)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выросла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раза,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цены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подсолнечное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масло,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данным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Департамента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сельского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хозяйства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январь-ноябрь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выросли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91,9%.</w:t>
      </w:r>
      <w:r w:rsidR="006141D8">
        <w:rPr>
          <w:sz w:val="28"/>
          <w:szCs w:val="28"/>
        </w:rPr>
        <w:t xml:space="preserve"> 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Следствием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негативных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тенденций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товарных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многих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странах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мира.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годовая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последние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12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месяцев)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повысилась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2,5%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декабре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4,3%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ноябре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странах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Еврозоны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1,9%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3,1%,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числе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Германии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1,4%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3,1%</w:t>
      </w:r>
      <w:r w:rsidR="00E46E18" w:rsidRPr="006141D8">
        <w:rPr>
          <w:sz w:val="28"/>
          <w:szCs w:val="28"/>
        </w:rPr>
        <w:t>.</w:t>
      </w:r>
    </w:p>
    <w:p w:rsidR="00E46E18" w:rsidRPr="006141D8" w:rsidRDefault="00E46E18" w:rsidP="006141D8">
      <w:pPr>
        <w:spacing w:line="360" w:lineRule="auto"/>
        <w:ind w:firstLine="709"/>
        <w:jc w:val="both"/>
        <w:rPr>
          <w:sz w:val="28"/>
          <w:szCs w:val="28"/>
        </w:rPr>
      </w:pPr>
    </w:p>
    <w:p w:rsidR="00141567" w:rsidRPr="006141D8" w:rsidRDefault="00141567" w:rsidP="006141D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41D8">
        <w:rPr>
          <w:b/>
          <w:sz w:val="28"/>
          <w:szCs w:val="28"/>
        </w:rPr>
        <w:t>1.2</w:t>
      </w:r>
      <w:r w:rsidR="006141D8" w:rsidRPr="006141D8">
        <w:rPr>
          <w:b/>
          <w:sz w:val="28"/>
          <w:szCs w:val="28"/>
        </w:rPr>
        <w:t xml:space="preserve"> </w:t>
      </w:r>
      <w:r w:rsidRPr="006141D8">
        <w:rPr>
          <w:b/>
          <w:sz w:val="28"/>
          <w:szCs w:val="28"/>
        </w:rPr>
        <w:t>Платежный</w:t>
      </w:r>
      <w:r w:rsidR="006141D8" w:rsidRPr="006141D8">
        <w:rPr>
          <w:b/>
          <w:sz w:val="28"/>
          <w:szCs w:val="28"/>
        </w:rPr>
        <w:t xml:space="preserve"> </w:t>
      </w:r>
      <w:r w:rsidRPr="006141D8">
        <w:rPr>
          <w:b/>
          <w:sz w:val="28"/>
          <w:szCs w:val="28"/>
        </w:rPr>
        <w:t>баланс</w:t>
      </w:r>
      <w:r w:rsidR="006141D8" w:rsidRPr="006141D8">
        <w:rPr>
          <w:b/>
          <w:sz w:val="28"/>
          <w:szCs w:val="28"/>
        </w:rPr>
        <w:t xml:space="preserve"> </w:t>
      </w:r>
      <w:r w:rsidRPr="006141D8">
        <w:rPr>
          <w:b/>
          <w:sz w:val="28"/>
          <w:szCs w:val="28"/>
        </w:rPr>
        <w:t>Республики</w:t>
      </w:r>
      <w:r w:rsidR="006141D8" w:rsidRPr="006141D8">
        <w:rPr>
          <w:b/>
          <w:sz w:val="28"/>
          <w:szCs w:val="28"/>
        </w:rPr>
        <w:t xml:space="preserve"> </w:t>
      </w:r>
      <w:r w:rsidRPr="006141D8">
        <w:rPr>
          <w:b/>
          <w:sz w:val="28"/>
          <w:szCs w:val="28"/>
        </w:rPr>
        <w:t>Казахстан</w:t>
      </w:r>
      <w:r w:rsidR="006141D8" w:rsidRPr="006141D8">
        <w:rPr>
          <w:b/>
          <w:sz w:val="28"/>
          <w:szCs w:val="28"/>
        </w:rPr>
        <w:t xml:space="preserve"> </w:t>
      </w:r>
      <w:r w:rsidRPr="006141D8">
        <w:rPr>
          <w:b/>
          <w:sz w:val="28"/>
          <w:szCs w:val="28"/>
        </w:rPr>
        <w:t>и</w:t>
      </w:r>
      <w:r w:rsidR="006141D8" w:rsidRPr="006141D8">
        <w:rPr>
          <w:b/>
          <w:sz w:val="28"/>
          <w:szCs w:val="28"/>
        </w:rPr>
        <w:t xml:space="preserve"> </w:t>
      </w:r>
      <w:r w:rsidRPr="006141D8">
        <w:rPr>
          <w:b/>
          <w:sz w:val="28"/>
          <w:szCs w:val="28"/>
        </w:rPr>
        <w:t>обменный</w:t>
      </w:r>
      <w:r w:rsidR="006141D8" w:rsidRPr="006141D8">
        <w:rPr>
          <w:b/>
          <w:sz w:val="28"/>
          <w:szCs w:val="28"/>
        </w:rPr>
        <w:t xml:space="preserve"> </w:t>
      </w:r>
      <w:r w:rsidRPr="006141D8">
        <w:rPr>
          <w:b/>
          <w:sz w:val="28"/>
          <w:szCs w:val="28"/>
        </w:rPr>
        <w:t>курс</w:t>
      </w:r>
      <w:r w:rsidR="006141D8" w:rsidRPr="006141D8">
        <w:rPr>
          <w:b/>
          <w:sz w:val="28"/>
          <w:szCs w:val="28"/>
        </w:rPr>
        <w:t xml:space="preserve"> </w:t>
      </w:r>
      <w:r w:rsidRPr="006141D8">
        <w:rPr>
          <w:b/>
          <w:sz w:val="28"/>
          <w:szCs w:val="28"/>
        </w:rPr>
        <w:t>тенге</w:t>
      </w:r>
    </w:p>
    <w:p w:rsidR="00E46E18" w:rsidRPr="006141D8" w:rsidRDefault="00E46E18" w:rsidP="006141D8">
      <w:pPr>
        <w:spacing w:line="360" w:lineRule="auto"/>
        <w:ind w:firstLine="709"/>
        <w:jc w:val="both"/>
        <w:rPr>
          <w:sz w:val="28"/>
          <w:szCs w:val="28"/>
        </w:rPr>
      </w:pP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Рост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товарных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обеспечил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дальнейший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экспортных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доходов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данным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таможенной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статистики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экспорт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товаров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9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месяцев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увеличился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19%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сравнению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соответствующим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периодом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составил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33,8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Сохранение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высокого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энергоносители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способствовало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притоку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прямых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инвестиций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развитие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инфраструктуры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нефтяных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месторождений.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источником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высоких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темпов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несырьевого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сектора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выступали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займы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сектора.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Как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предыдущие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доходы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текущих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основном,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поступления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экспорта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товаров),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покрывали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расходы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импорт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выплаты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нерезидентам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доходов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привлеченные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трудовые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ресурсы.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тенденции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усилились,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результате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произошло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дальнейшее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увеличение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дефицита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счету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текущих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операций.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Дефицит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текущего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счета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платежного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баланса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9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месяцев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составил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5,3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результатам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ожидается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1,8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США).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Вследствие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значительного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нетто-притока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прямых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инвестиций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(около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9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месяцев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года)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произошел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расходов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совместных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предприятий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импорт,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прежде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всего,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международных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услуг.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итогам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9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месяцев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дефицит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баланса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международных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услуг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составил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5,7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28,5%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больше,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соответствующем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периоде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Суммы,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репатриируемые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прямыми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иностранными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инвесторами,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составляют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часть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расходов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текущему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счету.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9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месяцев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они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составили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6,9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23,6%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больше,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соответствующем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периоде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Увеличение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дефицита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счету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текущих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происходит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счет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выплат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вознаграждения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внешнему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долгу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сектора.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9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месяцев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сумма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составила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2,3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(рост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сравнению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соответствующим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периодом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года).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Выплата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дивидендов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прямым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инвесторам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расходы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международные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услуги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достаточной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степени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финансируются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счет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получаемых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совместными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предприятиями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экспортных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доходов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прямых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инвестиций.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время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возможности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финансирования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остальных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платежного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баланса,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определяющих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отток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капитала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страны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(обслуживание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погашение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долга),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напрямую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зависят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доступа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казахстанских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резидентов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международным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капитала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накопленных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резидентами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активов.</w:t>
      </w:r>
      <w:r w:rsidR="006141D8">
        <w:rPr>
          <w:sz w:val="28"/>
          <w:szCs w:val="28"/>
        </w:rPr>
        <w:t xml:space="preserve"> 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Так,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полугодии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нетто-приток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финансирования,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обеспеченный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внешним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заимствованием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сектора,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составил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12,1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сравнении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нетто-притоком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5,2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полугодии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Приток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ресурсов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страну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значительно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превышал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потребности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финансирования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текущих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выплат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компенсировался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активов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частного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сектора.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Избыточное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предложение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сформированное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операциями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счета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платежного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баланса,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оказывало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существенное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давление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обменный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курс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сторону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укрепления,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которое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ослаблено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счет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внутреннем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первое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полугодие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золотовалютные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резервы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выросли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3,2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числе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1,1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счет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операций,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проведенных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Казахстанской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фондовой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бирже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(KФБ)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межбанковском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Номинальный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курс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составлявший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конец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127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доллар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апреле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укрепился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120,1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доллар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конец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июня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составлял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122,31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доллар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Проявление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глобального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кризиса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капитала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привело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существенному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ухудшению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условий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привлечения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ресурсов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казахстанских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августа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следствие,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изменению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условий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функционирования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Казахстан.</w:t>
      </w:r>
      <w:r w:rsidR="006141D8">
        <w:rPr>
          <w:sz w:val="28"/>
          <w:szCs w:val="28"/>
        </w:rPr>
        <w:t xml:space="preserve"> 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третьем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квартале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привлекли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долгосрочные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займы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(срок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более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года)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сумму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4,2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время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привлечения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втором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кварталах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составлял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6,9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6,2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соответственно.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учетом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выплат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долга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ранее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привлеченным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долгосрочным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займам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чистого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погашения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займов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нетто-приток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ресурсов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внешним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займам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сектора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третьем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квартале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составил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только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0,2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условиях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сокращения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предложения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спроса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профинансирован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счет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золотовалютных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резервов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Казахстан.</w:t>
      </w:r>
      <w:r w:rsidR="006141D8">
        <w:rPr>
          <w:sz w:val="28"/>
          <w:szCs w:val="28"/>
        </w:rPr>
        <w:t xml:space="preserve"> 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Появление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дефицита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последовавшее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событиями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капитала,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спровоцировало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панические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настроения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населения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отношении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дальнейшей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динамики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курса.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августе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произошло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ослабление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обменного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курса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126,25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доллар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конец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месяца.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Интервенции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предпринятые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целях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стабилизации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ситуации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восстановлению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доверия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системе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обеспечили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стабилизацию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обменного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курса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конец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сентября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обменный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курс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составлял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120,96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доллар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конец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декабря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120,30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доллар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Золотовалютные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резервы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период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августа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декабрь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снизились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6,0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конец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декабря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составили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17,4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Принимая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внимание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наличие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фундаментальных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факторов,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определяющих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укрепление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относительно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доллара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среднесрочной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перспективе,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недопущение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колебаний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курса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является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существенным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фактором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обеспечения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стабильности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системы.</w:t>
      </w:r>
    </w:p>
    <w:p w:rsidR="00E46E18" w:rsidRPr="006141D8" w:rsidRDefault="00E46E18" w:rsidP="006141D8">
      <w:pPr>
        <w:spacing w:line="360" w:lineRule="auto"/>
        <w:ind w:firstLine="709"/>
        <w:jc w:val="both"/>
        <w:rPr>
          <w:sz w:val="28"/>
          <w:szCs w:val="28"/>
        </w:rPr>
      </w:pPr>
    </w:p>
    <w:p w:rsidR="00141567" w:rsidRPr="006141D8" w:rsidRDefault="006141D8" w:rsidP="006141D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46E18" w:rsidRPr="006141D8">
        <w:rPr>
          <w:b/>
          <w:sz w:val="28"/>
          <w:szCs w:val="28"/>
        </w:rPr>
        <w:t>1.3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Макроэкономические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и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финансовые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показатели</w:t>
      </w:r>
    </w:p>
    <w:p w:rsidR="00E46E18" w:rsidRPr="006141D8" w:rsidRDefault="00E46E18" w:rsidP="006141D8">
      <w:pPr>
        <w:spacing w:line="360" w:lineRule="auto"/>
        <w:ind w:firstLine="709"/>
        <w:jc w:val="both"/>
        <w:rPr>
          <w:sz w:val="28"/>
          <w:szCs w:val="28"/>
        </w:rPr>
      </w:pP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Экономическое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развитие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характеризовалось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сохранением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высоких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темпов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которые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продолжаются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протяжении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последних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лет.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итогам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9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месяцев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ВВП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составил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9,7%,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незначительно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замедлившись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сравнению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показателем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(10,7%).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связан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высокими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темпами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развития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отраслей,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обрабатывающая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промышленность,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недвижимым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имуществом,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строительство,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торговля.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Инвестиции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капитал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январь-ноябрь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увеличились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10,5%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11,1%).</w:t>
      </w:r>
      <w:r w:rsidR="006141D8">
        <w:rPr>
          <w:sz w:val="28"/>
          <w:szCs w:val="28"/>
        </w:rPr>
        <w:t xml:space="preserve"> 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Продолжает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занятость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экономике.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итогам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месяцев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занятости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составил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2,4%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2,0%).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следствие,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уровень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безработицы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сократился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7,8%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декабре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7,4%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ноябре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Тем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менее,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третьем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квартале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наблюдалось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замедление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темпов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отраслях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горнодобывающая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промышленность,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строительство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деятельность.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сокращение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производства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наблюдается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практически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всех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отраслях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горнодобывающей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промышленности.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Развитие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ситуации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секторе,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прежде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всего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сегменте,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течение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характеризовалось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разнонаправленными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тенденциями.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течение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января-июля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наблюдалось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дальнейшее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расширение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деятельности,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значительными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темпами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активы,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обязательства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Несмотря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постепенное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повышение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период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уровень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позволял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отечественным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продолжать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привлечению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заимствований.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Обязательства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перед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нерезидентами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январь-июль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увеличились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32,9%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(соответствующий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период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19,5%).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Значительная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часть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привлекаемых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ресурсов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направлялась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расширение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кредитования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отечественной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течение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месяцев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кредитов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составил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46,6%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соответствующий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период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27,7%).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фоне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происходящих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событий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депозиты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населения,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показатель,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наиболее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чутко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реагирующий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изменение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обстановки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секторе,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период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августа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октябрь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снизились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4,7%.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менее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превышал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уровень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июня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ноябрь-декабрь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депозиты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населения,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предварительным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данным,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увеличились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3,5%.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депозиты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резидентов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системе,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предварительным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данным,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возросли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25,9%,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причем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прирост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депозитов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населения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составил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40,5%.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Несмотря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ограничения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доступа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внешним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заимствованиям,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рынках,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некоторого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оттока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депозитов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отечественные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приостановили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кредитование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август-декабрь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кредиты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предварительным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данным,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выросли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5,5%.</w:t>
      </w:r>
    </w:p>
    <w:p w:rsidR="00141567" w:rsidRPr="006141D8" w:rsidRDefault="006141D8" w:rsidP="006141D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46E18" w:rsidRPr="006141D8">
        <w:rPr>
          <w:b/>
          <w:sz w:val="28"/>
          <w:szCs w:val="28"/>
        </w:rPr>
        <w:t>2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Денежно-кредитная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политика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Национального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Банка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Республики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Казахстан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в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2007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году</w:t>
      </w:r>
    </w:p>
    <w:p w:rsidR="00E46E18" w:rsidRPr="006141D8" w:rsidRDefault="00E46E18" w:rsidP="006141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41567" w:rsidRPr="006141D8" w:rsidRDefault="00E46E18" w:rsidP="006141D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41D8">
        <w:rPr>
          <w:b/>
          <w:sz w:val="28"/>
          <w:szCs w:val="28"/>
        </w:rPr>
        <w:t>2.1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Оценка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достижения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целей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по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инфляции</w:t>
      </w:r>
    </w:p>
    <w:p w:rsidR="00E46E18" w:rsidRPr="006141D8" w:rsidRDefault="00E46E18" w:rsidP="006141D8">
      <w:pPr>
        <w:spacing w:line="360" w:lineRule="auto"/>
        <w:ind w:firstLine="709"/>
        <w:jc w:val="both"/>
        <w:rPr>
          <w:sz w:val="28"/>
          <w:szCs w:val="28"/>
        </w:rPr>
      </w:pP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официальным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данным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Агентства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статистике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итогам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составила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18,8%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(декабрь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декабрю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года),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10,4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п.п.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выше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сравнению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показателями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Продовольственные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товары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дороже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26,6%,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непродовольственные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10,5%,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платные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услуги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15,4%.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Базовая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(инфляция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без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учета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фрукты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овощи,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бензин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уголь),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которая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отражает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общую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тенденцию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динамике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инфляционных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процессов,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годовом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выражении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выросла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17,3%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итогам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ноября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7,3%).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инфляционные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процессы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носили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разнонаправленный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характер.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начале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отмечалось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некоторое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снижение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темпов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инфляции: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годовая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снизилась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8,4%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итогам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декабря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7,6%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итогам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втором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полугодии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инфляционные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процессы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усилились.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Только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сентябре-ноябре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достиг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9,7%,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составляет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более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50%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общего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результате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годовой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уровень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итогам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достиг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своего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максимального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значения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последние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(18,8%),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среднегодовая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составила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10,8%.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Усиление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инфляционного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давления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вызвано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столько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влиянием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фундаментальных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факторов,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действие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которых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продолжается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протяжении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ряда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лет,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сколько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воздействием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факторов,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имевших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шоковый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характер.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Фундаментальными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факторами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оставались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приток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высокие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темпы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совокупного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спроса,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увеличение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предложения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низкая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производительность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труда,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недостаточный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уровень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конкуренции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отдельных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товаров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услуг.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Как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отмечено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выше,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августе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произошло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резкое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повышение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ряд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продовольственных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товаров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(пшеница,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растительные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масла).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некоторым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запаздыванием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отразилось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ценах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соответствующие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товары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товары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переработки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внутри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частности,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значительными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темпами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сентябре-ноябре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продукты,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хлеб,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мука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масло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подсолнечное.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Учитывая,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продукты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оказал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мультипликативное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влияние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другие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продовольственные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товары,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оценке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годовая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без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учета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продовольственные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товары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период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сентября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ноябрь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сложилась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14,8%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вместо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фактических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18,8%.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Таким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образом,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результате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действия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указанных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факторов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прогноз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выдержан.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соответствии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Основными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направлениями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2007-2009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прогноз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определен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3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сценариям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развития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(«умеренные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нефть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умеренном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притоке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капитала»,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«умеренные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цены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нефть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высоком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притоке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капитала»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«высокие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нефть»).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Итоги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демонстрируют,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реализовался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сценарий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«высокие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нефть»,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котором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прогноз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среднегодовой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определен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пределах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8,2%-9,2%.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Средняя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нефть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сорта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Brent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составила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72,7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баррель.</w:t>
      </w:r>
    </w:p>
    <w:p w:rsidR="00141567" w:rsidRPr="006141D8" w:rsidRDefault="00E46E18" w:rsidP="006141D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41D8">
        <w:rPr>
          <w:b/>
          <w:sz w:val="28"/>
          <w:szCs w:val="28"/>
        </w:rPr>
        <w:t>2.2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Меры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Национального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Банка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Республики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Казахстан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по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поддержанию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стабильности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цен</w:t>
      </w:r>
    </w:p>
    <w:p w:rsidR="00E46E18" w:rsidRPr="006141D8" w:rsidRDefault="00E46E18" w:rsidP="006141D8">
      <w:pPr>
        <w:spacing w:line="360" w:lineRule="auto"/>
        <w:ind w:firstLine="709"/>
        <w:jc w:val="both"/>
        <w:rPr>
          <w:sz w:val="28"/>
          <w:szCs w:val="28"/>
        </w:rPr>
      </w:pP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полугодии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направлена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проведение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повышению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операциям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принятие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мер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абсорбированию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избыточной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Регулированию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избыточной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способствовала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либерализация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режима.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января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Законом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«О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регулировании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контроле»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полностью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отменены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ограничения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капитальным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операциям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между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резидентами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нерезидентами.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Основным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инструментом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первой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половине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выпуск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нот.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январе-июле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выпущенных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составил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3,8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трлн.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2,1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больше,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соответствующем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периоде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года).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Средневзвешенная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доходность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нотам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возросла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4,69%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декабре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5,64%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декабре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Начиная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марта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приступил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выпуску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сроками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обращения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марта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выпускались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сроком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только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28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дней).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Выпуск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осуществлялся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сроками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обращения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28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дней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месяц),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3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месяцев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январе-июле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второго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привлечено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депозитов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сумму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4,1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трлн.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34,5%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меньше,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соответствующем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периоде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Остатки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депозитам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снизились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86,2%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18,2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конец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июля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Снижение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депозитов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обусловлено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снижением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привлекательности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сравнению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краткосрочными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нотами.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внутреннем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январе-июле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выступал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преимущественно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качестве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покупателя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валюты.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менее,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нетто-покупок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несущественными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291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млн.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При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помощи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выпуска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только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полностью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абсорбировал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тенговую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ликвидность,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полученную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результате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внутреннем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(40,8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тенге)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результате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снижения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остатков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депозитах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(113,4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тенге),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часть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избыточной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163,4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тенге).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протяжении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месяцев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официальная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рефинансирования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оставалась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9,0%,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привлекаемым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депозитам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второго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которая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устанавливается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?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официальной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рефинансирования,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4,5%.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декабря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повышены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11,0%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5,5%,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соответственно.</w:t>
      </w:r>
    </w:p>
    <w:p w:rsidR="00E46E18" w:rsidRPr="006141D8" w:rsidRDefault="00E46E18" w:rsidP="006141D8">
      <w:pPr>
        <w:spacing w:line="360" w:lineRule="auto"/>
        <w:ind w:firstLine="709"/>
        <w:jc w:val="both"/>
        <w:rPr>
          <w:sz w:val="28"/>
          <w:szCs w:val="28"/>
        </w:rPr>
      </w:pPr>
    </w:p>
    <w:p w:rsidR="00141567" w:rsidRPr="006141D8" w:rsidRDefault="00E46E18" w:rsidP="006141D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41D8">
        <w:rPr>
          <w:b/>
          <w:sz w:val="28"/>
          <w:szCs w:val="28"/>
        </w:rPr>
        <w:t>2.3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Меры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Национального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Банка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Республики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Казахстан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по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обеспечению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финансовой</w:t>
      </w:r>
      <w:r w:rsidR="006141D8"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стабильности</w:t>
      </w:r>
    </w:p>
    <w:p w:rsidR="00E46E18" w:rsidRPr="006141D8" w:rsidRDefault="00E46E18" w:rsidP="006141D8">
      <w:pPr>
        <w:spacing w:line="360" w:lineRule="auto"/>
        <w:ind w:firstLine="709"/>
        <w:jc w:val="both"/>
        <w:rPr>
          <w:sz w:val="28"/>
          <w:szCs w:val="28"/>
        </w:rPr>
      </w:pP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второй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половине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реагируя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изменение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ситуации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проявление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дефицита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обусловленного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глобальным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кризисом,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предпринимал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шаги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обеспечению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стабильности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системы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путем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предоставления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банкам.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Выбор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пользу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обеспечения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стабильности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правильным,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данному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пути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пошли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многие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центральные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числе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развитых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стран.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целях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обеспечения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тенговой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ликвидностью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августа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увеличил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проведения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обратного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РЕПО,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начал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проводить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СВОП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залог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залог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остатков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корреспондентских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счетах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свободно-конвертируемой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валюте.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возобновил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практику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досрочного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погашения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собственных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нот.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Кроме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того,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введена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новая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форма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займов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рефинансирования,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именно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займы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залог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остатков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корреспондентских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счетах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валюте.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рефинансирования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проводились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сроком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дней.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период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августа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декабрь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проведены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обратного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723,9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СВОП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4043,1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состоянию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конец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декабря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непогашенной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задолженности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перед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операциям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обратного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составлял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4,0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операциям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СВОП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123,8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Начиная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августа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значительно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сократился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спрос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стороны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ноты,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результате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обращение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выпускались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сроками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обращения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только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28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дней.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привлечению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депозитов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проводились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незначительных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объемах.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связано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отсутствием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«свободной»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результате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обращении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сократились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228,9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целом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снижение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57,1%),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депозитов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9,9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целом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снижение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92,4%).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внутреннем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августе-декабре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выступал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преимущественно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качестве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продавца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валюты.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нетто-продаж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достиг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6,5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долл.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США.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Итогом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внутреннем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пополнение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второго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58,2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август-декабрь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августе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пересмотрен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механизм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минимальных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резервных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требований.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Изменения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направлены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сокращение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базы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резервных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обязательств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расширение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структуры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резервных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активов,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позволило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дополнительно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высвободить,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оценке,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150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изменения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вступили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силу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9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октября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Кроме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того,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июле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приняты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изменения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нормативы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минимальных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резервных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требований.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соответствии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ними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норматив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внутренним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обязательствам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снижается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6%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5%,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норматив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(включая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внешние)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обязательствам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повышается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8%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10%.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Учитывая,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структуре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обязательств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второго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обязательств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превышает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внутренних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обязательств,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данными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изменениями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предполагалось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дополнительно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«связать»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часть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избыточной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Введение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нормативов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планировалось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августа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Однако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учетом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возникновения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проблем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ликвидностью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сроки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вступления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силу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нормативов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минимальных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резервных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требований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перенесены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июля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2008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Результатом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мер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существенное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замедление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темпов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предложения.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произошло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сжатие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базы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2,5%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расширение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126,4%)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1464,3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предварительным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данным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масса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увеличилась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25,5%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78,1%)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4613,7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наличные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деньги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обращении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23,1%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45,9%)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739,7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млрд.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тенге.</w:t>
      </w:r>
    </w:p>
    <w:p w:rsidR="00141567" w:rsidRPr="006141D8" w:rsidRDefault="006141D8" w:rsidP="006141D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62346" w:rsidRPr="006141D8">
        <w:rPr>
          <w:b/>
          <w:sz w:val="28"/>
          <w:szCs w:val="28"/>
        </w:rPr>
        <w:t>3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Меры</w:t>
      </w:r>
      <w:r w:rsidRPr="006141D8">
        <w:rPr>
          <w:b/>
          <w:sz w:val="28"/>
          <w:szCs w:val="28"/>
        </w:rPr>
        <w:t xml:space="preserve"> </w:t>
      </w:r>
      <w:r w:rsidR="00141567" w:rsidRPr="006141D8">
        <w:rPr>
          <w:b/>
          <w:sz w:val="28"/>
          <w:szCs w:val="28"/>
        </w:rPr>
        <w:t>денежно</w:t>
      </w:r>
      <w:r w:rsidR="003E2E8D" w:rsidRPr="006141D8">
        <w:rPr>
          <w:b/>
          <w:sz w:val="28"/>
          <w:szCs w:val="28"/>
        </w:rPr>
        <w:t>-кредитной</w:t>
      </w:r>
      <w:r w:rsidRPr="006141D8">
        <w:rPr>
          <w:b/>
          <w:sz w:val="28"/>
          <w:szCs w:val="28"/>
        </w:rPr>
        <w:t xml:space="preserve"> </w:t>
      </w:r>
      <w:r w:rsidR="003E2E8D" w:rsidRPr="006141D8">
        <w:rPr>
          <w:b/>
          <w:sz w:val="28"/>
          <w:szCs w:val="28"/>
        </w:rPr>
        <w:t>политики</w:t>
      </w:r>
      <w:r w:rsidRPr="006141D8">
        <w:rPr>
          <w:b/>
          <w:sz w:val="28"/>
          <w:szCs w:val="28"/>
        </w:rPr>
        <w:t xml:space="preserve"> </w:t>
      </w:r>
      <w:r w:rsidR="003E2E8D" w:rsidRPr="006141D8">
        <w:rPr>
          <w:b/>
          <w:sz w:val="28"/>
          <w:szCs w:val="28"/>
        </w:rPr>
        <w:t>на</w:t>
      </w:r>
      <w:r w:rsidRPr="006141D8">
        <w:rPr>
          <w:b/>
          <w:sz w:val="28"/>
          <w:szCs w:val="28"/>
        </w:rPr>
        <w:t xml:space="preserve"> </w:t>
      </w:r>
      <w:r w:rsidR="003E2E8D" w:rsidRPr="006141D8">
        <w:rPr>
          <w:b/>
          <w:sz w:val="28"/>
          <w:szCs w:val="28"/>
        </w:rPr>
        <w:t>2008</w:t>
      </w:r>
      <w:r w:rsidRPr="006141D8">
        <w:rPr>
          <w:b/>
          <w:sz w:val="28"/>
          <w:szCs w:val="28"/>
        </w:rPr>
        <w:t xml:space="preserve"> </w:t>
      </w:r>
      <w:r w:rsidR="003E2E8D" w:rsidRPr="006141D8">
        <w:rPr>
          <w:b/>
          <w:sz w:val="28"/>
          <w:szCs w:val="28"/>
        </w:rPr>
        <w:t>год</w:t>
      </w:r>
    </w:p>
    <w:p w:rsidR="00445065" w:rsidRPr="006141D8" w:rsidRDefault="00445065" w:rsidP="006141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2E8D" w:rsidRPr="006141D8" w:rsidRDefault="00DD5F34" w:rsidP="006141D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41D8">
        <w:rPr>
          <w:b/>
          <w:sz w:val="28"/>
          <w:szCs w:val="28"/>
        </w:rPr>
        <w:t>3.1</w:t>
      </w:r>
      <w:r w:rsidR="006141D8" w:rsidRPr="006141D8">
        <w:rPr>
          <w:b/>
          <w:sz w:val="28"/>
          <w:szCs w:val="28"/>
        </w:rPr>
        <w:t xml:space="preserve"> </w:t>
      </w:r>
      <w:r w:rsidRPr="006141D8">
        <w:rPr>
          <w:b/>
          <w:sz w:val="28"/>
          <w:szCs w:val="28"/>
        </w:rPr>
        <w:t>Денежно-кредитная</w:t>
      </w:r>
      <w:r w:rsidR="006141D8" w:rsidRPr="006141D8">
        <w:rPr>
          <w:b/>
          <w:sz w:val="28"/>
          <w:szCs w:val="28"/>
        </w:rPr>
        <w:t xml:space="preserve"> </w:t>
      </w:r>
      <w:r w:rsidRPr="006141D8">
        <w:rPr>
          <w:b/>
          <w:sz w:val="28"/>
          <w:szCs w:val="28"/>
        </w:rPr>
        <w:t>политика</w:t>
      </w:r>
      <w:r w:rsidR="006141D8" w:rsidRPr="006141D8">
        <w:rPr>
          <w:b/>
          <w:sz w:val="28"/>
          <w:szCs w:val="28"/>
        </w:rPr>
        <w:t xml:space="preserve"> </w:t>
      </w:r>
      <w:r w:rsidR="00445065" w:rsidRPr="006141D8">
        <w:rPr>
          <w:b/>
          <w:sz w:val="28"/>
          <w:szCs w:val="28"/>
        </w:rPr>
        <w:t>на</w:t>
      </w:r>
      <w:r w:rsidR="006141D8" w:rsidRPr="006141D8">
        <w:rPr>
          <w:b/>
          <w:sz w:val="28"/>
          <w:szCs w:val="28"/>
        </w:rPr>
        <w:t xml:space="preserve"> </w:t>
      </w:r>
      <w:r w:rsidR="00445065" w:rsidRPr="006141D8">
        <w:rPr>
          <w:b/>
          <w:sz w:val="28"/>
          <w:szCs w:val="28"/>
        </w:rPr>
        <w:t>2008</w:t>
      </w:r>
      <w:r w:rsidR="006141D8" w:rsidRPr="006141D8">
        <w:rPr>
          <w:b/>
          <w:sz w:val="28"/>
          <w:szCs w:val="28"/>
        </w:rPr>
        <w:t xml:space="preserve"> </w:t>
      </w:r>
      <w:r w:rsidR="00445065" w:rsidRPr="006141D8">
        <w:rPr>
          <w:b/>
          <w:sz w:val="28"/>
          <w:szCs w:val="28"/>
        </w:rPr>
        <w:t>год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Действия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будут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определяться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зависимости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реализации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базового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пессимистичного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сценария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развития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реализации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базового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сценария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приоритетом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будет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оставаться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обеспечение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стабильности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Реализация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пессимистичного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сценария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потребует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изменения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приоритетов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пользу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обеспечения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стабильности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сектора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целью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недопущения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дальнейшего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ухудшения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экономической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ситуации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стране.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Реагируя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изменение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ситуации,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сложившейся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мировой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отечественной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экономиках,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отойдет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проведения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«жесткой»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отмечалось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выше,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центральные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многих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стран,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включая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крупнейшие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страны,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пересматривают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подходы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проведению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делая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упор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поддержание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развития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собственных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систем.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Считаем,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условиях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замедления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экономического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является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наиболее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предпочтительной.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-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реализации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обоих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сценариев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2008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продолжит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работу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совершенствованию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инструментов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главным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образом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отношении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повышения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процентных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операциям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Установление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официальной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рефинансирования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будет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производиться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зависимости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ситуации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таким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образом,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чтобы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являлась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верхним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инструментов.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депозитам,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привлекаемым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второго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будет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устанавливаться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?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официальной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рефинансирования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представлять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собой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нижнюю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границу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коридора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продолжит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предоставление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второго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займов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рефинансирования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виде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проведения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обратного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залог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государственных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агентских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бумаг.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Проведение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СВОП,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предоставление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займов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залог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остатков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корреспондентских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счетах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будет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осуществляться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только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заключении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Соглашения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сотрудничестве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взаимодействии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вопросам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предоставления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займов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Будет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полностью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прекращена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практика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проведения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переучетных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коммерческими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векселями,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связи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будет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прекращено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присвоение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предприятиям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статуса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первоклассных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эмитентов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векселей.</w:t>
      </w:r>
    </w:p>
    <w:p w:rsidR="003E2E8D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будет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осуществлять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конвертации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реконвертации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активов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фонда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путем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покупки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продажи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внутреннем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счет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золотовалютных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активов.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снижению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дополнительного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спроса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внутреннем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будет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способствовать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увеличение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сроков,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течение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которых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может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осуществлять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конвертационные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6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месяцев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ноября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месяц).</w:t>
      </w:r>
    </w:p>
    <w:p w:rsidR="003E2E8D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Меры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реализации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базового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сценария</w:t>
      </w:r>
      <w:r w:rsidR="00445065" w:rsidRPr="006141D8">
        <w:rPr>
          <w:sz w:val="28"/>
          <w:szCs w:val="28"/>
        </w:rPr>
        <w:t>: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будет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проводить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умеренно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жесткую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политику.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будет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подразумевать,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одной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стороны,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принятие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мер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поддержанию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операциям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адекватном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складывающейся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ситуации,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другой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стороны,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проведение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обеспечению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ликвидностью.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Основными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операциями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регулирования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вознаграждения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регулирования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останутся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выпуск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нот,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привлечение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депозитов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второго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предоставление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займов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рефинансирования.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При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необходимости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случае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возникновения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спроса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рассмотрит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вопрос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возобновления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выпуска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сроком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обращения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формирования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кривой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доходности.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будет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осуществлять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мониторинг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кривой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доходности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принимать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соответствующие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решения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зависимости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ситуации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условиях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давления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обменный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курс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сторону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ослабления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будет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допускать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колебаний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обменного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курса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ориентиры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коридоры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колебания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курса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устанавливаться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будут.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Относительное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снижение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внутреннего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инвестиционного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потребительского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спроса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обеспечит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корректировку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ситуации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платежном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балансе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счет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сокращения,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прежде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всего,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расходов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импорт.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время,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учитывая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временной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лаг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которым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может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произойти,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целях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устранения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дисбаланса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спроса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предложения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внутреннем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периоде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могут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предприняты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ограничению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спроса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валюту,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числе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путем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изменения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порядка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покупки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продажи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внутреннем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рынке.</w:t>
      </w:r>
      <w:r w:rsidR="006141D8">
        <w:rPr>
          <w:sz w:val="28"/>
          <w:szCs w:val="28"/>
        </w:rPr>
        <w:t xml:space="preserve"> 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Меры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реализации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пессимистичного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сценария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будет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проводить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поддерживающую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политику.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Это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подразумевает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возможность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значительного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снижения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существующих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нормативов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минимальных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резервных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требований.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будет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воздерживаться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предоставления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прямой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долговременной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помощи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значительным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объемах.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менее,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совместно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Агентством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регулированию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надзору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организаций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Правительством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планирует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выработать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активно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использовать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механизмы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поддержания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сектора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использованием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различных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косвенных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инструментов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(секьюритизация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активов,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облигациями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акциями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предоставление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через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институты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развития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др.).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Национальный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условиях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более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высокого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давления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обменного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курса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тенге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допустит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более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значительное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ослабление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сравнению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базовым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сценарием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целях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поддержания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золотовалютных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резервов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уровне,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необходимом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выполнения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страной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своих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международных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обязательств.</w:t>
      </w:r>
    </w:p>
    <w:p w:rsidR="00141567" w:rsidRPr="006141D8" w:rsidRDefault="00141567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Сжатие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внутреннего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инвестиционного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потребительского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спроса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обеспечит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корректировку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ситуации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платежном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балансе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счет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сокращения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только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расходов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импорт,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сокращения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выплат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обслуживание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долга.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время,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учитывая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существенный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дефицит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угрозу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внезапного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оттока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капитала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страны,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необходимости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будут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приняты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жесткие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стабилизации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ситуации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внутреннем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целях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могут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предприняты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меры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ограничению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оттока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капитала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повышению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предложения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валюты,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числе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посредством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временного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введения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ограничений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(режим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специального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разрешения).</w:t>
      </w:r>
    </w:p>
    <w:p w:rsidR="00445065" w:rsidRPr="006141D8" w:rsidRDefault="006141D8" w:rsidP="006141D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45065" w:rsidRPr="006141D8">
        <w:rPr>
          <w:b/>
          <w:sz w:val="28"/>
          <w:szCs w:val="28"/>
        </w:rPr>
        <w:t>3.2</w:t>
      </w:r>
      <w:r w:rsidRPr="006141D8">
        <w:rPr>
          <w:b/>
          <w:sz w:val="28"/>
          <w:szCs w:val="28"/>
        </w:rPr>
        <w:t xml:space="preserve"> </w:t>
      </w:r>
      <w:r w:rsidR="00445065" w:rsidRPr="006141D8">
        <w:rPr>
          <w:b/>
          <w:sz w:val="28"/>
          <w:szCs w:val="28"/>
        </w:rPr>
        <w:t>Основные</w:t>
      </w:r>
      <w:r w:rsidRPr="006141D8">
        <w:rPr>
          <w:b/>
          <w:sz w:val="28"/>
          <w:szCs w:val="28"/>
        </w:rPr>
        <w:t xml:space="preserve"> </w:t>
      </w:r>
      <w:r w:rsidR="00445065" w:rsidRPr="006141D8">
        <w:rPr>
          <w:b/>
          <w:sz w:val="28"/>
          <w:szCs w:val="28"/>
        </w:rPr>
        <w:t>прогнозы</w:t>
      </w:r>
      <w:r w:rsidRPr="006141D8">
        <w:rPr>
          <w:b/>
          <w:sz w:val="28"/>
          <w:szCs w:val="28"/>
        </w:rPr>
        <w:t xml:space="preserve"> </w:t>
      </w:r>
      <w:r w:rsidR="00445065" w:rsidRPr="006141D8">
        <w:rPr>
          <w:b/>
          <w:sz w:val="28"/>
          <w:szCs w:val="28"/>
        </w:rPr>
        <w:t>показателей</w:t>
      </w:r>
      <w:r w:rsidRPr="006141D8">
        <w:rPr>
          <w:b/>
          <w:sz w:val="28"/>
          <w:szCs w:val="28"/>
        </w:rPr>
        <w:t xml:space="preserve"> </w:t>
      </w:r>
      <w:r w:rsidR="00445065" w:rsidRPr="006141D8">
        <w:rPr>
          <w:b/>
          <w:sz w:val="28"/>
          <w:szCs w:val="28"/>
        </w:rPr>
        <w:t>денежно-кредитной</w:t>
      </w:r>
      <w:r w:rsidRPr="006141D8">
        <w:rPr>
          <w:b/>
          <w:sz w:val="28"/>
          <w:szCs w:val="28"/>
        </w:rPr>
        <w:t xml:space="preserve"> </w:t>
      </w:r>
      <w:r w:rsidR="00445065" w:rsidRPr="006141D8">
        <w:rPr>
          <w:b/>
          <w:sz w:val="28"/>
          <w:szCs w:val="28"/>
        </w:rPr>
        <w:t>политики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</w:p>
    <w:p w:rsidR="00396A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Прогноз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пока</w:t>
      </w:r>
      <w:r w:rsidR="003E2E8D" w:rsidRPr="006141D8">
        <w:rPr>
          <w:sz w:val="28"/>
          <w:szCs w:val="28"/>
        </w:rPr>
        <w:t>зателей</w:t>
      </w:r>
      <w:r w:rsidR="006141D8">
        <w:rPr>
          <w:sz w:val="28"/>
          <w:szCs w:val="28"/>
        </w:rPr>
        <w:t xml:space="preserve"> </w:t>
      </w:r>
      <w:r w:rsidR="003E2E8D"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="003E2E8D"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="003E2E8D"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="00141567" w:rsidRPr="006141D8">
        <w:rPr>
          <w:sz w:val="28"/>
          <w:szCs w:val="28"/>
        </w:rPr>
        <w:t>2008-2009</w:t>
      </w:r>
      <w:r w:rsidR="006141D8">
        <w:rPr>
          <w:sz w:val="28"/>
          <w:szCs w:val="28"/>
        </w:rPr>
        <w:t xml:space="preserve"> </w:t>
      </w:r>
      <w:r w:rsidR="003E2E8D" w:rsidRPr="006141D8">
        <w:rPr>
          <w:sz w:val="28"/>
          <w:szCs w:val="28"/>
        </w:rPr>
        <w:t>годы</w:t>
      </w:r>
      <w:r w:rsidR="006141D8">
        <w:rPr>
          <w:sz w:val="28"/>
          <w:szCs w:val="28"/>
        </w:rPr>
        <w:t xml:space="preserve"> </w:t>
      </w:r>
      <w:r w:rsidR="003E2E8D" w:rsidRPr="006141D8">
        <w:rPr>
          <w:sz w:val="28"/>
          <w:szCs w:val="28"/>
        </w:rPr>
        <w:t>(базовый</w:t>
      </w:r>
      <w:r w:rsidR="006141D8">
        <w:rPr>
          <w:sz w:val="28"/>
          <w:szCs w:val="28"/>
        </w:rPr>
        <w:t xml:space="preserve"> </w:t>
      </w:r>
      <w:r w:rsidR="003E2E8D" w:rsidRPr="006141D8">
        <w:rPr>
          <w:sz w:val="28"/>
          <w:szCs w:val="28"/>
        </w:rPr>
        <w:t>сценарий</w:t>
      </w:r>
      <w:r w:rsidR="00141567" w:rsidRPr="006141D8">
        <w:rPr>
          <w:sz w:val="28"/>
          <w:szCs w:val="28"/>
        </w:rPr>
        <w:t>)</w:t>
      </w:r>
      <w:r w:rsidR="006141D8">
        <w:rPr>
          <w:sz w:val="28"/>
          <w:szCs w:val="28"/>
        </w:rPr>
        <w:t xml:space="preserve"> </w:t>
      </w:r>
      <w:r w:rsidR="00141567" w:rsidRPr="006141D8">
        <w:rPr>
          <w:iCs/>
          <w:sz w:val="28"/>
          <w:szCs w:val="28"/>
        </w:rPr>
        <w:t>на</w:t>
      </w:r>
      <w:r w:rsidR="006141D8">
        <w:rPr>
          <w:iCs/>
          <w:sz w:val="28"/>
          <w:szCs w:val="28"/>
        </w:rPr>
        <w:t xml:space="preserve"> </w:t>
      </w:r>
      <w:r w:rsidR="00141567" w:rsidRPr="006141D8">
        <w:rPr>
          <w:iCs/>
          <w:sz w:val="28"/>
          <w:szCs w:val="28"/>
        </w:rPr>
        <w:t>конец</w:t>
      </w:r>
      <w:r w:rsidR="006141D8">
        <w:rPr>
          <w:iCs/>
          <w:sz w:val="28"/>
          <w:szCs w:val="28"/>
        </w:rPr>
        <w:t xml:space="preserve"> </w:t>
      </w:r>
      <w:r w:rsidR="00141567" w:rsidRPr="006141D8">
        <w:rPr>
          <w:iCs/>
          <w:sz w:val="28"/>
          <w:szCs w:val="28"/>
        </w:rPr>
        <w:t>периода</w:t>
      </w:r>
      <w:r w:rsidR="006141D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650"/>
        <w:gridCol w:w="1581"/>
        <w:gridCol w:w="1764"/>
      </w:tblGrid>
      <w:tr w:rsidR="00396A65" w:rsidRPr="00103CC4" w:rsidTr="00103CC4">
        <w:tc>
          <w:tcPr>
            <w:tcW w:w="4390" w:type="dxa"/>
            <w:shd w:val="clear" w:color="auto" w:fill="auto"/>
          </w:tcPr>
          <w:p w:rsidR="00396A65" w:rsidRPr="00103CC4" w:rsidRDefault="004C38EE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Показатели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396A65" w:rsidRPr="00103CC4" w:rsidRDefault="00396A65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2007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факт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96A65" w:rsidRPr="00103CC4" w:rsidRDefault="00D740CE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2008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="00396A65" w:rsidRPr="00103CC4">
              <w:rPr>
                <w:sz w:val="20"/>
                <w:szCs w:val="20"/>
              </w:rPr>
              <w:t>прогноз</w:t>
            </w:r>
          </w:p>
        </w:tc>
        <w:tc>
          <w:tcPr>
            <w:tcW w:w="1764" w:type="dxa"/>
            <w:shd w:val="clear" w:color="auto" w:fill="auto"/>
            <w:vAlign w:val="bottom"/>
          </w:tcPr>
          <w:p w:rsidR="00396A65" w:rsidRPr="00103CC4" w:rsidRDefault="00396A65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2009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прогноз</w:t>
            </w:r>
          </w:p>
        </w:tc>
      </w:tr>
      <w:tr w:rsidR="00396A65" w:rsidRPr="00103CC4" w:rsidTr="00103CC4">
        <w:tc>
          <w:tcPr>
            <w:tcW w:w="4390" w:type="dxa"/>
            <w:shd w:val="clear" w:color="auto" w:fill="auto"/>
          </w:tcPr>
          <w:p w:rsidR="00396A65" w:rsidRPr="00103CC4" w:rsidRDefault="00396A65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Инфляция,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%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396A65" w:rsidRPr="00103CC4" w:rsidRDefault="00396A65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bottom"/>
          </w:tcPr>
          <w:p w:rsidR="00396A65" w:rsidRPr="00103CC4" w:rsidRDefault="00396A65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396A65" w:rsidRPr="00103CC4" w:rsidRDefault="00396A65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96A65" w:rsidRPr="00103CC4" w:rsidTr="00103CC4">
        <w:tc>
          <w:tcPr>
            <w:tcW w:w="4390" w:type="dxa"/>
            <w:shd w:val="clear" w:color="auto" w:fill="auto"/>
          </w:tcPr>
          <w:p w:rsidR="00396A65" w:rsidRPr="00103CC4" w:rsidRDefault="00396A65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-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на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конец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года,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%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18,8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7,9-9,9</w:t>
            </w:r>
          </w:p>
        </w:tc>
        <w:tc>
          <w:tcPr>
            <w:tcW w:w="1764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7,5-9,5</w:t>
            </w:r>
          </w:p>
        </w:tc>
      </w:tr>
      <w:tr w:rsidR="00396A65" w:rsidRPr="00103CC4" w:rsidTr="00103CC4">
        <w:tc>
          <w:tcPr>
            <w:tcW w:w="4390" w:type="dxa"/>
            <w:shd w:val="clear" w:color="auto" w:fill="auto"/>
          </w:tcPr>
          <w:p w:rsidR="00396A65" w:rsidRPr="00103CC4" w:rsidRDefault="00396A65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-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в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среднем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за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год,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%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10,8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16,0-18,0</w:t>
            </w:r>
          </w:p>
        </w:tc>
        <w:tc>
          <w:tcPr>
            <w:tcW w:w="1764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8,5-10,5</w:t>
            </w:r>
          </w:p>
        </w:tc>
      </w:tr>
      <w:tr w:rsidR="00396A65" w:rsidRPr="00103CC4" w:rsidTr="00103CC4">
        <w:tc>
          <w:tcPr>
            <w:tcW w:w="4390" w:type="dxa"/>
            <w:shd w:val="clear" w:color="auto" w:fill="auto"/>
          </w:tcPr>
          <w:p w:rsidR="00396A65" w:rsidRPr="00103CC4" w:rsidRDefault="00396A65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Официальная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ставка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рефинансирования</w:t>
            </w:r>
            <w:r w:rsidR="00A42358" w:rsidRPr="00103CC4">
              <w:rPr>
                <w:sz w:val="20"/>
                <w:szCs w:val="20"/>
              </w:rPr>
              <w:t>,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="00A42358" w:rsidRPr="00103CC4">
              <w:rPr>
                <w:sz w:val="20"/>
                <w:szCs w:val="20"/>
              </w:rPr>
              <w:t>%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11,0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10,0</w:t>
            </w:r>
          </w:p>
        </w:tc>
        <w:tc>
          <w:tcPr>
            <w:tcW w:w="1764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9,0</w:t>
            </w:r>
          </w:p>
        </w:tc>
      </w:tr>
      <w:tr w:rsidR="00396A65" w:rsidRPr="00103CC4" w:rsidTr="00103CC4">
        <w:tc>
          <w:tcPr>
            <w:tcW w:w="4390" w:type="dxa"/>
            <w:shd w:val="clear" w:color="auto" w:fill="auto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Денежная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база,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млрд.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тенге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1464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1681</w:t>
            </w:r>
          </w:p>
        </w:tc>
        <w:tc>
          <w:tcPr>
            <w:tcW w:w="1764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1878</w:t>
            </w:r>
          </w:p>
        </w:tc>
      </w:tr>
      <w:tr w:rsidR="00396A65" w:rsidRPr="00103CC4" w:rsidTr="00103CC4">
        <w:tc>
          <w:tcPr>
            <w:tcW w:w="4390" w:type="dxa"/>
            <w:shd w:val="clear" w:color="auto" w:fill="auto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Изменение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в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%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-2,5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14,8</w:t>
            </w:r>
          </w:p>
        </w:tc>
        <w:tc>
          <w:tcPr>
            <w:tcW w:w="1764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11,7</w:t>
            </w:r>
          </w:p>
        </w:tc>
      </w:tr>
      <w:tr w:rsidR="00396A65" w:rsidRPr="00103CC4" w:rsidTr="00103CC4">
        <w:tc>
          <w:tcPr>
            <w:tcW w:w="4390" w:type="dxa"/>
            <w:shd w:val="clear" w:color="auto" w:fill="auto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Денежная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масса,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млрд.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тенге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4614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4998</w:t>
            </w:r>
          </w:p>
        </w:tc>
        <w:tc>
          <w:tcPr>
            <w:tcW w:w="1764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6173</w:t>
            </w:r>
          </w:p>
        </w:tc>
      </w:tr>
      <w:tr w:rsidR="00A42358" w:rsidRPr="00103CC4" w:rsidTr="00103CC4">
        <w:tc>
          <w:tcPr>
            <w:tcW w:w="4390" w:type="dxa"/>
            <w:shd w:val="clear" w:color="auto" w:fill="auto"/>
          </w:tcPr>
          <w:p w:rsidR="00A42358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Изменение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в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%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42358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25,5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42358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8,3</w:t>
            </w:r>
          </w:p>
        </w:tc>
        <w:tc>
          <w:tcPr>
            <w:tcW w:w="1764" w:type="dxa"/>
            <w:shd w:val="clear" w:color="auto" w:fill="auto"/>
            <w:vAlign w:val="bottom"/>
          </w:tcPr>
          <w:p w:rsidR="00A42358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23,5</w:t>
            </w:r>
          </w:p>
        </w:tc>
      </w:tr>
      <w:tr w:rsidR="00396A65" w:rsidRPr="00103CC4" w:rsidTr="00103CC4">
        <w:tc>
          <w:tcPr>
            <w:tcW w:w="4390" w:type="dxa"/>
            <w:shd w:val="clear" w:color="auto" w:fill="auto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Депозиты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резидентов,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млрд.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тенге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3874*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4167</w:t>
            </w:r>
          </w:p>
        </w:tc>
        <w:tc>
          <w:tcPr>
            <w:tcW w:w="1764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5124</w:t>
            </w:r>
          </w:p>
        </w:tc>
      </w:tr>
      <w:tr w:rsidR="00396A65" w:rsidRPr="00103CC4" w:rsidTr="00103CC4">
        <w:tc>
          <w:tcPr>
            <w:tcW w:w="4390" w:type="dxa"/>
            <w:shd w:val="clear" w:color="auto" w:fill="auto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Кредиты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банков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экономике,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млрд.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тенге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7256*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8220</w:t>
            </w:r>
          </w:p>
        </w:tc>
        <w:tc>
          <w:tcPr>
            <w:tcW w:w="1764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9848</w:t>
            </w:r>
          </w:p>
        </w:tc>
      </w:tr>
      <w:tr w:rsidR="00396A65" w:rsidRPr="00103CC4" w:rsidTr="00103CC4">
        <w:tc>
          <w:tcPr>
            <w:tcW w:w="4390" w:type="dxa"/>
            <w:shd w:val="clear" w:color="auto" w:fill="auto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Уровень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монетизации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экономики,</w:t>
            </w:r>
            <w:r w:rsidR="006141D8" w:rsidRPr="00103CC4">
              <w:rPr>
                <w:sz w:val="20"/>
                <w:szCs w:val="20"/>
              </w:rPr>
              <w:t xml:space="preserve"> </w:t>
            </w:r>
            <w:r w:rsidRPr="00103CC4">
              <w:rPr>
                <w:sz w:val="20"/>
                <w:szCs w:val="20"/>
              </w:rPr>
              <w:t>%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38,6*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31,6</w:t>
            </w:r>
          </w:p>
        </w:tc>
        <w:tc>
          <w:tcPr>
            <w:tcW w:w="1764" w:type="dxa"/>
            <w:shd w:val="clear" w:color="auto" w:fill="auto"/>
            <w:vAlign w:val="bottom"/>
          </w:tcPr>
          <w:p w:rsidR="00396A65" w:rsidRPr="00103CC4" w:rsidRDefault="00A42358" w:rsidP="00103CC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CC4">
              <w:rPr>
                <w:sz w:val="20"/>
                <w:szCs w:val="20"/>
              </w:rPr>
              <w:t>33,1</w:t>
            </w:r>
          </w:p>
        </w:tc>
      </w:tr>
    </w:tbl>
    <w:p w:rsidR="00141567" w:rsidRPr="006141D8" w:rsidRDefault="00141567" w:rsidP="006141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1567" w:rsidRPr="006141D8" w:rsidRDefault="007D14D4" w:rsidP="006141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41D8">
        <w:rPr>
          <w:bCs/>
          <w:sz w:val="28"/>
          <w:szCs w:val="28"/>
        </w:rPr>
        <w:t>Прогноз</w:t>
      </w:r>
      <w:r w:rsidR="006141D8">
        <w:rPr>
          <w:bCs/>
          <w:sz w:val="28"/>
          <w:szCs w:val="28"/>
        </w:rPr>
        <w:t xml:space="preserve"> </w:t>
      </w:r>
      <w:r w:rsidRPr="006141D8">
        <w:rPr>
          <w:bCs/>
          <w:sz w:val="28"/>
          <w:szCs w:val="28"/>
        </w:rPr>
        <w:t>основных</w:t>
      </w:r>
      <w:r w:rsidR="006141D8">
        <w:rPr>
          <w:bCs/>
          <w:sz w:val="28"/>
          <w:szCs w:val="28"/>
        </w:rPr>
        <w:t xml:space="preserve"> </w:t>
      </w:r>
      <w:r w:rsidRPr="006141D8">
        <w:rPr>
          <w:bCs/>
          <w:sz w:val="28"/>
          <w:szCs w:val="28"/>
        </w:rPr>
        <w:t>денежно-кредитных</w:t>
      </w:r>
      <w:r w:rsidR="006141D8">
        <w:rPr>
          <w:bCs/>
          <w:sz w:val="28"/>
          <w:szCs w:val="28"/>
        </w:rPr>
        <w:t xml:space="preserve"> </w:t>
      </w:r>
      <w:r w:rsidRPr="006141D8">
        <w:rPr>
          <w:bCs/>
          <w:sz w:val="28"/>
          <w:szCs w:val="28"/>
        </w:rPr>
        <w:t>показателей</w:t>
      </w:r>
      <w:r w:rsidR="006141D8">
        <w:rPr>
          <w:bCs/>
          <w:sz w:val="28"/>
          <w:szCs w:val="28"/>
        </w:rPr>
        <w:t xml:space="preserve"> </w:t>
      </w:r>
      <w:r w:rsidRPr="006141D8">
        <w:rPr>
          <w:bCs/>
          <w:sz w:val="28"/>
          <w:szCs w:val="28"/>
        </w:rPr>
        <w:t>на</w:t>
      </w:r>
      <w:r w:rsidR="006141D8">
        <w:rPr>
          <w:bCs/>
          <w:sz w:val="28"/>
          <w:szCs w:val="28"/>
        </w:rPr>
        <w:t xml:space="preserve"> </w:t>
      </w:r>
      <w:r w:rsidRPr="006141D8">
        <w:rPr>
          <w:bCs/>
          <w:sz w:val="28"/>
          <w:szCs w:val="28"/>
        </w:rPr>
        <w:t>2008</w:t>
      </w:r>
      <w:r w:rsidR="006141D8">
        <w:rPr>
          <w:bCs/>
          <w:sz w:val="28"/>
          <w:szCs w:val="28"/>
        </w:rPr>
        <w:t xml:space="preserve"> </w:t>
      </w:r>
      <w:r w:rsidRPr="006141D8">
        <w:rPr>
          <w:bCs/>
          <w:sz w:val="28"/>
          <w:szCs w:val="28"/>
        </w:rPr>
        <w:t>-</w:t>
      </w:r>
      <w:r w:rsidR="006141D8">
        <w:rPr>
          <w:bCs/>
          <w:sz w:val="28"/>
          <w:szCs w:val="28"/>
        </w:rPr>
        <w:t xml:space="preserve"> </w:t>
      </w:r>
      <w:r w:rsidRPr="006141D8">
        <w:rPr>
          <w:bCs/>
          <w:sz w:val="28"/>
          <w:szCs w:val="28"/>
        </w:rPr>
        <w:t>2010</w:t>
      </w:r>
      <w:r w:rsidR="006141D8">
        <w:rPr>
          <w:bCs/>
          <w:sz w:val="28"/>
          <w:szCs w:val="28"/>
        </w:rPr>
        <w:t xml:space="preserve"> </w:t>
      </w:r>
      <w:r w:rsidRPr="006141D8">
        <w:rPr>
          <w:bCs/>
          <w:sz w:val="28"/>
          <w:szCs w:val="28"/>
        </w:rPr>
        <w:t>годы</w:t>
      </w:r>
      <w:r w:rsidR="006141D8">
        <w:rPr>
          <w:bCs/>
          <w:sz w:val="28"/>
          <w:szCs w:val="28"/>
        </w:rPr>
        <w:t xml:space="preserve"> </w:t>
      </w:r>
      <w:r w:rsidRPr="006141D8">
        <w:rPr>
          <w:bCs/>
          <w:sz w:val="28"/>
          <w:szCs w:val="28"/>
        </w:rPr>
        <w:t>(пессимистичный</w:t>
      </w:r>
      <w:r w:rsidR="006141D8">
        <w:rPr>
          <w:bCs/>
          <w:sz w:val="28"/>
          <w:szCs w:val="28"/>
        </w:rPr>
        <w:t xml:space="preserve"> </w:t>
      </w:r>
      <w:r w:rsidRPr="006141D8">
        <w:rPr>
          <w:bCs/>
          <w:sz w:val="28"/>
          <w:szCs w:val="28"/>
        </w:rPr>
        <w:t>сценарий</w:t>
      </w:r>
      <w:r w:rsidR="00141567" w:rsidRPr="006141D8">
        <w:rPr>
          <w:bCs/>
          <w:sz w:val="28"/>
          <w:szCs w:val="28"/>
        </w:rPr>
        <w:t>)</w:t>
      </w:r>
      <w:r w:rsidR="006141D8">
        <w:rPr>
          <w:iCs/>
          <w:sz w:val="28"/>
          <w:szCs w:val="28"/>
        </w:rPr>
        <w:t xml:space="preserve"> </w:t>
      </w:r>
      <w:r w:rsidR="00141567" w:rsidRPr="006141D8">
        <w:rPr>
          <w:iCs/>
          <w:sz w:val="28"/>
          <w:szCs w:val="28"/>
        </w:rPr>
        <w:t>на</w:t>
      </w:r>
      <w:r w:rsidR="006141D8">
        <w:rPr>
          <w:iCs/>
          <w:sz w:val="28"/>
          <w:szCs w:val="28"/>
        </w:rPr>
        <w:t xml:space="preserve"> </w:t>
      </w:r>
      <w:r w:rsidR="00141567" w:rsidRPr="006141D8">
        <w:rPr>
          <w:iCs/>
          <w:sz w:val="28"/>
          <w:szCs w:val="28"/>
        </w:rPr>
        <w:t>конец</w:t>
      </w:r>
      <w:r w:rsidR="006141D8">
        <w:rPr>
          <w:iCs/>
          <w:sz w:val="28"/>
          <w:szCs w:val="28"/>
        </w:rPr>
        <w:t xml:space="preserve"> </w:t>
      </w:r>
      <w:r w:rsidR="00141567" w:rsidRPr="006141D8">
        <w:rPr>
          <w:iCs/>
          <w:sz w:val="28"/>
          <w:szCs w:val="28"/>
        </w:rPr>
        <w:t>периода</w:t>
      </w:r>
    </w:p>
    <w:tbl>
      <w:tblPr>
        <w:tblW w:w="95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1380"/>
        <w:gridCol w:w="1380"/>
        <w:gridCol w:w="1380"/>
      </w:tblGrid>
      <w:tr w:rsidR="00141567" w:rsidRPr="006141D8">
        <w:trPr>
          <w:tblCellSpacing w:w="0" w:type="dxa"/>
        </w:trPr>
        <w:tc>
          <w:tcPr>
            <w:tcW w:w="5400" w:type="dxa"/>
            <w:vAlign w:val="bottom"/>
          </w:tcPr>
          <w:p w:rsidR="00141567" w:rsidRPr="006141D8" w:rsidRDefault="00AE33B2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Показатели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2007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br/>
              <w:t>(факт)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2008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(прогноз)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2009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(прогноз)</w:t>
            </w:r>
          </w:p>
        </w:tc>
      </w:tr>
      <w:tr w:rsidR="00141567" w:rsidRPr="006141D8">
        <w:trPr>
          <w:tblCellSpacing w:w="0" w:type="dxa"/>
        </w:trPr>
        <w:tc>
          <w:tcPr>
            <w:tcW w:w="5400" w:type="dxa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Инфляция,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%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1567" w:rsidRPr="006141D8">
        <w:trPr>
          <w:tblCellSpacing w:w="0" w:type="dxa"/>
        </w:trPr>
        <w:tc>
          <w:tcPr>
            <w:tcW w:w="5400" w:type="dxa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-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на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конец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года,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%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18,8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7,9-9,9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7,5-9,5</w:t>
            </w:r>
          </w:p>
        </w:tc>
      </w:tr>
      <w:tr w:rsidR="00141567" w:rsidRPr="006141D8">
        <w:trPr>
          <w:tblCellSpacing w:w="0" w:type="dxa"/>
        </w:trPr>
        <w:tc>
          <w:tcPr>
            <w:tcW w:w="5400" w:type="dxa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-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в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среднем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за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год,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%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10,8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16,0-18,0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8,5-10,5</w:t>
            </w:r>
          </w:p>
        </w:tc>
      </w:tr>
      <w:tr w:rsidR="00141567" w:rsidRPr="006141D8">
        <w:trPr>
          <w:tblCellSpacing w:w="0" w:type="dxa"/>
        </w:trPr>
        <w:tc>
          <w:tcPr>
            <w:tcW w:w="5400" w:type="dxa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Официальная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ставка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рефинансирования,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%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11,0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8,0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6,0</w:t>
            </w:r>
          </w:p>
        </w:tc>
      </w:tr>
      <w:tr w:rsidR="00141567" w:rsidRPr="006141D8">
        <w:trPr>
          <w:tblCellSpacing w:w="0" w:type="dxa"/>
        </w:trPr>
        <w:tc>
          <w:tcPr>
            <w:tcW w:w="5400" w:type="dxa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Денежная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база,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млрд.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тенге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1464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1410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1402</w:t>
            </w:r>
          </w:p>
        </w:tc>
      </w:tr>
      <w:tr w:rsidR="00141567" w:rsidRPr="006141D8">
        <w:trPr>
          <w:tblCellSpacing w:w="0" w:type="dxa"/>
        </w:trPr>
        <w:tc>
          <w:tcPr>
            <w:tcW w:w="5400" w:type="dxa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изменение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в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%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-2,5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-3,7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-0,6</w:t>
            </w:r>
          </w:p>
        </w:tc>
      </w:tr>
      <w:tr w:rsidR="00141567" w:rsidRPr="006141D8">
        <w:trPr>
          <w:tblCellSpacing w:w="0" w:type="dxa"/>
        </w:trPr>
        <w:tc>
          <w:tcPr>
            <w:tcW w:w="5400" w:type="dxa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Денежная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масса,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млрд.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тенге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4614*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4088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4088</w:t>
            </w:r>
          </w:p>
        </w:tc>
      </w:tr>
      <w:tr w:rsidR="00141567" w:rsidRPr="006141D8">
        <w:trPr>
          <w:tblCellSpacing w:w="0" w:type="dxa"/>
        </w:trPr>
        <w:tc>
          <w:tcPr>
            <w:tcW w:w="5400" w:type="dxa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изменение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в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%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25,5*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-11,4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0,0</w:t>
            </w:r>
          </w:p>
        </w:tc>
      </w:tr>
      <w:tr w:rsidR="00141567" w:rsidRPr="006141D8">
        <w:trPr>
          <w:tblCellSpacing w:w="0" w:type="dxa"/>
        </w:trPr>
        <w:tc>
          <w:tcPr>
            <w:tcW w:w="5400" w:type="dxa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Депозиты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резидентов,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млрд.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тенге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3874*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3384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3438</w:t>
            </w:r>
          </w:p>
        </w:tc>
      </w:tr>
      <w:tr w:rsidR="00141567" w:rsidRPr="006141D8">
        <w:trPr>
          <w:tblCellSpacing w:w="0" w:type="dxa"/>
        </w:trPr>
        <w:tc>
          <w:tcPr>
            <w:tcW w:w="5400" w:type="dxa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Кредиты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банков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экономике,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млрд.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тенге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7256*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6570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6656</w:t>
            </w:r>
          </w:p>
        </w:tc>
      </w:tr>
      <w:tr w:rsidR="00141567" w:rsidRPr="006141D8">
        <w:trPr>
          <w:tblCellSpacing w:w="0" w:type="dxa"/>
        </w:trPr>
        <w:tc>
          <w:tcPr>
            <w:tcW w:w="5400" w:type="dxa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Уровень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монетизации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экономики,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%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38,6</w:t>
            </w:r>
            <w:r w:rsidR="006141D8" w:rsidRPr="006141D8">
              <w:rPr>
                <w:sz w:val="20"/>
                <w:szCs w:val="20"/>
              </w:rPr>
              <w:t xml:space="preserve"> </w:t>
            </w:r>
            <w:r w:rsidRPr="006141D8">
              <w:rPr>
                <w:sz w:val="20"/>
                <w:szCs w:val="20"/>
              </w:rPr>
              <w:t>*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28,0</w:t>
            </w:r>
          </w:p>
        </w:tc>
        <w:tc>
          <w:tcPr>
            <w:tcW w:w="1380" w:type="dxa"/>
            <w:vAlign w:val="bottom"/>
          </w:tcPr>
          <w:p w:rsidR="00141567" w:rsidRPr="006141D8" w:rsidRDefault="00141567" w:rsidP="006141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1D8">
              <w:rPr>
                <w:sz w:val="20"/>
                <w:szCs w:val="20"/>
              </w:rPr>
              <w:t>25,6</w:t>
            </w:r>
          </w:p>
        </w:tc>
      </w:tr>
    </w:tbl>
    <w:p w:rsidR="006141D8" w:rsidRDefault="006141D8" w:rsidP="006141D8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141567" w:rsidRPr="006141D8" w:rsidRDefault="00141567" w:rsidP="006141D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предварительным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данным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2007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</w:t>
      </w:r>
    </w:p>
    <w:p w:rsidR="00445065" w:rsidRPr="006141D8" w:rsidRDefault="006141D8" w:rsidP="006141D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45065" w:rsidRPr="006141D8">
        <w:rPr>
          <w:b/>
          <w:sz w:val="28"/>
          <w:szCs w:val="28"/>
        </w:rPr>
        <w:t>Заключение</w:t>
      </w:r>
    </w:p>
    <w:p w:rsidR="00AE33B2" w:rsidRPr="006141D8" w:rsidRDefault="00AE33B2" w:rsidP="006141D8">
      <w:pPr>
        <w:spacing w:line="360" w:lineRule="auto"/>
        <w:ind w:firstLine="709"/>
        <w:jc w:val="both"/>
        <w:rPr>
          <w:sz w:val="28"/>
          <w:szCs w:val="28"/>
        </w:rPr>
      </w:pP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Денежно-кредитная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проводником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</w:t>
      </w:r>
      <w:r w:rsidR="00D740CE" w:rsidRPr="006141D8">
        <w:rPr>
          <w:sz w:val="28"/>
          <w:szCs w:val="28"/>
        </w:rPr>
        <w:t>оторой,</w:t>
      </w:r>
      <w:r w:rsidR="006141D8">
        <w:rPr>
          <w:sz w:val="28"/>
          <w:szCs w:val="28"/>
        </w:rPr>
        <w:t xml:space="preserve"> </w:t>
      </w:r>
      <w:r w:rsidR="00D740CE" w:rsidRPr="006141D8">
        <w:rPr>
          <w:sz w:val="28"/>
          <w:szCs w:val="28"/>
        </w:rPr>
        <w:t>как</w:t>
      </w:r>
      <w:r w:rsidR="006141D8">
        <w:rPr>
          <w:sz w:val="28"/>
          <w:szCs w:val="28"/>
        </w:rPr>
        <w:t xml:space="preserve"> </w:t>
      </w:r>
      <w:r w:rsidR="00D740CE" w:rsidRPr="006141D8">
        <w:rPr>
          <w:sz w:val="28"/>
          <w:szCs w:val="28"/>
        </w:rPr>
        <w:t>правило,</w:t>
      </w:r>
      <w:r w:rsidR="006141D8">
        <w:rPr>
          <w:sz w:val="28"/>
          <w:szCs w:val="28"/>
        </w:rPr>
        <w:t xml:space="preserve"> </w:t>
      </w:r>
      <w:r w:rsidR="00D740CE" w:rsidRPr="006141D8">
        <w:rPr>
          <w:sz w:val="28"/>
          <w:szCs w:val="28"/>
        </w:rPr>
        <w:t>является</w:t>
      </w:r>
      <w:r w:rsidR="006141D8">
        <w:rPr>
          <w:sz w:val="28"/>
          <w:szCs w:val="28"/>
        </w:rPr>
        <w:t xml:space="preserve"> </w:t>
      </w:r>
      <w:r w:rsidR="00D740CE" w:rsidRPr="006141D8">
        <w:rPr>
          <w:sz w:val="28"/>
          <w:szCs w:val="28"/>
        </w:rPr>
        <w:t>Центральный</w:t>
      </w:r>
      <w:r w:rsidR="006141D8">
        <w:rPr>
          <w:sz w:val="28"/>
          <w:szCs w:val="28"/>
        </w:rPr>
        <w:t xml:space="preserve"> </w:t>
      </w:r>
      <w:r w:rsidR="00D740CE"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="00D740CE" w:rsidRPr="006141D8">
        <w:rPr>
          <w:sz w:val="28"/>
          <w:szCs w:val="28"/>
        </w:rPr>
        <w:t>(ЦБ)</w:t>
      </w:r>
      <w:r w:rsidRPr="006141D8">
        <w:rPr>
          <w:sz w:val="28"/>
          <w:szCs w:val="28"/>
        </w:rPr>
        <w:t>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направлена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главным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образом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воздействие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курс,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процентные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общий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объем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системы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следовательно,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Достижение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задач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преследует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цель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стабильности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экономического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низкой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безработицы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ЦБ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обычно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уставу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отвечает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стабильность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обращения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курса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целях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координирует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свою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другими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государственными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органами.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Чаще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всего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представляет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собой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один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элементов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всей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экономической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прямо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определяется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приоритетами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правительства.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Взаимоотношения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ЦБ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правительства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проведении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обычно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четко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определены.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Правительство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ограничено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своих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действиях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обычно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вмешивается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повседневную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деятельность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согласовывая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лишь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общую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макроэкономическую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политику.</w:t>
      </w:r>
      <w:r w:rsidR="006141D8">
        <w:rPr>
          <w:sz w:val="28"/>
          <w:szCs w:val="28"/>
        </w:rPr>
        <w:t xml:space="preserve"> 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Различают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“узкую”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“широкую”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политику.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Под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узкой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имеют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виду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достижение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оптимального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курса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помощью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инвестиций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учетной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других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инструментов,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влияющих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процентные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ставки.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Широкая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направлена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борьбу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инфляцией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через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воздействие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массу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обращении.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помощью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прямых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косвенных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методов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кредитного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контроля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регулируется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системы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долгосрочные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процентные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ставки.</w:t>
      </w:r>
      <w:r w:rsidR="006141D8">
        <w:rPr>
          <w:sz w:val="28"/>
          <w:szCs w:val="28"/>
        </w:rPr>
        <w:t xml:space="preserve"> 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Денежно-кредитная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должна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четко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увязана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бюджетом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налоговой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соответственно,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финансированием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госбюджета.</w:t>
      </w:r>
      <w:r w:rsidR="006141D8">
        <w:rPr>
          <w:sz w:val="28"/>
          <w:szCs w:val="28"/>
        </w:rPr>
        <w:t xml:space="preserve"> 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Центральный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-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прежде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всего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посредник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между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государством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остальной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экономикой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через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качестве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учреждения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призван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регулировать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кредитные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потоки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помощью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инструментов,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которые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закреплены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ним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законодательном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порядке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традиции.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Инструментарий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развитых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капиталистических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государств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необычайно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широк.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Инструменты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имеют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следующую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классификацию: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кратко-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долгосрочные,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прямые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косвенные,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общие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селективные,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рыночные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нерыночные.</w:t>
      </w:r>
      <w:r w:rsidR="006141D8">
        <w:rPr>
          <w:sz w:val="28"/>
          <w:szCs w:val="28"/>
        </w:rPr>
        <w:t xml:space="preserve"> </w:t>
      </w:r>
    </w:p>
    <w:p w:rsid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Краткая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характеристика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инструментов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политики: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Официальная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учетная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-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относительно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редко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изменяемая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ЦБ,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которой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учитывать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векселя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предоставлять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кредиты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другим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качестве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кредитора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последней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инстанции.</w:t>
      </w:r>
      <w:r w:rsidR="006141D8">
        <w:rPr>
          <w:sz w:val="28"/>
          <w:szCs w:val="28"/>
        </w:rPr>
        <w:t xml:space="preserve"> 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Обязательные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резервы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-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часть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ресурсов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внесенных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требованию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властей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беспроцентный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счет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ЦБ.</w:t>
      </w:r>
      <w:r w:rsidR="006141D8">
        <w:rPr>
          <w:sz w:val="28"/>
          <w:szCs w:val="28"/>
        </w:rPr>
        <w:t xml:space="preserve"> 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Операции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открытом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-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ЦБ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купле-продаже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коммерческих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казначейских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векселей,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государственных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облигаций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прочих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бумаг,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также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краткосрочные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ценными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бумагами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совершением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позднее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сделки.</w:t>
      </w:r>
      <w:r w:rsidR="006141D8">
        <w:rPr>
          <w:sz w:val="28"/>
          <w:szCs w:val="28"/>
        </w:rPr>
        <w:t xml:space="preserve"> 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Моральное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воздействие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-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рекомендации,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заявления,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собеседования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традиционно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играют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важную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роль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многих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развитых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стран.</w:t>
      </w:r>
      <w:r w:rsidR="006141D8">
        <w:rPr>
          <w:sz w:val="28"/>
          <w:szCs w:val="28"/>
        </w:rPr>
        <w:t xml:space="preserve"> 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Разумный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надзор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-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различные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методы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контроля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функционированием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точки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зрения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обеспечения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безопасности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основе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сбора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информации,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требования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соблюдения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определенных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балансовых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коэффициентов.</w:t>
      </w:r>
      <w:r w:rsidR="006141D8">
        <w:rPr>
          <w:sz w:val="28"/>
          <w:szCs w:val="28"/>
        </w:rPr>
        <w:t xml:space="preserve"> 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Контроль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капиталов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-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порядок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выпуска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акций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облигаций,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включая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стандартные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правила-требования,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очередность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эмиссии,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официальный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предел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внешних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заимствований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относительно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самофинансирования,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квоты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выпуска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облигаций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др.</w:t>
      </w:r>
      <w:r w:rsidR="006141D8">
        <w:rPr>
          <w:sz w:val="28"/>
          <w:szCs w:val="28"/>
        </w:rPr>
        <w:t xml:space="preserve"> 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Допуск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рынкам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-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регулирование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открытия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разрешение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иностранным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банковским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учреждениям.</w:t>
      </w:r>
      <w:r w:rsidR="006141D8">
        <w:rPr>
          <w:sz w:val="28"/>
          <w:szCs w:val="28"/>
        </w:rPr>
        <w:t xml:space="preserve"> 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Специальные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депозиты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-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часть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прироста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депозитов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кредитов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коммерческих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изъятая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беспроцентные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счета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ЦБ.</w:t>
      </w:r>
      <w:r w:rsidR="006141D8">
        <w:rPr>
          <w:sz w:val="28"/>
          <w:szCs w:val="28"/>
        </w:rPr>
        <w:t xml:space="preserve"> 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Количественные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ограничения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-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потолки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ставок,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прямое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ограничение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кредитования,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периодическое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“замораживание”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процентных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ставок.</w:t>
      </w:r>
      <w:r w:rsidR="006141D8">
        <w:rPr>
          <w:sz w:val="28"/>
          <w:szCs w:val="28"/>
        </w:rPr>
        <w:t xml:space="preserve"> 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Валютные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интервенции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-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купля-продажа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валюты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воздействия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курс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следовательно,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спрос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предложение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единицы.</w:t>
      </w:r>
      <w:r w:rsidR="006141D8">
        <w:rPr>
          <w:sz w:val="28"/>
          <w:szCs w:val="28"/>
        </w:rPr>
        <w:t xml:space="preserve"> 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Управление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госдолгом.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Эмиссия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гособлигаций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нейтрализует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ликвидность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связывает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средства,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поэтому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масштабы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госдолга,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техника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его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эмиссии,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форма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размещения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имеют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большое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значение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контроля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денежным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обращением.</w:t>
      </w:r>
      <w:r w:rsidR="006141D8">
        <w:rPr>
          <w:sz w:val="28"/>
          <w:szCs w:val="28"/>
        </w:rPr>
        <w:t xml:space="preserve"> 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Таргетирование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-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установление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целевых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ориентиров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роста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одного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или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нескольких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показателей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массы.</w:t>
      </w:r>
      <w:r w:rsidR="006141D8">
        <w:rPr>
          <w:sz w:val="28"/>
          <w:szCs w:val="28"/>
        </w:rPr>
        <w:t xml:space="preserve"> 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Регулирование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фондовых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фьючерских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операций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путем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установления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обязательной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маржи.</w:t>
      </w:r>
      <w:r w:rsidR="006141D8">
        <w:rPr>
          <w:sz w:val="28"/>
          <w:szCs w:val="28"/>
        </w:rPr>
        <w:t xml:space="preserve"> </w:t>
      </w:r>
    </w:p>
    <w:p w:rsidR="00445065" w:rsidRPr="006141D8" w:rsidRDefault="00445065" w:rsidP="006141D8">
      <w:pPr>
        <w:spacing w:line="360" w:lineRule="auto"/>
        <w:ind w:firstLine="709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Нормы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обязательного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инвестирования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государственные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ценные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бумаги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для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инвестиционных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институтов.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инструменты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денежно-кредитной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могут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быть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эффе</w:t>
      </w:r>
      <w:r w:rsidR="00D740CE" w:rsidRPr="006141D8">
        <w:rPr>
          <w:sz w:val="28"/>
          <w:szCs w:val="28"/>
        </w:rPr>
        <w:t>ктивными</w:t>
      </w:r>
      <w:r w:rsidR="006141D8">
        <w:rPr>
          <w:sz w:val="28"/>
          <w:szCs w:val="28"/>
        </w:rPr>
        <w:t xml:space="preserve"> </w:t>
      </w:r>
      <w:r w:rsidR="00D740CE" w:rsidRPr="006141D8">
        <w:rPr>
          <w:sz w:val="28"/>
          <w:szCs w:val="28"/>
        </w:rPr>
        <w:t>только</w:t>
      </w:r>
      <w:r w:rsidR="006141D8">
        <w:rPr>
          <w:sz w:val="28"/>
          <w:szCs w:val="28"/>
        </w:rPr>
        <w:t xml:space="preserve"> </w:t>
      </w:r>
      <w:r w:rsidR="00D740CE"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="00D740CE" w:rsidRPr="006141D8">
        <w:rPr>
          <w:sz w:val="28"/>
          <w:szCs w:val="28"/>
        </w:rPr>
        <w:t>условиях</w:t>
      </w:r>
      <w:r w:rsidR="006141D8">
        <w:rPr>
          <w:sz w:val="28"/>
          <w:szCs w:val="28"/>
        </w:rPr>
        <w:t xml:space="preserve"> </w:t>
      </w:r>
      <w:r w:rsidR="00D740CE" w:rsidRPr="006141D8">
        <w:rPr>
          <w:sz w:val="28"/>
          <w:szCs w:val="28"/>
        </w:rPr>
        <w:t>тесно</w:t>
      </w:r>
      <w:r w:rsidRPr="006141D8">
        <w:rPr>
          <w:sz w:val="28"/>
          <w:szCs w:val="28"/>
        </w:rPr>
        <w:t>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увязки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фискальной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политикой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законодательством.</w:t>
      </w:r>
    </w:p>
    <w:p w:rsidR="00AE33B2" w:rsidRPr="006141D8" w:rsidRDefault="006141D8" w:rsidP="006141D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E33B2" w:rsidRPr="006141D8">
        <w:rPr>
          <w:b/>
          <w:sz w:val="28"/>
          <w:szCs w:val="28"/>
        </w:rPr>
        <w:t>Список</w:t>
      </w:r>
      <w:r w:rsidRPr="006141D8">
        <w:rPr>
          <w:b/>
          <w:sz w:val="28"/>
          <w:szCs w:val="28"/>
        </w:rPr>
        <w:t xml:space="preserve"> </w:t>
      </w:r>
      <w:r w:rsidR="00AE33B2" w:rsidRPr="006141D8">
        <w:rPr>
          <w:b/>
          <w:sz w:val="28"/>
          <w:szCs w:val="28"/>
        </w:rPr>
        <w:t>использованных</w:t>
      </w:r>
      <w:r w:rsidRPr="006141D8">
        <w:rPr>
          <w:b/>
          <w:sz w:val="28"/>
          <w:szCs w:val="28"/>
        </w:rPr>
        <w:t xml:space="preserve"> </w:t>
      </w:r>
      <w:r w:rsidR="00AE33B2" w:rsidRPr="006141D8">
        <w:rPr>
          <w:b/>
          <w:sz w:val="28"/>
          <w:szCs w:val="28"/>
        </w:rPr>
        <w:t>источников</w:t>
      </w:r>
    </w:p>
    <w:p w:rsidR="00AE33B2" w:rsidRPr="006141D8" w:rsidRDefault="00AE33B2" w:rsidP="006141D8">
      <w:pPr>
        <w:spacing w:line="360" w:lineRule="auto"/>
        <w:ind w:firstLine="709"/>
        <w:jc w:val="both"/>
        <w:rPr>
          <w:sz w:val="28"/>
          <w:szCs w:val="28"/>
        </w:rPr>
      </w:pPr>
    </w:p>
    <w:p w:rsidR="00C6056A" w:rsidRPr="006141D8" w:rsidRDefault="00C6056A" w:rsidP="006141D8">
      <w:pPr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Национальном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Банке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Казахстан: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Закон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30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марта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1995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№2185/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Правовая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система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«Зан»</w:t>
      </w:r>
      <w:r w:rsidRPr="006141D8">
        <w:rPr>
          <w:sz w:val="28"/>
          <w:szCs w:val="28"/>
        </w:rPr>
        <w:sym w:font="Symbol" w:char="F02F"/>
      </w:r>
      <w:r w:rsidRPr="006141D8">
        <w:rPr>
          <w:sz w:val="28"/>
          <w:szCs w:val="28"/>
        </w:rPr>
        <w:t>Медиатека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ПГУ</w:t>
      </w:r>
    </w:p>
    <w:p w:rsidR="00C6056A" w:rsidRPr="006141D8" w:rsidRDefault="00C6056A" w:rsidP="006141D8">
      <w:pPr>
        <w:pStyle w:val="2"/>
        <w:numPr>
          <w:ilvl w:val="0"/>
          <w:numId w:val="2"/>
        </w:numPr>
        <w:spacing w:after="0" w:line="360" w:lineRule="auto"/>
        <w:ind w:firstLine="0"/>
        <w:jc w:val="both"/>
        <w:rPr>
          <w:sz w:val="28"/>
          <w:szCs w:val="28"/>
          <w:lang w:val="ru-MD"/>
        </w:rPr>
      </w:pPr>
      <w:r w:rsidRPr="006141D8">
        <w:rPr>
          <w:sz w:val="28"/>
          <w:szCs w:val="28"/>
          <w:lang w:val="ru-MD"/>
        </w:rPr>
        <w:t>Баймуратов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У.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Финансы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Казахстана</w:t>
      </w:r>
      <w:r w:rsidRPr="006141D8">
        <w:rPr>
          <w:sz w:val="28"/>
          <w:szCs w:val="28"/>
        </w:rPr>
        <w:t>//Том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Избран.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научн.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труды.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Алматы: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БИС,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2005.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320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с.</w:t>
      </w:r>
      <w:r w:rsidR="006141D8">
        <w:rPr>
          <w:sz w:val="28"/>
          <w:szCs w:val="28"/>
        </w:rPr>
        <w:t xml:space="preserve"> </w:t>
      </w:r>
    </w:p>
    <w:p w:rsidR="00C6056A" w:rsidRPr="006141D8" w:rsidRDefault="00C6056A" w:rsidP="006141D8">
      <w:pPr>
        <w:pStyle w:val="2"/>
        <w:numPr>
          <w:ilvl w:val="0"/>
          <w:numId w:val="2"/>
        </w:numPr>
        <w:spacing w:after="0" w:line="360" w:lineRule="auto"/>
        <w:ind w:firstLine="0"/>
        <w:jc w:val="both"/>
        <w:rPr>
          <w:sz w:val="28"/>
          <w:szCs w:val="28"/>
          <w:lang w:val="ru-MD"/>
        </w:rPr>
      </w:pPr>
      <w:r w:rsidRPr="006141D8">
        <w:rPr>
          <w:sz w:val="28"/>
          <w:szCs w:val="28"/>
          <w:lang w:val="ru-MD"/>
        </w:rPr>
        <w:t>Сахариев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С.С.,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Сахариева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А.С.,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Сахариева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А.С.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Финансы: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Учебник.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–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Алматы: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Юридическая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литература,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2004.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–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450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с.</w:t>
      </w:r>
      <w:r w:rsidR="006141D8">
        <w:rPr>
          <w:sz w:val="28"/>
          <w:szCs w:val="28"/>
          <w:lang w:val="ru-MD"/>
        </w:rPr>
        <w:t xml:space="preserve"> </w:t>
      </w:r>
    </w:p>
    <w:p w:rsidR="00C6056A" w:rsidRPr="006141D8" w:rsidRDefault="00C6056A" w:rsidP="006141D8">
      <w:pPr>
        <w:pStyle w:val="2"/>
        <w:numPr>
          <w:ilvl w:val="0"/>
          <w:numId w:val="2"/>
        </w:numPr>
        <w:spacing w:after="0" w:line="360" w:lineRule="auto"/>
        <w:ind w:firstLine="0"/>
        <w:jc w:val="both"/>
        <w:rPr>
          <w:sz w:val="28"/>
          <w:szCs w:val="28"/>
          <w:lang w:val="ru-MD"/>
        </w:rPr>
      </w:pPr>
      <w:r w:rsidRPr="006141D8">
        <w:rPr>
          <w:sz w:val="28"/>
          <w:szCs w:val="28"/>
          <w:lang w:val="ru-MD"/>
        </w:rPr>
        <w:t>Мельников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В.Д.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Основы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финансов: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Учебник.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–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Алматы: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ТОО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ru-MD"/>
        </w:rPr>
        <w:t>«Издательство</w:t>
      </w:r>
      <w:r w:rsidR="006141D8">
        <w:rPr>
          <w:sz w:val="28"/>
          <w:szCs w:val="28"/>
          <w:lang w:val="ru-MD"/>
        </w:rPr>
        <w:t xml:space="preserve"> </w:t>
      </w:r>
      <w:r w:rsidRPr="006141D8">
        <w:rPr>
          <w:sz w:val="28"/>
          <w:szCs w:val="28"/>
          <w:lang w:val="en-US"/>
        </w:rPr>
        <w:t>LEM</w:t>
      </w:r>
      <w:r w:rsidRPr="006141D8">
        <w:rPr>
          <w:sz w:val="28"/>
          <w:szCs w:val="28"/>
        </w:rPr>
        <w:t>»,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2005.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–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560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с.</w:t>
      </w:r>
      <w:r w:rsidR="006141D8">
        <w:rPr>
          <w:sz w:val="28"/>
          <w:szCs w:val="28"/>
        </w:rPr>
        <w:t xml:space="preserve"> </w:t>
      </w:r>
    </w:p>
    <w:p w:rsidR="00C6056A" w:rsidRPr="006141D8" w:rsidRDefault="00C6056A" w:rsidP="006141D8">
      <w:pPr>
        <w:numPr>
          <w:ilvl w:val="0"/>
          <w:numId w:val="2"/>
        </w:numPr>
        <w:spacing w:line="360" w:lineRule="auto"/>
        <w:ind w:firstLine="0"/>
        <w:jc w:val="both"/>
        <w:rPr>
          <w:sz w:val="28"/>
          <w:szCs w:val="28"/>
        </w:rPr>
      </w:pPr>
      <w:r w:rsidRPr="006141D8">
        <w:rPr>
          <w:sz w:val="28"/>
          <w:szCs w:val="28"/>
        </w:rPr>
        <w:t>О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банках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банковской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деятельности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в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Республики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Казахстан: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Закон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РК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от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31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августа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1995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года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№2444/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Правовая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система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«Зан»</w:t>
      </w:r>
      <w:r w:rsidRPr="006141D8">
        <w:rPr>
          <w:sz w:val="28"/>
          <w:szCs w:val="28"/>
        </w:rPr>
        <w:sym w:font="Symbol" w:char="F02F"/>
      </w:r>
      <w:r w:rsidRPr="006141D8">
        <w:rPr>
          <w:sz w:val="28"/>
          <w:szCs w:val="28"/>
        </w:rPr>
        <w:t>Медиатека</w:t>
      </w:r>
      <w:r w:rsidR="006141D8">
        <w:rPr>
          <w:sz w:val="28"/>
          <w:szCs w:val="28"/>
        </w:rPr>
        <w:t xml:space="preserve"> </w:t>
      </w:r>
      <w:r w:rsidRPr="006141D8">
        <w:rPr>
          <w:sz w:val="28"/>
          <w:szCs w:val="28"/>
        </w:rPr>
        <w:t>ПГУ</w:t>
      </w:r>
    </w:p>
    <w:p w:rsidR="00C6056A" w:rsidRPr="006141D8" w:rsidRDefault="00C6056A" w:rsidP="006141D8">
      <w:pPr>
        <w:pStyle w:val="2"/>
        <w:numPr>
          <w:ilvl w:val="0"/>
          <w:numId w:val="2"/>
        </w:numPr>
        <w:spacing w:after="0" w:line="360" w:lineRule="auto"/>
        <w:ind w:firstLine="0"/>
        <w:jc w:val="both"/>
        <w:rPr>
          <w:sz w:val="28"/>
          <w:szCs w:val="28"/>
          <w:lang w:val="ru-MD"/>
        </w:rPr>
      </w:pPr>
      <w:r w:rsidRPr="00612717">
        <w:rPr>
          <w:sz w:val="28"/>
          <w:szCs w:val="28"/>
          <w:lang w:val="en-US"/>
        </w:rPr>
        <w:t>www</w:t>
      </w:r>
      <w:r w:rsidRPr="00612717">
        <w:rPr>
          <w:sz w:val="28"/>
          <w:szCs w:val="28"/>
        </w:rPr>
        <w:t>.</w:t>
      </w:r>
      <w:r w:rsidRPr="00612717">
        <w:rPr>
          <w:sz w:val="28"/>
          <w:szCs w:val="28"/>
          <w:lang w:val="en-US"/>
        </w:rPr>
        <w:t>nationalbank</w:t>
      </w:r>
      <w:r w:rsidRPr="00612717">
        <w:rPr>
          <w:sz w:val="28"/>
          <w:szCs w:val="28"/>
        </w:rPr>
        <w:t>.</w:t>
      </w:r>
      <w:r w:rsidRPr="00612717">
        <w:rPr>
          <w:sz w:val="28"/>
          <w:szCs w:val="28"/>
          <w:lang w:val="en-US"/>
        </w:rPr>
        <w:t>kz</w:t>
      </w:r>
      <w:r w:rsidRPr="00612717">
        <w:rPr>
          <w:sz w:val="28"/>
          <w:szCs w:val="28"/>
        </w:rPr>
        <w:t>/</w:t>
      </w:r>
      <w:r w:rsidR="006141D8">
        <w:rPr>
          <w:sz w:val="28"/>
          <w:szCs w:val="28"/>
        </w:rPr>
        <w:t xml:space="preserve"> </w:t>
      </w:r>
    </w:p>
    <w:p w:rsidR="006141D8" w:rsidRPr="006141D8" w:rsidRDefault="00C6056A" w:rsidP="006141D8">
      <w:pPr>
        <w:pStyle w:val="2"/>
        <w:numPr>
          <w:ilvl w:val="0"/>
          <w:numId w:val="2"/>
        </w:numPr>
        <w:spacing w:after="0" w:line="360" w:lineRule="auto"/>
        <w:ind w:firstLine="0"/>
        <w:jc w:val="both"/>
        <w:rPr>
          <w:sz w:val="28"/>
          <w:szCs w:val="28"/>
        </w:rPr>
      </w:pPr>
      <w:r w:rsidRPr="00612717">
        <w:rPr>
          <w:sz w:val="28"/>
          <w:szCs w:val="28"/>
          <w:lang w:val="en-US"/>
        </w:rPr>
        <w:t>www.afn.kz/</w:t>
      </w:r>
      <w:bookmarkStart w:id="0" w:name="_GoBack"/>
      <w:bookmarkEnd w:id="0"/>
    </w:p>
    <w:sectPr w:rsidR="006141D8" w:rsidRPr="006141D8" w:rsidSect="006141D8">
      <w:footerReference w:type="even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C4" w:rsidRDefault="00103CC4">
      <w:r>
        <w:separator/>
      </w:r>
    </w:p>
  </w:endnote>
  <w:endnote w:type="continuationSeparator" w:id="0">
    <w:p w:rsidR="00103CC4" w:rsidRDefault="0010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D8" w:rsidRDefault="006141D8" w:rsidP="006C3536">
    <w:pPr>
      <w:pStyle w:val="a6"/>
      <w:framePr w:wrap="around" w:vAnchor="text" w:hAnchor="margin" w:xAlign="center" w:y="1"/>
      <w:rPr>
        <w:rStyle w:val="a8"/>
      </w:rPr>
    </w:pPr>
  </w:p>
  <w:p w:rsidR="006141D8" w:rsidRDefault="006141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C4" w:rsidRDefault="00103CC4">
      <w:r>
        <w:separator/>
      </w:r>
    </w:p>
  </w:footnote>
  <w:footnote w:type="continuationSeparator" w:id="0">
    <w:p w:rsidR="00103CC4" w:rsidRDefault="00103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102F9"/>
    <w:multiLevelType w:val="hybridMultilevel"/>
    <w:tmpl w:val="0534ED7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660F11"/>
    <w:multiLevelType w:val="hybridMultilevel"/>
    <w:tmpl w:val="458C9E9C"/>
    <w:lvl w:ilvl="0" w:tplc="C8B428C4">
      <w:start w:val="1"/>
      <w:numFmt w:val="decimal"/>
      <w:lvlText w:val="%1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567"/>
    <w:rsid w:val="0004137C"/>
    <w:rsid w:val="00103CC4"/>
    <w:rsid w:val="00141567"/>
    <w:rsid w:val="00396A65"/>
    <w:rsid w:val="003E2E8D"/>
    <w:rsid w:val="00445065"/>
    <w:rsid w:val="004927B6"/>
    <w:rsid w:val="004B3E2F"/>
    <w:rsid w:val="004C38EE"/>
    <w:rsid w:val="00540068"/>
    <w:rsid w:val="005B0197"/>
    <w:rsid w:val="00612717"/>
    <w:rsid w:val="006141D8"/>
    <w:rsid w:val="006C3536"/>
    <w:rsid w:val="007D14D4"/>
    <w:rsid w:val="00951987"/>
    <w:rsid w:val="009609F5"/>
    <w:rsid w:val="009E074B"/>
    <w:rsid w:val="00A2029C"/>
    <w:rsid w:val="00A33C86"/>
    <w:rsid w:val="00A42358"/>
    <w:rsid w:val="00A65D31"/>
    <w:rsid w:val="00AB61DE"/>
    <w:rsid w:val="00AE33B2"/>
    <w:rsid w:val="00C6056A"/>
    <w:rsid w:val="00C953CB"/>
    <w:rsid w:val="00CE5A22"/>
    <w:rsid w:val="00CE5BBB"/>
    <w:rsid w:val="00D037D4"/>
    <w:rsid w:val="00D740CE"/>
    <w:rsid w:val="00DD5F34"/>
    <w:rsid w:val="00E3332F"/>
    <w:rsid w:val="00E46E18"/>
    <w:rsid w:val="00F62346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A7A8DB-532F-4F06-B68B-60438E88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1567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396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6056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character" w:styleId="a5">
    <w:name w:val="Hyperlink"/>
    <w:uiPriority w:val="99"/>
    <w:rsid w:val="00C6056A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DD5F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DD5F34"/>
    <w:rPr>
      <w:rFonts w:cs="Times New Roman"/>
    </w:rPr>
  </w:style>
  <w:style w:type="paragraph" w:styleId="a9">
    <w:name w:val="header"/>
    <w:basedOn w:val="a"/>
    <w:link w:val="aa"/>
    <w:uiPriority w:val="99"/>
    <w:rsid w:val="006141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141D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6299</Words>
  <Characters>35910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Правительства РК, НБК и АФН об основных направлениях экономической политики на 2009 год</vt:lpstr>
    </vt:vector>
  </TitlesOfParts>
  <Company/>
  <LinksUpToDate>false</LinksUpToDate>
  <CharactersWithSpaces>42125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Правительства РК, НБК и АФН об основных направлениях экономической политики на 2009 год</dc:title>
  <dc:subject/>
  <dc:creator>Серега</dc:creator>
  <cp:keywords/>
  <dc:description/>
  <cp:lastModifiedBy>admin</cp:lastModifiedBy>
  <cp:revision>2</cp:revision>
  <dcterms:created xsi:type="dcterms:W3CDTF">2014-03-13T22:05:00Z</dcterms:created>
  <dcterms:modified xsi:type="dcterms:W3CDTF">2014-03-13T22:05:00Z</dcterms:modified>
</cp:coreProperties>
</file>