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B8" w:rsidRDefault="000E03B8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</w:p>
    <w:p w:rsidR="00ED4B9E" w:rsidRPr="008415C3" w:rsidRDefault="008415C3" w:rsidP="008415C3">
      <w:pPr>
        <w:pStyle w:val="Style4"/>
        <w:widowControl/>
        <w:spacing w:line="360" w:lineRule="auto"/>
        <w:rPr>
          <w:rStyle w:val="FontStyle35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Экологическая безопасность человека, биосферы и промышленных</w:t>
      </w:r>
      <w:r>
        <w:rPr>
          <w:rStyle w:val="FontStyle35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объектов в условиях техногенных чрезвычайных ситуаций и аварий</w:t>
      </w:r>
    </w:p>
    <w:p w:rsidR="00ED4B9E" w:rsidRDefault="00ED4B9E" w:rsidP="008415C3">
      <w:pPr>
        <w:pStyle w:val="Style4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042EDB" w:rsidP="00FF619F">
      <w:pPr>
        <w:pStyle w:val="Style4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color w:val="000000"/>
          <w:sz w:val="28"/>
        </w:rPr>
      </w:pPr>
      <w:r>
        <w:rPr>
          <w:rStyle w:val="FontStyle35"/>
          <w:rFonts w:ascii="Times New Roman" w:hAnsi="Times New Roman" w:cs="Times New Roman"/>
          <w:color w:val="000000"/>
          <w:sz w:val="28"/>
        </w:rPr>
        <w:br w:type="page"/>
      </w:r>
      <w:r w:rsidR="00ED4B9E" w:rsidRPr="008415C3">
        <w:rPr>
          <w:rStyle w:val="FontStyle35"/>
          <w:rFonts w:ascii="Times New Roman" w:hAnsi="Times New Roman" w:cs="Times New Roman"/>
          <w:color w:val="000000"/>
          <w:sz w:val="28"/>
        </w:rPr>
        <w:t>1. Основные понятия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Чрезвычайная ситуация</w:t>
      </w:r>
      <w:r w:rsid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это обстановка на определенной территории, сложившаяся в результате аварии, опасного природного явления,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Зона ЧС - это территория, на которой сложилась чрезвычайная ситуация.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Приняты следующие типы классификаций ЧС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:</w:t>
      </w:r>
    </w:p>
    <w:p w:rsidR="00ED4B9E" w:rsidRPr="008415C3" w:rsidRDefault="00ED4B9E" w:rsidP="008415C3">
      <w:pPr>
        <w:pStyle w:val="Style8"/>
        <w:widowControl/>
        <w:numPr>
          <w:ilvl w:val="0"/>
          <w:numId w:val="1"/>
        </w:numPr>
        <w:tabs>
          <w:tab w:val="left" w:pos="917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 причине возникновения</w:t>
      </w:r>
    </w:p>
    <w:p w:rsidR="00ED4B9E" w:rsidRPr="008415C3" w:rsidRDefault="00ED4B9E" w:rsidP="008415C3">
      <w:pPr>
        <w:pStyle w:val="Style8"/>
        <w:widowControl/>
        <w:numPr>
          <w:ilvl w:val="0"/>
          <w:numId w:val="1"/>
        </w:numPr>
        <w:tabs>
          <w:tab w:val="left" w:pos="917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 структуре возникновения</w:t>
      </w:r>
      <w:r w:rsidR="008415C3" w:rsidRPr="008415C3">
        <w:rPr>
          <w:rStyle w:val="FontStyle36"/>
          <w:rFonts w:ascii="Times New Roman" w:hAnsi="Times New Roman" w:cs="Times New Roman"/>
          <w:color w:val="000000"/>
          <w:sz w:val="28"/>
        </w:rPr>
        <w:t>;</w:t>
      </w:r>
    </w:p>
    <w:p w:rsidR="00ED4B9E" w:rsidRPr="008415C3" w:rsidRDefault="00ED4B9E" w:rsidP="008415C3">
      <w:pPr>
        <w:pStyle w:val="Style8"/>
        <w:widowControl/>
        <w:numPr>
          <w:ilvl w:val="0"/>
          <w:numId w:val="1"/>
        </w:numPr>
        <w:tabs>
          <w:tab w:val="left" w:pos="917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 скорости развития</w:t>
      </w:r>
      <w:r w:rsidR="008415C3" w:rsidRPr="008415C3">
        <w:rPr>
          <w:rStyle w:val="FontStyle36"/>
          <w:rFonts w:ascii="Times New Roman" w:hAnsi="Times New Roman" w:cs="Times New Roman"/>
          <w:color w:val="000000"/>
          <w:sz w:val="28"/>
        </w:rPr>
        <w:t>;</w:t>
      </w:r>
    </w:p>
    <w:p w:rsidR="00ED4B9E" w:rsidRPr="008415C3" w:rsidRDefault="00ED4B9E" w:rsidP="008415C3">
      <w:pPr>
        <w:pStyle w:val="Style8"/>
        <w:widowControl/>
        <w:numPr>
          <w:ilvl w:val="0"/>
          <w:numId w:val="1"/>
        </w:numPr>
        <w:tabs>
          <w:tab w:val="left" w:pos="917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 масштабам распространения последствий</w:t>
      </w:r>
      <w:r w:rsidR="008415C3" w:rsidRPr="008415C3">
        <w:rPr>
          <w:rStyle w:val="FontStyle36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Для экологически опасных предприятий основными ЧС являются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локальные, объектовые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местные.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Частные ЧС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это ситуации, действие которых ограничено производственным помещением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Такие ситуации могут возникнуть при авариях, связанных с нарушением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герметизации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отдельных узлов, технологических линий трубопроводов, при небольших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протечках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хранилищах вредных веществ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в частности, сильнодействующих ядовитых веществ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Объектовые ЧС 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это ситуации, действие которых ограничено территорией промышленных объектов. Они могут возникать при авариях на складах, разрыве технологических линий и др.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Местные ЧС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это ситуации, распространение которых ограничено территорией города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или области. Последствия местных ЧС выходят за пределы санитарно-защитной зоны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предприятия и создают экологическую угрозу не только для производственного персонала предприятия, но также для населения и окружающей среды.</w:t>
      </w:r>
    </w:p>
    <w:p w:rsidR="00ED4B9E" w:rsidRPr="008415C3" w:rsidRDefault="00ED4B9E" w:rsidP="008415C3">
      <w:pPr>
        <w:pStyle w:val="Style10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Основными количественными критериями, определяющими характер ЧС, являются: число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пострадавших людей, материальный ущерб, кратность превышения ПДК, масса сбрасываемых вредных</w:t>
      </w:r>
      <w:r w:rsid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веществ</w:t>
      </w:r>
      <w:r w:rsidR="008415C3" w:rsidRPr="008415C3">
        <w:rPr>
          <w:rStyle w:val="FontStyle36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Режимы работы оборудования подразделяются на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регламентный</w:t>
      </w:r>
      <w:r w:rsid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режим, в котором опасные параметры процесса находятся в расчетном диапазоне и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аварийный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режим, в котором опасные параметры процесса выходят за расчетный диапазон и системой регулирования не могут быть возвращены в исходное состояние.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Катастрофа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авария, сопровождающаяся гибелью людей.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Под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инженерным объектом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обычно понимают сложный инженерно-технический комплекс, включающий в себя здания, сооружения, энергосистемы, оборудование, автоматизированные системы, электронную технику и т.п.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Под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устойчивостью работы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инженерного объекта понимают его способность выпускать установленные виды продукции в необходимых объемах и номенклатуре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условиях ЧС, а также приспособленность этого объекта к восстановлению в случае повреждения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Необходимо помнить, что восстановлению объект подлежит, если он получил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слабые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или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средние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разрушения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При взрывах химического оборудования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воздействие ударной волны ее избыточного давления АР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на незащищенных людей характеризуется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легкими, средними, тяжелыми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крайне тяжелыми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травмами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Легкие поражения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наступают при ДР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20^40 кПа. Проявления: звон в ушах, головокружение, головная боль.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Поражения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средней тяжести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наступают при АР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40-60 кПа. Проявление: вывихи конечностей, контузия головы, повреждение органов слуха, кровотечение из носа и ушей.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Тяжелые травмы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возникают при ДР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60-100 кПа. Они характеризуются сильной контузией всего организма, потерей сознания, возможным повреждением внутренних органов и т.п.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Крайне тяжелые травмы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возникают при 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&gt; 100 кПа. Могут быть получены разрывы внутренних органов, переломы костей, внутренние кровотечения и другие повреждения, которые обычно приводят к смертельному исходу.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Характерными условиями возникновения экологических катастроф и аварий являются: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наличие потенциальных источников риска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;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действие и последствия факторов риска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;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нахождение в зоне аварии людей, продуктов питания, воды, сельхозугодий и т.п.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Современная промышленность отвергла концепцию абсолютной безопасности и пришла к концепции приемлемого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риска, суть которой в стремлении к такой безопасности, которую приемлет общество в данный период времени</w:t>
      </w:r>
      <w:r w:rsidR="008415C3" w:rsidRPr="008415C3">
        <w:rPr>
          <w:rStyle w:val="FontStyle38"/>
          <w:rFonts w:ascii="Times New Roman" w:hAnsi="Times New Roman" w:cs="Times New Roman"/>
          <w:color w:val="000000"/>
          <w:sz w:val="28"/>
        </w:rPr>
        <w:t>.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Приемлемый риск сочетает в себе технические, экономические, социальные, политические аспекты и представляет некоторый компромисс между безопасностью и возможностями ее достижения. Максимально приемлемым уровнем индивидуального риска обычно считается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1x1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О*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6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в год, пренебрежимо малым - индивидуальный риск поражающих воздействий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1x10"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perscript"/>
        </w:rPr>
        <w:t>8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год</w:t>
      </w:r>
      <w:r w:rsidR="008415C3" w:rsidRPr="008415C3">
        <w:rPr>
          <w:rStyle w:val="FontStyle38"/>
          <w:rFonts w:ascii="Times New Roman" w:hAnsi="Times New Roman" w:cs="Times New Roman"/>
          <w:color w:val="000000"/>
          <w:sz w:val="28"/>
        </w:rPr>
        <w:t>.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Риск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это количественная оценка опасности. Риск события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характеризует частоту реализации опасности за определенное время, т.е.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val="en-US"/>
        </w:rPr>
        <w:t>R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bscript"/>
          <w:lang w:val="en-US"/>
        </w:rPr>
        <w:t>c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=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val="en-US"/>
        </w:rPr>
        <w:t>No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/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val="en-US"/>
        </w:rPr>
        <w:t>N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bscript"/>
          <w:lang w:val="en-US"/>
        </w:rPr>
        <w:t>B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,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val="en-US"/>
        </w:rPr>
        <w:t>N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bscript"/>
        </w:rPr>
        <w:t>0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val="en-US"/>
        </w:rPr>
        <w:t>N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bscript"/>
          <w:lang w:val="en-US"/>
        </w:rPr>
        <w:t>B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количество реализованных и возможных опасностей соответственно. В отечественной и мировой практике оборудование и процессы считаются безопасными, если вероятность травмы человека для данной отрасли промышленности не превышает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10"</w:t>
      </w:r>
      <w:r w:rsid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год. Например, реальный производственный риск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СНГ составляет примерно Ю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-4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что на один-два порядка выше приемлемого риска</w:t>
      </w:r>
      <w:r w:rsidR="008415C3" w:rsidRPr="008415C3">
        <w:rPr>
          <w:rStyle w:val="FontStyle38"/>
          <w:rFonts w:ascii="Times New Roman" w:hAnsi="Times New Roman" w:cs="Times New Roman"/>
          <w:color w:val="000000"/>
          <w:sz w:val="28"/>
        </w:rPr>
        <w:t>.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РФ в настоящее время нет жестких требований по установлению уровней риска. Согласно «Временным требованиям и критериям оценки риска при нормальной эксплуатации и авариях на промышленных объектах», приняты следующие нормативные значения индивидуального риска в расчете на человека в год: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position w:val="-2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position w:val="-2"/>
          <w:sz w:val="28"/>
        </w:rPr>
        <w:t xml:space="preserve">персонал предприятий - </w:t>
      </w:r>
      <w:r w:rsidRPr="008415C3">
        <w:rPr>
          <w:rStyle w:val="FontStyle38"/>
          <w:rFonts w:ascii="Times New Roman" w:hAnsi="Times New Roman" w:cs="Times New Roman"/>
          <w:color w:val="000000"/>
          <w:position w:val="-2"/>
          <w:sz w:val="28"/>
        </w:rPr>
        <w:t>1x10"</w:t>
      </w:r>
      <w:r w:rsidRPr="008415C3">
        <w:rPr>
          <w:rStyle w:val="FontStyle38"/>
          <w:rFonts w:ascii="Times New Roman" w:hAnsi="Times New Roman" w:cs="Times New Roman"/>
          <w:color w:val="000000"/>
          <w:position w:val="-2"/>
          <w:sz w:val="28"/>
          <w:vertAlign w:val="superscript"/>
        </w:rPr>
        <w:t>5</w:t>
      </w:r>
      <w:r w:rsidRPr="008415C3">
        <w:rPr>
          <w:rStyle w:val="FontStyle38"/>
          <w:rFonts w:ascii="Times New Roman" w:hAnsi="Times New Roman" w:cs="Times New Roman"/>
          <w:color w:val="000000"/>
          <w:position w:val="-2"/>
          <w:sz w:val="28"/>
        </w:rPr>
        <w:t>;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население, находящееся в санитарно-защитной зоне -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1x10"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perscript"/>
        </w:rPr>
        <w:t>6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;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население региона -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1x10"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perscript"/>
        </w:rPr>
        <w:t>6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Статистика показывает, что более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80%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аварий и катастроф на производстве носит антропогенный характер: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64%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аварий происходит за счет нарушения правил эксплуатации техники и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16%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за счет некачественного строительства и монтажа оборудования.</w:t>
      </w:r>
    </w:p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FF619F">
      <w:pPr>
        <w:pStyle w:val="Style4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2. Принципы обеспечения экологической безопасности производств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Экологическая безопасность промышленных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объектов при авариях и ЧС определяется вероятностью возникновения поражающих факторов и уровнем воздействия вредных веществ, проявляющегося в процессе эксплуатации. Уровень опасности и принцип обеспечения безопасности во многом связаны со свойствами перерабатываемых веществ.</w:t>
      </w:r>
    </w:p>
    <w:p w:rsidR="00ED4B9E" w:rsidRPr="008415C3" w:rsidRDefault="00ED4B9E" w:rsidP="008415C3">
      <w:pPr>
        <w:pStyle w:val="Style10"/>
        <w:widowControl/>
        <w:spacing w:line="360" w:lineRule="auto"/>
        <w:ind w:firstLine="709"/>
        <w:rPr>
          <w:rStyle w:val="FontStyle38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При работе с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нейтральными твердыми и жидкими веществами, парами и газами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оборудование должно обеспечивать</w:t>
      </w:r>
      <w:r w:rsidR="008415C3" w:rsidRPr="008415C3">
        <w:rPr>
          <w:rStyle w:val="FontStyle38"/>
          <w:rFonts w:ascii="Times New Roman" w:hAnsi="Times New Roman" w:cs="Times New Roman"/>
          <w:color w:val="000000"/>
          <w:sz w:val="28"/>
        </w:rPr>
        <w:t>: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0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санитарные и гигиенические нормы в рабочей зоне помещения по температуре, запыленности, содержанию паров воды и других жидкостей за счет герметизации при загрузке и разгрузке веществ и при проведении технологического процесса, а при необходимости за счет отвода пыли и паров общеобменной или местной вентиляцией;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0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защиту от разрушения под давлением сжатых нейтральных паров или газов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внезапном нерегламентированном повышении давления в ходе выполнения технологических операций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а также при нерегламентированном повышении давления от внешних источников - сжатого воздуха, азота пара и т.п.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При эксплуатации оборудования с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горючими жидкостями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легковоспламеняющимися жидкостями</w:t>
      </w:r>
      <w:r w:rsid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горючими газами,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том числе сжиженными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наблюдается более высокий уровень опасности за счет возможного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пожара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или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взрыва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этих веществ.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Оборудование при работе с этими веществами должно обеспечить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исключение возможности: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0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образования пожаро- и взрывоопасных концентраций веществ за счет выбора соответствующих технологических режимных параметров, вентиляции, продувки или подачи флегматизаторов;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0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появления источников зажигания за счет применения соответствующего уровня и вида взрывозащиты электрооборудования, исключения искр трения или удара;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0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самовоспламенения окружающей взрывоопасной смеси от нагретых поверхностей;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0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нерегламентированного подъема температуры при нарушении условий проведения экзотермических реакций;</w:t>
      </w:r>
    </w:p>
    <w:p w:rsidR="00ED4B9E" w:rsidRPr="008415C3" w:rsidRDefault="00ED4B9E" w:rsidP="008415C3">
      <w:pPr>
        <w:pStyle w:val="Style12"/>
        <w:widowControl/>
        <w:numPr>
          <w:ilvl w:val="0"/>
          <w:numId w:val="1"/>
        </w:numPr>
        <w:tabs>
          <w:tab w:val="left" w:pos="90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разрушения оборудования под давлением при выполнении технологических операций или при нарушении правил эксплуатации.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Повышенной является опасность и при использовании вредных веществ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 xml:space="preserve">1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I и II класса опасности, а также веществ остронаправленного действия 111 класса ввиду их токсичности. Поэтому оборудование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дополнительно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должно обеспечить: исключение химических ожогов и токсического поражения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при транспортных операциях, погрузке-разгрузке и т.п. за счет соответствующей герметизации и устройств, нейтрализующих и улавливающих пары вредных веществ.</w:t>
      </w:r>
    </w:p>
    <w:p w:rsidR="00ED4B9E" w:rsidRPr="008415C3" w:rsidRDefault="00FF619F" w:rsidP="00FF619F">
      <w:pPr>
        <w:widowControl/>
        <w:spacing w:line="360" w:lineRule="auto"/>
        <w:ind w:firstLine="709"/>
        <w:jc w:val="center"/>
        <w:rPr>
          <w:rStyle w:val="FontStyle35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ED4B9E" w:rsidRPr="008415C3">
        <w:rPr>
          <w:rStyle w:val="FontStyle35"/>
          <w:rFonts w:ascii="Times New Roman" w:hAnsi="Times New Roman" w:cs="Times New Roman"/>
          <w:color w:val="000000"/>
          <w:sz w:val="28"/>
        </w:rPr>
        <w:t>3. Устойчивость работы промышленных объектов в ЧС</w:t>
      </w:r>
    </w:p>
    <w:p w:rsidR="00ED4B9E" w:rsidRPr="008415C3" w:rsidRDefault="00ED4B9E" w:rsidP="008415C3">
      <w:pPr>
        <w:pStyle w:val="Style19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19"/>
        <w:widowControl/>
        <w:spacing w:line="360" w:lineRule="auto"/>
        <w:ind w:firstLine="709"/>
        <w:rPr>
          <w:rStyle w:val="FontStyle39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9"/>
          <w:rFonts w:ascii="Times New Roman" w:hAnsi="Times New Roman" w:cs="Times New Roman"/>
          <w:color w:val="000000"/>
          <w:sz w:val="28"/>
        </w:rPr>
        <w:t>Оценка устойчивости зданий</w:t>
      </w:r>
      <w:r w:rsidR="008415C3">
        <w:rPr>
          <w:rStyle w:val="FontStyle39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9"/>
          <w:rFonts w:ascii="Times New Roman" w:hAnsi="Times New Roman" w:cs="Times New Roman"/>
          <w:color w:val="000000"/>
          <w:sz w:val="28"/>
        </w:rPr>
        <w:t>к воздействию ударной волны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Предполагается, что разрушение здания цеха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происходит в результате воздействия ударной волны, возникшей в результате аварийного разрушения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какого-либо аппарата на заводской площадке. Последствия взрыва определяются величиной давления разрушения инженерного объекта и массой выброса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вредного вещества.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Оценка устойчивости зданий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заключается в определении избыточного давления ударной волны АР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, вызывающего различные степени разрушения промышленного или административного здания в зависимости от типа и сейсмостойкости конструкции, вида строительного материала, высоты здания и грузоподъемности кранового оборудования внутри цеха промышленного здания.</w:t>
      </w:r>
    </w:p>
    <w:p w:rsidR="00ED4B9E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Ориентировочно величина ЛР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определяется по формуле:</w:t>
      </w:r>
    </w:p>
    <w:p w:rsidR="00FF619F" w:rsidRPr="00FF619F" w:rsidRDefault="00FF619F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301D26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30.75pt">
            <v:imagedata r:id="rId7" o:title=""/>
          </v:shape>
        </w:pict>
      </w:r>
    </w:p>
    <w:p w:rsidR="00FF619F" w:rsidRDefault="00FF619F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К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зд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коэффициент, учитывающий тип здания;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К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р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коэффициент, учитывающий степень разрушения;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К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к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коэффициент, учитывающий тип конструкции;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К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м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коэффициент, учитывающий вид строительного материала;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К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в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коэффициент, учитывающий высоту здания;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К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с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коэффициент, учитывающий сейсмостойкость конструкции;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К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кр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коэффициент, учитывающий грузоподъемность кранового оборудования.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Значения коэффициентов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Ki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- К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7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приведены в приложении 3.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 xml:space="preserve">Пример 1.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Определить избыточные давления ударной волны, при которых здание цеха химического машиностроения получит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различные степени разрушения.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Исходные данные: тип здания - каркасный; стены -кирпичные; высота -10 м; здание не сейсмостойкое; грузоподъемность мостового крана - 10 т.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Решение: Избыточное давление ударной волны, вызывающее полное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разрушение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здания, находим по формуле 1.</w:t>
      </w:r>
    </w:p>
    <w:p w:rsidR="00ED4B9E" w:rsidRPr="008415C3" w:rsidRDefault="00ED4B9E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301D26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6" type="#_x0000_t75" style="width:304.5pt;height:29.25pt">
            <v:imagedata r:id="rId8" o:title=""/>
          </v:shape>
        </w:pict>
      </w:r>
    </w:p>
    <w:p w:rsidR="00ED4B9E" w:rsidRPr="008415C3" w:rsidRDefault="00ED4B9E" w:rsidP="008415C3">
      <w:pPr>
        <w:pStyle w:val="Style2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FF619F" w:rsidRDefault="00ED4B9E" w:rsidP="008415C3">
      <w:pPr>
        <w:pStyle w:val="Style22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Тогда</w:t>
      </w:r>
    </w:p>
    <w:p w:rsidR="00FF619F" w:rsidRPr="00FF619F" w:rsidRDefault="00FF619F" w:rsidP="008415C3">
      <w:pPr>
        <w:pStyle w:val="Style22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ED4B9E" w:rsidP="008415C3">
      <w:pPr>
        <w:pStyle w:val="Style22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="00301D26">
        <w:rPr>
          <w:rStyle w:val="FontStyle37"/>
          <w:rFonts w:ascii="Times New Roman" w:hAnsi="Times New Roman"/>
          <w:color w:val="000000"/>
          <w:sz w:val="28"/>
        </w:rPr>
        <w:pict>
          <v:shape id="_x0000_i1027" type="#_x0000_t75" style="width:270.75pt;height:66pt">
            <v:imagedata r:id="rId9" o:title=""/>
          </v:shape>
        </w:pict>
      </w:r>
    </w:p>
    <w:p w:rsidR="00ED4B9E" w:rsidRPr="008415C3" w:rsidRDefault="00ED4B9E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19"/>
        <w:widowControl/>
        <w:spacing w:line="360" w:lineRule="auto"/>
        <w:ind w:firstLine="709"/>
        <w:rPr>
          <w:rStyle w:val="FontStyle39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9"/>
          <w:rFonts w:ascii="Times New Roman" w:hAnsi="Times New Roman" w:cs="Times New Roman"/>
          <w:color w:val="000000"/>
          <w:sz w:val="28"/>
        </w:rPr>
        <w:t>Оценка устойчивости технологического оборудования к воздействию ударной волны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8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Промышленное оборудование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рассчитываются на действие скоростного напора воздуха, движущегося за фронтом ударной волны. Давление скоростного напора рассчитывается по формуле</w:t>
      </w:r>
      <w:r w:rsidR="008415C3" w:rsidRPr="008415C3">
        <w:rPr>
          <w:rStyle w:val="FontStyle38"/>
          <w:rFonts w:ascii="Times New Roman" w:hAnsi="Times New Roman" w:cs="Times New Roman"/>
          <w:color w:val="000000"/>
          <w:sz w:val="28"/>
        </w:rPr>
        <w:t>:</w:t>
      </w:r>
    </w:p>
    <w:p w:rsidR="00ED4B9E" w:rsidRPr="008415C3" w:rsidRDefault="00ED4B9E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301D26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8" type="#_x0000_t75" style="width:143.25pt;height:43.5pt">
            <v:imagedata r:id="rId10" o:title=""/>
          </v:shape>
        </w:pict>
      </w: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</w:t>
      </w:r>
      <w:r w:rsidRPr="008415C3">
        <w:rPr>
          <w:rStyle w:val="FontStyle40"/>
          <w:rFonts w:ascii="Times New Roman" w:hAnsi="Times New Roman" w:cs="Times New Roman"/>
          <w:color w:val="000000"/>
          <w:sz w:val="28"/>
        </w:rPr>
        <w:t>ЛР</w:t>
      </w:r>
      <w:r w:rsidRPr="008415C3">
        <w:rPr>
          <w:rStyle w:val="FontStyle40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40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избыточное давление во фронте ударной волны, кПа.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При воздействии скоростного напора на объект возникает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смещающая сила,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которая может вызывать:</w:t>
      </w:r>
    </w:p>
    <w:p w:rsidR="00ED4B9E" w:rsidRPr="008415C3" w:rsidRDefault="00ED4B9E" w:rsidP="008415C3">
      <w:pPr>
        <w:pStyle w:val="Style12"/>
        <w:widowControl/>
        <w:numPr>
          <w:ilvl w:val="0"/>
          <w:numId w:val="2"/>
        </w:numPr>
        <w:tabs>
          <w:tab w:val="left" w:pos="883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смещение оборудования относительно основания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или его отбрасывание;</w:t>
      </w:r>
    </w:p>
    <w:p w:rsidR="00ED4B9E" w:rsidRPr="008415C3" w:rsidRDefault="00ED4B9E" w:rsidP="008415C3">
      <w:pPr>
        <w:pStyle w:val="Style12"/>
        <w:widowControl/>
        <w:numPr>
          <w:ilvl w:val="0"/>
          <w:numId w:val="3"/>
        </w:numPr>
        <w:tabs>
          <w:tab w:val="left" w:pos="893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опрокидывание оборудования;</w:t>
      </w:r>
    </w:p>
    <w:p w:rsidR="00ED4B9E" w:rsidRPr="008415C3" w:rsidRDefault="00ED4B9E" w:rsidP="008415C3">
      <w:pPr>
        <w:pStyle w:val="Style12"/>
        <w:widowControl/>
        <w:numPr>
          <w:ilvl w:val="0"/>
          <w:numId w:val="2"/>
        </w:numPr>
        <w:tabs>
          <w:tab w:val="left" w:pos="883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мгновенное инерционное разрушение элементов оборудования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Смещение оборудования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может привести к слабым, а в ряде случаев и средним разрушениям. Величина скоростного напора, вызывающего смещение оборудования</w:t>
      </w:r>
      <w:r w:rsidR="008415C3" w:rsidRPr="008415C3">
        <w:rPr>
          <w:rStyle w:val="FontStyle38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составляет</w:t>
      </w:r>
    </w:p>
    <w:p w:rsidR="00ED4B9E" w:rsidRPr="008415C3" w:rsidRDefault="00ED4B9E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301D26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9" type="#_x0000_t75" style="width:151.5pt;height:51pt">
            <v:imagedata r:id="rId11" o:title=""/>
          </v:shape>
        </w:pict>
      </w:r>
    </w:p>
    <w:p w:rsidR="00FF619F" w:rsidRDefault="00FF619F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lang w:val="en-US"/>
        </w:rPr>
        <w:t>f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коэффициент трения</w:t>
      </w:r>
      <w:r w:rsidR="008415C3" w:rsidRPr="008415C3">
        <w:rPr>
          <w:rStyle w:val="FontStyle38"/>
          <w:rFonts w:ascii="Times New Roman" w:hAnsi="Times New Roman" w:cs="Times New Roman"/>
          <w:color w:val="000000"/>
          <w:sz w:val="28"/>
        </w:rPr>
        <w:t>;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т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масса объекта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кг;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lang w:val="en-US"/>
        </w:rPr>
        <w:t>g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ускорение свободного падения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;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с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х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коэффициент аэродинамического сопротивления объекта</w:t>
      </w:r>
      <w:r w:rsidR="008415C3" w:rsidRPr="008415C3">
        <w:rPr>
          <w:rStyle w:val="FontStyle38"/>
          <w:rFonts w:ascii="Times New Roman" w:hAnsi="Times New Roman" w:cs="Times New Roman"/>
          <w:color w:val="000000"/>
          <w:sz w:val="28"/>
        </w:rPr>
        <w:t>;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41"/>
          <w:rFonts w:ascii="Times New Roman" w:hAnsi="Times New Roman" w:cs="Times New Roman"/>
          <w:color w:val="000000"/>
          <w:sz w:val="28"/>
        </w:rPr>
        <w:t xml:space="preserve">I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длина объекта, м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;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lang w:val="en-US"/>
        </w:rPr>
        <w:t>h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высота объекта, м;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0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bscript"/>
        </w:rPr>
        <w:t>Б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суммарное усилие болтов крепления, работающих на срез, Н. Величина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0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bscript"/>
        </w:rPr>
        <w:t>Б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равна</w:t>
      </w:r>
    </w:p>
    <w:p w:rsidR="00ED4B9E" w:rsidRPr="008415C3" w:rsidRDefault="00ED4B9E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301D26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0" type="#_x0000_t75" style="width:204pt;height:48pt">
            <v:imagedata r:id="rId12" o:title=""/>
          </v:shape>
        </w:pict>
      </w: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т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ср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допустимое напряжение на срез, кг/мм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;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о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т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предел текучести стали, кг/мм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для Ст.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35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т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65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кг/мм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>6,33х10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vertAlign w:val="superscript"/>
        </w:rPr>
        <w:t>8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н/м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lang w:val="en-US"/>
        </w:rPr>
        <w:t>d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6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диаметр болта, м;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п 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количество болтов.</w:t>
      </w:r>
    </w:p>
    <w:p w:rsidR="00ED4B9E" w:rsidRPr="008415C3" w:rsidRDefault="00ED4B9E" w:rsidP="008415C3">
      <w:pPr>
        <w:pStyle w:val="Style26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FF619F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Для незакрепленного оборудования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величина скоростного напора, вызывающего смещение оборудования, составляет</w:t>
      </w:r>
    </w:p>
    <w:p w:rsidR="00FF619F" w:rsidRPr="00FF619F" w:rsidRDefault="00FF619F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</w:p>
    <w:p w:rsidR="00ED4B9E" w:rsidRDefault="00301D26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031" type="#_x0000_t75" style="width:221.25pt;height:69pt">
            <v:imagedata r:id="rId13" o:title=""/>
          </v:shape>
        </w:pict>
      </w:r>
    </w:p>
    <w:p w:rsidR="00FF619F" w:rsidRPr="00FF619F" w:rsidRDefault="00FF619F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 величине скоростного напора ЛР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СК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, используя рис. 2, находят предельное избыточное давление АР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|,т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, при котором предмет не смещается.</w:t>
      </w:r>
    </w:p>
    <w:p w:rsidR="00ED4B9E" w:rsidRPr="008415C3" w:rsidRDefault="00FF619F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ED4B9E" w:rsidRPr="008415C3">
        <w:rPr>
          <w:rStyle w:val="FontStyle35"/>
          <w:rFonts w:ascii="Times New Roman" w:hAnsi="Times New Roman" w:cs="Times New Roman"/>
          <w:color w:val="000000"/>
          <w:sz w:val="28"/>
        </w:rPr>
        <w:t xml:space="preserve">Пример 2. 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Определить предельное значение избыточного давления, не вызывающее </w:t>
      </w:r>
      <w:r w:rsidR="00ED4B9E"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смещение 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абсорбционной колонны относительно бетонного основания. Исходные данные: диаметр колонны 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d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4 м; высота 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h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60 м; масса 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m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5-Ю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5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кг; 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f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0,2; с* = 0,46.</w:t>
      </w:r>
    </w:p>
    <w:p w:rsidR="00ED4B9E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Решение: Определяем по формуле 6 предельное значение давления скоростного напора, при котором колонна не смещается</w:t>
      </w:r>
    </w:p>
    <w:p w:rsidR="00FF619F" w:rsidRPr="00FF619F" w:rsidRDefault="00FF619F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301D26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2" type="#_x0000_t75" style="width:269.25pt;height:42pt">
            <v:imagedata r:id="rId14" o:title=""/>
          </v:shape>
        </w:pict>
      </w:r>
    </w:p>
    <w:p w:rsidR="00FF619F" w:rsidRDefault="00FF619F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 величине ЛР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СК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= 9 кПа, используя рис. 2, находим ДР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= 52 кПа. Таким образом, при ДР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&gt; 52 кПа ударная волна вызывает смещение колонны.</w:t>
      </w:r>
    </w:p>
    <w:p w:rsidR="00ED4B9E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Опрокидывание оборудования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приводит к средним и сильным разрушениям. Смещающая сила 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см&gt;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действующая на плече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z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h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/2 будет создавать опрокидывающий момент, а вес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оборудования на плече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Ј 12</w:t>
      </w:r>
      <w:r w:rsid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 реакция крепления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Q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  <w:lang w:val="en-US"/>
        </w:rPr>
        <w:t>r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плече Ј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стабилизирующий момент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FF619F" w:rsidRPr="00FF619F" w:rsidRDefault="00FF619F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301D26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3" type="#_x0000_t75" style="width:179.25pt;height:114pt">
            <v:imagedata r:id="rId15" o:title=""/>
          </v:shape>
        </w:pict>
      </w: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</w:t>
      </w:r>
      <w:r w:rsidRPr="008415C3">
        <w:rPr>
          <w:rStyle w:val="FontStyle42"/>
          <w:rFonts w:ascii="Times New Roman" w:hAnsi="Times New Roman" w:cs="Times New Roman"/>
          <w:color w:val="000000"/>
          <w:sz w:val="28"/>
          <w:lang w:val="en-US"/>
        </w:rPr>
        <w:t>s</w:t>
      </w:r>
      <w:r w:rsidRPr="008415C3">
        <w:rPr>
          <w:rStyle w:val="FontStyle42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площадь объекта со стороны движения ударной волны, м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При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b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Ј =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d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, где </w:t>
      </w:r>
      <w:r w:rsidRPr="008415C3">
        <w:rPr>
          <w:rStyle w:val="FontStyle43"/>
          <w:rFonts w:ascii="Times New Roman" w:hAnsi="Times New Roman" w:cs="Times New Roman"/>
          <w:color w:val="000000"/>
          <w:sz w:val="28"/>
          <w:lang w:val="en-US"/>
        </w:rPr>
        <w:t>b</w:t>
      </w:r>
      <w:r w:rsidRPr="008415C3">
        <w:rPr>
          <w:rStyle w:val="FontStyle43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наименьший размер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объекта, м</w:t>
      </w:r>
    </w:p>
    <w:p w:rsidR="00ED4B9E" w:rsidRPr="008415C3" w:rsidRDefault="00ED4B9E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301D26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4" type="#_x0000_t75" style="width:118.5pt;height:43.5pt">
            <v:imagedata r:id="rId16" o:title=""/>
          </v:shape>
        </w:pict>
      </w:r>
    </w:p>
    <w:p w:rsidR="00ED4B9E" w:rsidRPr="008415C3" w:rsidRDefault="00FF619F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>Суммарное усилие болтов крепления, работающих на разрыв, равно</w:t>
      </w:r>
    </w:p>
    <w:p w:rsidR="00ED4B9E" w:rsidRPr="008415C3" w:rsidRDefault="00ED4B9E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301D26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5" type="#_x0000_t75" style="width:101.25pt;height:42pt">
            <v:imagedata r:id="rId17" o:title=""/>
          </v:shape>
        </w:pict>
      </w: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</w:t>
      </w:r>
      <w:r w:rsidRPr="008415C3">
        <w:rPr>
          <w:rStyle w:val="FontStyle44"/>
          <w:rFonts w:ascii="Times New Roman" w:hAnsi="Times New Roman" w:cs="Times New Roman"/>
          <w:color w:val="000000"/>
          <w:spacing w:val="0"/>
          <w:sz w:val="28"/>
        </w:rPr>
        <w:t>о</w:t>
      </w:r>
      <w:r w:rsidRPr="008415C3">
        <w:rPr>
          <w:rStyle w:val="FontStyle44"/>
          <w:rFonts w:ascii="Times New Roman" w:hAnsi="Times New Roman" w:cs="Times New Roman"/>
          <w:color w:val="000000"/>
          <w:spacing w:val="0"/>
          <w:sz w:val="28"/>
          <w:vertAlign w:val="subscript"/>
        </w:rPr>
        <w:t>р</w:t>
      </w:r>
      <w:r w:rsidRPr="008415C3">
        <w:rPr>
          <w:rStyle w:val="FontStyle44"/>
          <w:rFonts w:ascii="Times New Roman" w:hAnsi="Times New Roman" w:cs="Times New Roman"/>
          <w:color w:val="000000"/>
          <w:spacing w:val="0"/>
          <w:sz w:val="28"/>
        </w:rPr>
        <w:t xml:space="preserve"> 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допустимое напряжение болта на разрыв, кг/мм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 величине скоростного напора ЛР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СК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, используя рис. 2, находят предельное избыточное давление ДР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,|т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, при котором оборудование не опрокинется.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 xml:space="preserve">Пример 3.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Определить предельное значение избыточного давления, не вызывающее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опрокидывание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абсорбционной колонны. Исходные данные: см. пример 2.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Решение: Определяем по формуле 9 предельное значение давления скоростного напора, при котором колонна не опрокинется:</w:t>
      </w:r>
    </w:p>
    <w:p w:rsidR="00ED4B9E" w:rsidRPr="008415C3" w:rsidRDefault="00ED4B9E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301D26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6" type="#_x0000_t75" style="width:3in;height:36pt">
            <v:imagedata r:id="rId18" o:title=""/>
          </v:shape>
        </w:pic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 величине ДР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СК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3 кПа, используя рис. 2, находим АР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|,т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30 кПа. Таким образом, при ЛР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&gt; 30 кПа ударная волна вызывает опрокидывание колонны.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данном случае для опрокидывания колонны требуется меньшее давление ударной волны, чем для ее смещения, что характерно для высоких элементов объекта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;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для низких, наоборот, требуется меньшее давление для смещения, чем для опрокидывания.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Инерционные разрушения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радиоэлектронной и оптической аппаратуры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возникают от избыточного давления ударной волны и давления скоростного напора. Они приравниваются к сильной степени разрушения.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Предельное значение избыточного давления ударной волны, при котором оборудование не получит инерционных разрушений ДР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,,т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, определяется с помощью рис. 4. по найденной величине избыточного предельного лобового давления АР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л0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б-</w:t>
      </w:r>
    </w:p>
    <w:p w:rsidR="00ED4B9E" w:rsidRPr="008415C3" w:rsidRDefault="00ED4B9E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301D26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7" type="#_x0000_t75" style="width:232.5pt;height:43.5pt">
            <v:imagedata r:id="rId19" o:title=""/>
          </v:shape>
        </w:pict>
      </w: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Р</w:t>
      </w:r>
      <w:r w:rsidRPr="008415C3">
        <w:rPr>
          <w:rStyle w:val="FontStyle45"/>
          <w:rFonts w:ascii="Times New Roman" w:hAnsi="Times New Roman" w:cs="Times New Roman"/>
          <w:color w:val="000000"/>
          <w:sz w:val="28"/>
          <w:vertAlign w:val="subscript"/>
        </w:rPr>
        <w:t>ЛО</w:t>
      </w:r>
      <w:r w:rsidRPr="008415C3">
        <w:rPr>
          <w:rStyle w:val="FontStyle45"/>
          <w:rFonts w:ascii="Times New Roman" w:hAnsi="Times New Roman" w:cs="Times New Roman"/>
          <w:color w:val="000000"/>
          <w:sz w:val="28"/>
        </w:rPr>
        <w:t xml:space="preserve">б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лобовая сила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Н;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S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- площадь воздействия ударной волны, м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т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масса прибора, кг;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а</w:t>
      </w:r>
      <w:r w:rsidRPr="008415C3">
        <w:rPr>
          <w:rStyle w:val="FontStyle45"/>
          <w:rFonts w:ascii="Times New Roman" w:hAnsi="Times New Roman" w:cs="Times New Roman"/>
          <w:color w:val="000000"/>
          <w:sz w:val="28"/>
        </w:rPr>
        <w:t xml:space="preserve">^оп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допустимое ускорение при ударе, м/с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;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п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доп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 = а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  <w:vertAlign w:val="subscript"/>
        </w:rPr>
        <w:t>дог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/д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допустимая ударная перегрузка, не приводящая к инерционным разрушениям.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 xml:space="preserve">Пример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4. Определить предельное значение избыточного давления, при котором прибор не получит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инерционное разрушение.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Исходные данные: длина прибора Ј = 400 мм, ширина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b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420 мм, высота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h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720 мм, масса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/>
        </w:rPr>
        <w:t>m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60 кг, допустимое ускорение при ударе а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доп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100 м/с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Решение: Определяем по формуле 11 избыточное лобовое давление, которое может выдержать прибор:</w:t>
      </w:r>
    </w:p>
    <w:p w:rsidR="00FF619F" w:rsidRPr="00FF619F" w:rsidRDefault="00FF619F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301D26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8" type="#_x0000_t75" style="width:250.5pt;height:48.75pt">
            <v:imagedata r:id="rId20" o:title=""/>
          </v:shape>
        </w:pic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По рис. 4, зная АР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ЛО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б. находим предельное избыточное давление ДР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,,т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= 18 кПа. Таким образом, при ДР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ф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</w:rPr>
        <w:t>||т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&gt; 18 кПа прибор получит сильное разрушение от инерционных перегрузок, вызываемых ударной волной.</w:t>
      </w:r>
    </w:p>
    <w:p w:rsidR="00ED4B9E" w:rsidRPr="008415C3" w:rsidRDefault="00ED4B9E" w:rsidP="008415C3">
      <w:pPr>
        <w:pStyle w:val="Style10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Основные пути повышения инженерной устойчивости промышленных объектов:</w:t>
      </w:r>
    </w:p>
    <w:p w:rsidR="00ED4B9E" w:rsidRPr="008415C3" w:rsidRDefault="00ED4B9E" w:rsidP="008415C3">
      <w:pPr>
        <w:pStyle w:val="Style12"/>
        <w:widowControl/>
        <w:numPr>
          <w:ilvl w:val="0"/>
          <w:numId w:val="3"/>
        </w:numPr>
        <w:tabs>
          <w:tab w:val="left" w:pos="92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использование оптимальных конструкций и материалов зданий и сооружений;</w:t>
      </w:r>
    </w:p>
    <w:p w:rsidR="00ED4B9E" w:rsidRPr="008415C3" w:rsidRDefault="00ED4B9E" w:rsidP="008415C3">
      <w:pPr>
        <w:pStyle w:val="Style12"/>
        <w:widowControl/>
        <w:numPr>
          <w:ilvl w:val="0"/>
          <w:numId w:val="3"/>
        </w:numPr>
        <w:tabs>
          <w:tab w:val="left" w:pos="92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надежное закрепление оборудования на фундаменте;</w:t>
      </w: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^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применение демпфирующих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опор оборудования;</w:t>
      </w:r>
    </w:p>
    <w:p w:rsidR="00ED4B9E" w:rsidRPr="008415C3" w:rsidRDefault="00ED4B9E" w:rsidP="008415C3">
      <w:pPr>
        <w:pStyle w:val="Style12"/>
        <w:widowControl/>
        <w:numPr>
          <w:ilvl w:val="0"/>
          <w:numId w:val="3"/>
        </w:numPr>
        <w:tabs>
          <w:tab w:val="left" w:pos="92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создание специальных защитных упругих навесов, кожухов, зонтов, сеток и т.п.;</w:t>
      </w: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, • - расположение массивной техники на нижних этажах и вне помещения;</w:t>
      </w:r>
    </w:p>
    <w:p w:rsidR="00ED4B9E" w:rsidRPr="008415C3" w:rsidRDefault="00ED4B9E" w:rsidP="008415C3">
      <w:pPr>
        <w:pStyle w:val="Style12"/>
        <w:widowControl/>
        <w:numPr>
          <w:ilvl w:val="0"/>
          <w:numId w:val="3"/>
        </w:numPr>
        <w:tabs>
          <w:tab w:val="left" w:pos="92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возможность эксплуатации объекта на различных видах топлива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;</w:t>
      </w:r>
    </w:p>
    <w:p w:rsidR="00ED4B9E" w:rsidRPr="008415C3" w:rsidRDefault="00ED4B9E" w:rsidP="008415C3">
      <w:pPr>
        <w:pStyle w:val="Style12"/>
        <w:widowControl/>
        <w:numPr>
          <w:ilvl w:val="0"/>
          <w:numId w:val="3"/>
        </w:numPr>
        <w:tabs>
          <w:tab w:val="left" w:pos="92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обваловывание емкостей с вредными веществами, горючими и легковоспламеняющимися жидкостями;</w:t>
      </w:r>
    </w:p>
    <w:p w:rsidR="00ED4B9E" w:rsidRPr="008415C3" w:rsidRDefault="00ED4B9E" w:rsidP="008415C3">
      <w:pPr>
        <w:pStyle w:val="Style12"/>
        <w:widowControl/>
        <w:numPr>
          <w:ilvl w:val="0"/>
          <w:numId w:val="3"/>
        </w:numPr>
        <w:tabs>
          <w:tab w:val="left" w:pos="922"/>
        </w:tabs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закрепление оттяжками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высоких элементов объекта, рассчитанными на воздействие скоростного напора ударной волны.</w:t>
      </w:r>
    </w:p>
    <w:p w:rsidR="00FF619F" w:rsidRDefault="00FF619F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ED4B9E" w:rsidP="00FF619F">
      <w:pPr>
        <w:pStyle w:val="Style4"/>
        <w:widowControl/>
        <w:spacing w:line="360" w:lineRule="auto"/>
        <w:ind w:left="709"/>
        <w:rPr>
          <w:rStyle w:val="FontStyle35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4. Прогнозирование экологической обстановки при авариях на химически опасных объектах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Экологическая безопасность функционирования химически опасных предприятий зависит от многих факторов, например, физико-химических свойств сырья, полуфабрикатов и готового продукта, характеристик технологического процесса и др. Особенностью работы с вредными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веществами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является возможность их потенциального взрыва, пожара и выброса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биосферу в количествах, представляющих опасность массового поражения людей, животных и окружающей среды.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Исходя из оценки масштабов реальной опасности, зависящей не только от токсичности вещества, но и от величины их запасов и характера распространения в атмосфере, перечень ВВ, от воздействия которых в первую очередь необходимо обеспечивать защиту, можно ограничить девятью веществами,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токсилогические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характеристики которых приведены в табл. 1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Основной характеристикой зоны химического заражения является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глубина распространения облака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зараженного воздуха. Глубина зоны химического заражения для ВВ определяется глубиной распространения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первичного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или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вторичного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облака зараженного воздуха. Первичным облаком называется облако газа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токсичного вещества, образовавшегося мгновенно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результате разрушения или разгерметизации емкости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Вторичным облаком называется облако, образовавшееся в результате испарения ВВ с площади его разлива. В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</w:rPr>
        <w:t>в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та б л.</w:t>
      </w: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2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приведены глубины опасных зон распространения первичного облака ВВ, образующегося при разрушении емкостей для хранения. Они рассчитаны для средних метеоусловий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В условиях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инверсии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глубина распространения будет увеличиваться в зависимости от скорости ветра в 1,1-3,0 раза; при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конвекции</w:t>
      </w:r>
      <w:r w:rsidR="00FF619F" w:rsidRPr="00FF619F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уменьшаться.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Время воздействия опасных концентраций зависит от типа и количества выброшенного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ВВ, а также метеоусловий в районе аварии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и может колебаться от нескольких часов до нескольких суток. Например, при выбросе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50 тыс. т ВВ при температуре окружающей среды +20 °С время действия хлора, аммиака, фосгена и сероводорода составляет 1,8: 3,2; 1,7 и 6,7 суток соответственно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Масштабы заражения ВВ в зависимости от их физических свойств и агрегатного состояния рассчитываются:</w:t>
      </w:r>
    </w:p>
    <w:p w:rsidR="00ED4B9E" w:rsidRPr="008415C3" w:rsidRDefault="00ED4B9E" w:rsidP="008415C3">
      <w:pPr>
        <w:pStyle w:val="Style12"/>
        <w:widowControl/>
        <w:numPr>
          <w:ilvl w:val="0"/>
          <w:numId w:val="2"/>
        </w:numPr>
        <w:tabs>
          <w:tab w:val="left" w:pos="912"/>
        </w:tabs>
        <w:spacing w:line="360" w:lineRule="auto"/>
        <w:ind w:firstLine="709"/>
        <w:rPr>
          <w:rStyle w:val="FontStyle36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для сжиженных газов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отдельно по первичному и вторичному облаку;</w:t>
      </w:r>
    </w:p>
    <w:p w:rsidR="00ED4B9E" w:rsidRPr="008415C3" w:rsidRDefault="00ED4B9E" w:rsidP="008415C3">
      <w:pPr>
        <w:pStyle w:val="Style12"/>
        <w:widowControl/>
        <w:numPr>
          <w:ilvl w:val="0"/>
          <w:numId w:val="2"/>
        </w:numPr>
        <w:tabs>
          <w:tab w:val="left" w:pos="912"/>
        </w:tabs>
        <w:spacing w:line="360" w:lineRule="auto"/>
        <w:ind w:firstLine="709"/>
        <w:rPr>
          <w:rStyle w:val="FontStyle36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для сжатых газов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- только по первичному облаку;</w:t>
      </w:r>
    </w:p>
    <w:p w:rsidR="00ED4B9E" w:rsidRPr="008415C3" w:rsidRDefault="00ED4B9E" w:rsidP="008415C3">
      <w:pPr>
        <w:pStyle w:val="Style12"/>
        <w:widowControl/>
        <w:numPr>
          <w:ilvl w:val="0"/>
          <w:numId w:val="2"/>
        </w:numPr>
        <w:tabs>
          <w:tab w:val="left" w:pos="883"/>
        </w:tabs>
        <w:spacing w:line="360" w:lineRule="auto"/>
        <w:ind w:firstLine="709"/>
        <w:rPr>
          <w:rStyle w:val="FontStyle36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для ядовитых жидкостей,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кипящих выше температуры окружающей среды</w:t>
      </w:r>
      <w:r w:rsidR="008415C3" w:rsidRPr="008415C3">
        <w:rPr>
          <w:rStyle w:val="FontStyle37"/>
          <w:rFonts w:ascii="Times New Roman" w:hAnsi="Times New Roman" w:cs="Times New Roman"/>
          <w:color w:val="000000"/>
          <w:sz w:val="28"/>
        </w:rPr>
        <w:t>,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- только по вторичному облаку.</w:t>
      </w:r>
    </w:p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FF619F">
      <w:pPr>
        <w:pStyle w:val="Style4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5. Определение количественных характеристик</w:t>
      </w:r>
      <w:r w:rsidR="00FF619F" w:rsidRPr="00FF619F">
        <w:rPr>
          <w:rStyle w:val="FontStyle35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выброса</w:t>
      </w:r>
      <w:r w:rsidR="008415C3">
        <w:rPr>
          <w:rStyle w:val="FontStyle35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ВВ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Площадь зоны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возможного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заражения первичным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облаком ВВ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определяется по формуле:</w:t>
      </w:r>
    </w:p>
    <w:p w:rsidR="00ED4B9E" w:rsidRPr="008415C3" w:rsidRDefault="00ED4B9E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eastAsia="en-US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  <w:lang w:val="en-US" w:eastAsia="en-US"/>
        </w:rPr>
        <w:t>S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bscript"/>
          <w:lang w:eastAsia="en-US"/>
        </w:rPr>
        <w:t>8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eastAsia="en-US"/>
        </w:rPr>
        <w:t xml:space="preserve"> = 8,72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val="en-US" w:eastAsia="en-US"/>
        </w:rPr>
        <w:t>x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eastAsia="en-US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eastAsia="en-US"/>
        </w:rPr>
        <w:t>10"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  <w:lang w:eastAsia="en-US"/>
        </w:rPr>
        <w:t>3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eastAsia="en-US"/>
        </w:rPr>
        <w:t xml:space="preserve">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val="en-US" w:eastAsia="en-US"/>
        </w:rPr>
        <w:t>x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eastAsia="en-US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eastAsia="en-US"/>
        </w:rPr>
        <w:t>Г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vertAlign w:val="superscript"/>
          <w:lang w:eastAsia="en-US"/>
        </w:rPr>
        <w:t>2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eastAsia="en-US"/>
        </w:rPr>
        <w:t xml:space="preserve"> 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val="en-US" w:eastAsia="en-US"/>
        </w:rPr>
        <w:t>x</w:t>
      </w:r>
      <w:r w:rsidRPr="008415C3">
        <w:rPr>
          <w:rStyle w:val="FontStyle38"/>
          <w:rFonts w:ascii="Times New Roman" w:hAnsi="Times New Roman" w:cs="Times New Roman"/>
          <w:color w:val="000000"/>
          <w:sz w:val="28"/>
          <w:lang w:eastAsia="en-US"/>
        </w:rPr>
        <w:t xml:space="preserve"> </w:t>
      </w:r>
      <w:r w:rsidRPr="008415C3">
        <w:rPr>
          <w:rStyle w:val="FontStyle54"/>
          <w:rFonts w:ascii="Times New Roman" w:hAnsi="Times New Roman" w:cs="Times New Roman"/>
          <w:color w:val="000000"/>
          <w:spacing w:val="0"/>
          <w:sz w:val="28"/>
          <w:lang w:eastAsia="en-US"/>
        </w:rPr>
        <w:t xml:space="preserve">ф,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  <w:lang w:eastAsia="en-US"/>
        </w:rPr>
        <w:t>км*,</w:t>
      </w:r>
    </w:p>
    <w:p w:rsidR="00ED4B9E" w:rsidRPr="008415C3" w:rsidRDefault="00FF619F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Г - глубина зоны заражения, км; </w:t>
      </w:r>
      <w:r w:rsidR="00ED4B9E" w:rsidRPr="008415C3">
        <w:rPr>
          <w:rStyle w:val="FontStyle49"/>
          <w:rFonts w:ascii="Times New Roman" w:hAnsi="Times New Roman" w:cs="Times New Roman"/>
          <w:color w:val="000000"/>
          <w:spacing w:val="0"/>
          <w:sz w:val="28"/>
        </w:rPr>
        <w:t xml:space="preserve">ср </w:t>
      </w:r>
      <w:r w:rsidR="00ED4B9E" w:rsidRPr="008415C3">
        <w:rPr>
          <w:rStyle w:val="FontStyle37"/>
          <w:rFonts w:ascii="Times New Roman" w:hAnsi="Times New Roman" w:cs="Times New Roman"/>
          <w:color w:val="000000"/>
          <w:sz w:val="28"/>
        </w:rPr>
        <w:t>- угловой размер зоны заражения, град.</w:t>
      </w:r>
    </w:p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В зависимости от скорости ветра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угловые размеры зон возможного заражения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составляют:</w:t>
      </w:r>
    </w:p>
    <w:p w:rsidR="00ED4B9E" w:rsidRPr="008415C3" w:rsidRDefault="00ED4B9E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1627"/>
        <w:gridCol w:w="1627"/>
        <w:gridCol w:w="1618"/>
        <w:gridCol w:w="1670"/>
      </w:tblGrid>
      <w:tr w:rsidR="00ED4B9E" w:rsidRPr="00FF619F"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И, м/с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&lt;0,5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0,6-1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1,1-2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&gt; 2</w:t>
            </w:r>
          </w:p>
        </w:tc>
      </w:tr>
      <w:tr w:rsidR="00ED4B9E" w:rsidRPr="00FF619F"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ф. фад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FF619F" w:rsidRDefault="00ED4B9E" w:rsidP="00FF619F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</w:tbl>
    <w:p w:rsidR="00ED4B9E" w:rsidRPr="008415C3" w:rsidRDefault="00ED4B9E" w:rsidP="008415C3">
      <w:pPr>
        <w:pStyle w:val="Style7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ED4B9E" w:rsidRDefault="00ED4B9E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Площадь зоны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фактического химического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заражения рассчитывается по формуле:</w:t>
      </w:r>
    </w:p>
    <w:p w:rsidR="00FF619F" w:rsidRPr="00FF619F" w:rsidRDefault="00FF619F" w:rsidP="008415C3">
      <w:pPr>
        <w:pStyle w:val="Style7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301D26" w:rsidP="008415C3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9" type="#_x0000_t75" style="width:147pt;height:33pt">
            <v:imagedata r:id="rId21" o:title=""/>
          </v:shape>
        </w:pict>
      </w:r>
    </w:p>
    <w:p w:rsidR="00FF619F" w:rsidRDefault="00FF619F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где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К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коэффициент, зависящий от степени вертикальной устойчивости воздуха: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при инверсии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- 0,081,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 xml:space="preserve">при изотермии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- 0,133, </w:t>
      </w:r>
      <w:r w:rsidRPr="008415C3">
        <w:rPr>
          <w:rStyle w:val="FontStyle36"/>
          <w:rFonts w:ascii="Times New Roman" w:hAnsi="Times New Roman" w:cs="Times New Roman"/>
          <w:color w:val="000000"/>
          <w:sz w:val="28"/>
        </w:rPr>
        <w:t>при конвекции -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0,235; /V- время, прошедшее после начала аварии, ч.</w:t>
      </w:r>
    </w:p>
    <w:p w:rsidR="00FF619F" w:rsidRDefault="00ED4B9E" w:rsidP="008415C3">
      <w:pPr>
        <w:pStyle w:val="Style20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Длительность подхода зараженного облака к населенному пункту, расположенному на пути его движения, определяется по формуле: </w:t>
      </w:r>
    </w:p>
    <w:p w:rsidR="00FF619F" w:rsidRPr="00FF619F" w:rsidRDefault="00FF619F" w:rsidP="008415C3">
      <w:pPr>
        <w:pStyle w:val="Style20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301D26" w:rsidP="008415C3">
      <w:pPr>
        <w:pStyle w:val="Style20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color w:val="000000"/>
          <w:sz w:val="28"/>
        </w:rPr>
      </w:pPr>
      <w:r>
        <w:rPr>
          <w:rStyle w:val="FontStyle37"/>
          <w:rFonts w:ascii="Times New Roman" w:hAnsi="Times New Roman"/>
          <w:color w:val="000000"/>
          <w:sz w:val="28"/>
        </w:rPr>
        <w:pict>
          <v:shape id="_x0000_i1040" type="#_x0000_t75" style="width:78pt;height:30.75pt">
            <v:imagedata r:id="rId22" o:title=""/>
          </v:shape>
        </w:pict>
      </w:r>
    </w:p>
    <w:p w:rsidR="00ED4B9E" w:rsidRPr="008415C3" w:rsidRDefault="00ED4B9E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4"/>
        </w:rPr>
      </w:pPr>
    </w:p>
    <w:p w:rsidR="00ED4B9E" w:rsidRPr="008415C3" w:rsidRDefault="00ED4B9E" w:rsidP="008415C3">
      <w:pPr>
        <w:pStyle w:val="Style9"/>
        <w:widowControl/>
        <w:spacing w:line="360" w:lineRule="auto"/>
        <w:ind w:firstLine="709"/>
        <w:rPr>
          <w:rStyle w:val="FontStyle37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где х - расстояние от промышленного объекта</w:t>
      </w:r>
      <w:r w:rsid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 xml:space="preserve">до населенного пункта, км; </w:t>
      </w:r>
      <w:r w:rsidRPr="008415C3">
        <w:rPr>
          <w:rStyle w:val="FontStyle50"/>
          <w:rFonts w:ascii="Times New Roman" w:hAnsi="Times New Roman" w:cs="Times New Roman"/>
          <w:color w:val="000000"/>
          <w:spacing w:val="0"/>
          <w:sz w:val="28"/>
        </w:rPr>
        <w:t xml:space="preserve">V- </w:t>
      </w:r>
      <w:r w:rsidRPr="008415C3">
        <w:rPr>
          <w:rStyle w:val="FontStyle37"/>
          <w:rFonts w:ascii="Times New Roman" w:hAnsi="Times New Roman" w:cs="Times New Roman"/>
          <w:color w:val="000000"/>
          <w:sz w:val="28"/>
        </w:rPr>
        <w:t>скорость переноса фронта облака зараженного воздуха, км/ч.</w:t>
      </w:r>
    </w:p>
    <w:p w:rsidR="00ED4B9E" w:rsidRPr="008415C3" w:rsidRDefault="00FF619F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ED4B9E" w:rsidRPr="008415C3">
        <w:rPr>
          <w:rStyle w:val="FontStyle35"/>
          <w:rFonts w:ascii="Times New Roman" w:hAnsi="Times New Roman" w:cs="Times New Roman"/>
          <w:color w:val="000000"/>
          <w:sz w:val="28"/>
        </w:rPr>
        <w:t>Критерий оценки степени загрязнения атмосферного воздуха по максимальным разовым концентрациям</w:t>
      </w:r>
    </w:p>
    <w:tbl>
      <w:tblPr>
        <w:tblW w:w="96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963"/>
        <w:gridCol w:w="1956"/>
        <w:gridCol w:w="1951"/>
        <w:gridCol w:w="1993"/>
      </w:tblGrid>
      <w:tr w:rsidR="00ED4B9E" w:rsidRPr="00FF619F">
        <w:trPr>
          <w:trHeight w:val="343"/>
          <w:jc w:val="center"/>
        </w:trPr>
        <w:tc>
          <w:tcPr>
            <w:tcW w:w="18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Класс опасности загрязнения</w:t>
            </w:r>
          </w:p>
        </w:tc>
        <w:tc>
          <w:tcPr>
            <w:tcW w:w="3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B9E" w:rsidRPr="00FF619F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Экологическое бедствие</w:t>
            </w: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D4B9E" w:rsidRPr="00FF619F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Чрезвычайная экологическая ситуация</w:t>
            </w:r>
          </w:p>
        </w:tc>
      </w:tr>
      <w:tr w:rsidR="00ED4B9E" w:rsidRPr="00FF619F">
        <w:trPr>
          <w:trHeight w:val="143"/>
          <w:jc w:val="center"/>
        </w:trPr>
        <w:tc>
          <w:tcPr>
            <w:tcW w:w="18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</w:p>
          <w:p w:rsidR="00ED4B9E" w:rsidRPr="00FF619F" w:rsidRDefault="00ED4B9E" w:rsidP="00D96A22">
            <w:pPr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B9E" w:rsidRPr="00FF619F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 xml:space="preserve">Кратность превышения ПДК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B9E" w:rsidRPr="00FF619F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% измерений выше ПДК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B9E" w:rsidRPr="00FF619F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D4B9E" w:rsidRPr="00FF619F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% измерений выше ПДК</w:t>
            </w:r>
          </w:p>
        </w:tc>
      </w:tr>
      <w:tr w:rsidR="00ED4B9E" w:rsidRPr="00FF619F">
        <w:trPr>
          <w:trHeight w:val="343"/>
          <w:jc w:val="center"/>
        </w:trPr>
        <w:tc>
          <w:tcPr>
            <w:tcW w:w="18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28"/>
              <w:widowControl/>
              <w:spacing w:line="360" w:lineRule="auto"/>
              <w:rPr>
                <w:rStyle w:val="FontStyle5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19F">
              <w:rPr>
                <w:rStyle w:val="FontStyle51"/>
                <w:rFonts w:ascii="Times New Roman" w:hAnsi="Times New Roman" w:cs="Times New Roman"/>
                <w:color w:val="000000"/>
                <w:sz w:val="20"/>
                <w:szCs w:val="20"/>
              </w:rPr>
              <w:t>\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3-5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30</w:t>
            </w:r>
          </w:p>
        </w:tc>
      </w:tr>
      <w:tr w:rsidR="00ED4B9E" w:rsidRPr="00FF619F">
        <w:trPr>
          <w:trHeight w:val="343"/>
          <w:jc w:val="center"/>
        </w:trPr>
        <w:tc>
          <w:tcPr>
            <w:tcW w:w="18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6"/>
              <w:widowControl/>
              <w:spacing w:line="360" w:lineRule="auto"/>
              <w:rPr>
                <w:rStyle w:val="FontStyle52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52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\\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7,5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5-7</w:t>
            </w: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  <w:vertAlign w:val="subscript"/>
              </w:rPr>
              <w:t>г</w:t>
            </w: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30</w:t>
            </w:r>
          </w:p>
        </w:tc>
      </w:tr>
      <w:tr w:rsidR="00ED4B9E" w:rsidRPr="00FF619F">
        <w:trPr>
          <w:trHeight w:val="343"/>
          <w:jc w:val="center"/>
        </w:trPr>
        <w:tc>
          <w:tcPr>
            <w:tcW w:w="18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  <w:lang w:val="en-US" w:eastAsia="en-US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12,5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8-12,5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50</w:t>
            </w:r>
          </w:p>
        </w:tc>
      </w:tr>
      <w:tr w:rsidR="00ED4B9E" w:rsidRPr="00FF619F">
        <w:trPr>
          <w:trHeight w:val="343"/>
          <w:jc w:val="center"/>
        </w:trPr>
        <w:tc>
          <w:tcPr>
            <w:tcW w:w="18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IV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12,5-20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FF619F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FF619F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50</w:t>
            </w:r>
          </w:p>
        </w:tc>
      </w:tr>
    </w:tbl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Критерий оценки степени загрязнения атмосферного воздуха</w:t>
      </w:r>
      <w:r w:rsidR="00D96A22" w:rsidRPr="00D96A22">
        <w:rPr>
          <w:rStyle w:val="FontStyle35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по среднесуточным концентрациям</w:t>
      </w:r>
    </w:p>
    <w:tbl>
      <w:tblPr>
        <w:tblW w:w="926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811"/>
        <w:gridCol w:w="1980"/>
        <w:gridCol w:w="1800"/>
        <w:gridCol w:w="2017"/>
      </w:tblGrid>
      <w:tr w:rsidR="00ED4B9E" w:rsidRPr="00D96A22">
        <w:trPr>
          <w:trHeight w:val="351"/>
          <w:jc w:val="center"/>
        </w:trPr>
        <w:tc>
          <w:tcPr>
            <w:tcW w:w="165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Класс опасности загрязнения</w:t>
            </w:r>
          </w:p>
        </w:tc>
        <w:tc>
          <w:tcPr>
            <w:tcW w:w="3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Экологическое бедствие</w:t>
            </w:r>
          </w:p>
        </w:tc>
        <w:tc>
          <w:tcPr>
            <w:tcW w:w="3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Чрезвычайная экологическая ситуация</w:t>
            </w:r>
          </w:p>
        </w:tc>
      </w:tr>
      <w:tr w:rsidR="00ED4B9E" w:rsidRPr="00D96A22">
        <w:trPr>
          <w:trHeight w:val="147"/>
          <w:jc w:val="center"/>
        </w:trPr>
        <w:tc>
          <w:tcPr>
            <w:tcW w:w="165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</w:p>
          <w:p w:rsidR="00ED4B9E" w:rsidRPr="00D96A22" w:rsidRDefault="00ED4B9E" w:rsidP="00D96A22">
            <w:pPr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 xml:space="preserve">Кратность превышения ПДК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 xml:space="preserve">% проб выше </w:t>
            </w: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 xml:space="preserve">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 xml:space="preserve">% проб выше К </w:t>
            </w:r>
          </w:p>
        </w:tc>
      </w:tr>
      <w:tr w:rsidR="00ED4B9E" w:rsidRPr="00D96A22">
        <w:trPr>
          <w:trHeight w:val="351"/>
          <w:jc w:val="center"/>
        </w:trPr>
        <w:tc>
          <w:tcPr>
            <w:tcW w:w="1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I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20 или 7 суток подряд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2-3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20 или 7 суток подряд</w:t>
            </w:r>
          </w:p>
        </w:tc>
      </w:tr>
      <w:tr w:rsidR="00ED4B9E" w:rsidRPr="00D96A22">
        <w:trPr>
          <w:trHeight w:val="351"/>
          <w:jc w:val="center"/>
        </w:trPr>
        <w:tc>
          <w:tcPr>
            <w:tcW w:w="1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I!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то же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3-5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то же</w:t>
            </w:r>
          </w:p>
        </w:tc>
      </w:tr>
      <w:tr w:rsidR="00ED4B9E" w:rsidRPr="00D96A22">
        <w:trPr>
          <w:trHeight w:val="351"/>
          <w:jc w:val="center"/>
        </w:trPr>
        <w:tc>
          <w:tcPr>
            <w:tcW w:w="1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II!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7,5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30 сут.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5-7,5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30 сут.</w:t>
            </w:r>
          </w:p>
        </w:tc>
      </w:tr>
      <w:tr w:rsidR="00ED4B9E" w:rsidRPr="00D96A22">
        <w:trPr>
          <w:trHeight w:val="351"/>
          <w:jc w:val="center"/>
        </w:trPr>
        <w:tc>
          <w:tcPr>
            <w:tcW w:w="1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IV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30 сут.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8,12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30 сут.</w:t>
            </w:r>
          </w:p>
        </w:tc>
      </w:tr>
    </w:tbl>
    <w:p w:rsidR="00D96A22" w:rsidRDefault="00D96A22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  <w:lang w:val="en-US"/>
        </w:rPr>
      </w:pPr>
    </w:p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Коэффициенты, отражающие конструкцию промышленного</w:t>
      </w:r>
      <w:r w:rsidR="008415C3">
        <w:rPr>
          <w:rStyle w:val="FontStyle35"/>
          <w:rFonts w:ascii="Times New Roman" w:hAnsi="Times New Roman" w:cs="Times New Roman"/>
          <w:color w:val="000000"/>
          <w:sz w:val="28"/>
        </w:rPr>
        <w:t xml:space="preserve"> </w:t>
      </w: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здания</w:t>
      </w:r>
    </w:p>
    <w:tbl>
      <w:tblPr>
        <w:tblW w:w="949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216"/>
        <w:gridCol w:w="300"/>
        <w:gridCol w:w="623"/>
        <w:gridCol w:w="431"/>
        <w:gridCol w:w="453"/>
        <w:gridCol w:w="144"/>
        <w:gridCol w:w="757"/>
        <w:gridCol w:w="70"/>
        <w:gridCol w:w="425"/>
        <w:gridCol w:w="470"/>
        <w:gridCol w:w="389"/>
        <w:gridCol w:w="396"/>
        <w:gridCol w:w="102"/>
        <w:gridCol w:w="849"/>
        <w:gridCol w:w="297"/>
        <w:gridCol w:w="236"/>
        <w:gridCol w:w="824"/>
        <w:gridCol w:w="195"/>
        <w:gridCol w:w="32"/>
        <w:gridCol w:w="880"/>
        <w:gridCol w:w="40"/>
        <w:gridCol w:w="192"/>
      </w:tblGrid>
      <w:tr w:rsidR="00ED4B9E" w:rsidRPr="00D96A22">
        <w:trPr>
          <w:gridAfter w:val="2"/>
          <w:wAfter w:w="232" w:type="dxa"/>
          <w:trHeight w:val="388"/>
          <w:jc w:val="center"/>
        </w:trPr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D4B9E" w:rsidRPr="00D96A22" w:rsidRDefault="00ED4B9E" w:rsidP="00D96A22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position w:val="-5"/>
                <w:sz w:val="20"/>
                <w:szCs w:val="20"/>
              </w:rPr>
            </w:pPr>
            <w:r w:rsidRPr="00D96A22">
              <w:rPr>
                <w:rStyle w:val="FontStyle37"/>
                <w:rFonts w:ascii="Times New Roman" w:hAnsi="Times New Roman" w:cs="Times New Roman"/>
                <w:color w:val="000000"/>
                <w:position w:val="-5"/>
                <w:sz w:val="20"/>
                <w:szCs w:val="20"/>
              </w:rPr>
              <w:t>к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4B9E" w:rsidRPr="00D96A22" w:rsidRDefault="00ED4B9E" w:rsidP="00D96A22">
            <w:pPr>
              <w:pStyle w:val="Style21"/>
              <w:widowControl/>
              <w:spacing w:line="360" w:lineRule="auto"/>
              <w:rPr>
                <w:rStyle w:val="FontStyle53"/>
                <w:rFonts w:ascii="Times New Roman" w:hAnsi="Times New Roman" w:cs="Times New Roman"/>
                <w:color w:val="000000"/>
              </w:rPr>
            </w:pPr>
            <w:r w:rsidRPr="00D96A22">
              <w:rPr>
                <w:rStyle w:val="FontStyle53"/>
                <w:rFonts w:ascii="Times New Roman" w:hAnsi="Times New Roman" w:cs="Times New Roman"/>
                <w:color w:val="000000"/>
              </w:rPr>
              <w:t>зд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D4B9E" w:rsidRPr="00D96A22" w:rsidRDefault="00ED4B9E" w:rsidP="00D96A22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position w:val="-9"/>
                <w:sz w:val="20"/>
                <w:szCs w:val="20"/>
              </w:rPr>
            </w:pPr>
            <w:r w:rsidRPr="00D96A22">
              <w:rPr>
                <w:rStyle w:val="FontStyle37"/>
                <w:rFonts w:ascii="Times New Roman" w:hAnsi="Times New Roman" w:cs="Times New Roman"/>
                <w:color w:val="000000"/>
                <w:position w:val="-9"/>
                <w:sz w:val="20"/>
                <w:szCs w:val="20"/>
              </w:rPr>
              <w:t>к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ED4B9E" w:rsidRPr="00D96A22" w:rsidRDefault="00ED4B9E" w:rsidP="00D96A22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position w:val="-2"/>
                <w:sz w:val="20"/>
                <w:szCs w:val="20"/>
                <w:vertAlign w:val="subscript"/>
              </w:rPr>
            </w:pPr>
            <w:r w:rsidRPr="00D96A22">
              <w:rPr>
                <w:rStyle w:val="FontStyle37"/>
                <w:rFonts w:ascii="Times New Roman" w:hAnsi="Times New Roman" w:cs="Times New Roman"/>
                <w:color w:val="000000"/>
                <w:position w:val="-2"/>
                <w:sz w:val="20"/>
                <w:szCs w:val="20"/>
              </w:rPr>
              <w:t>к</w:t>
            </w:r>
            <w:r w:rsidRPr="00D96A22">
              <w:rPr>
                <w:rStyle w:val="FontStyle37"/>
                <w:rFonts w:ascii="Times New Roman" w:hAnsi="Times New Roman" w:cs="Times New Roman"/>
                <w:color w:val="000000"/>
                <w:position w:val="-2"/>
                <w:sz w:val="20"/>
                <w:szCs w:val="20"/>
                <w:vertAlign w:val="subscript"/>
              </w:rPr>
              <w:t>к</w:t>
            </w:r>
          </w:p>
        </w:tc>
      </w:tr>
      <w:tr w:rsidR="00ED4B9E" w:rsidRPr="00D96A22">
        <w:trPr>
          <w:gridAfter w:val="2"/>
          <w:wAfter w:w="232" w:type="dxa"/>
          <w:trHeight w:val="388"/>
          <w:jc w:val="center"/>
        </w:trPr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Default="00D96A22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  <w:lang w:val="en-US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П</w:t>
            </w:r>
            <w:r w:rsidR="00ED4B9E"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ромыш</w:t>
            </w:r>
          </w:p>
          <w:p w:rsidR="00D96A22" w:rsidRPr="00D96A22" w:rsidRDefault="00D96A22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офис -админ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ПОЛИ.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сильн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сред.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слаб.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бескаркасн.</w:t>
            </w:r>
          </w:p>
        </w:tc>
        <w:tc>
          <w:tcPr>
            <w:tcW w:w="1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каркасн.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3"/>
              <w:widowControl/>
              <w:spacing w:line="360" w:lineRule="auto"/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мон ж/б</w:t>
            </w:r>
          </w:p>
        </w:tc>
      </w:tr>
      <w:tr w:rsidR="00ED4B9E" w:rsidRPr="00D96A22">
        <w:trPr>
          <w:gridAfter w:val="2"/>
          <w:wAfter w:w="232" w:type="dxa"/>
          <w:trHeight w:val="388"/>
          <w:jc w:val="center"/>
        </w:trPr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23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0,87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0,56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0,35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3,5</w:t>
            </w:r>
          </w:p>
        </w:tc>
      </w:tr>
      <w:tr w:rsidR="00ED4B9E" w:rsidRPr="00D96A22">
        <w:trPr>
          <w:gridAfter w:val="1"/>
          <w:wAfter w:w="192" w:type="dxa"/>
          <w:trHeight w:val="388"/>
          <w:jc w:val="center"/>
        </w:trPr>
        <w:tc>
          <w:tcPr>
            <w:tcW w:w="545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к„</w:t>
            </w:r>
          </w:p>
        </w:tc>
        <w:tc>
          <w:tcPr>
            <w:tcW w:w="38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К.</w:t>
            </w:r>
          </w:p>
        </w:tc>
      </w:tr>
      <w:tr w:rsidR="00ED4B9E" w:rsidRPr="00D96A22">
        <w:trPr>
          <w:gridAfter w:val="1"/>
          <w:wAfter w:w="192" w:type="dxa"/>
          <w:trHeight w:val="388"/>
          <w:jc w:val="center"/>
        </w:trPr>
        <w:tc>
          <w:tcPr>
            <w:tcW w:w="139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кирп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дер.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3"/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 xml:space="preserve">ж/б </w:t>
            </w: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сл</w:t>
            </w:r>
          </w:p>
        </w:tc>
        <w:tc>
          <w:tcPr>
            <w:tcW w:w="13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4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 xml:space="preserve">ж/б </w:t>
            </w: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норм.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&lt; 5 м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5-15</w:t>
            </w:r>
          </w:p>
        </w:tc>
        <w:tc>
          <w:tcPr>
            <w:tcW w:w="11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&gt; 15 м</w:t>
            </w:r>
          </w:p>
        </w:tc>
      </w:tr>
      <w:tr w:rsidR="00ED4B9E" w:rsidRPr="00D96A22">
        <w:trPr>
          <w:gridAfter w:val="1"/>
          <w:wAfter w:w="192" w:type="dxa"/>
          <w:trHeight w:val="163"/>
          <w:jc w:val="center"/>
        </w:trPr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</w:p>
          <w:p w:rsidR="00ED4B9E" w:rsidRPr="00D96A22" w:rsidRDefault="00ED4B9E" w:rsidP="00D96A22">
            <w:pPr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</w:p>
          <w:p w:rsidR="00ED4B9E" w:rsidRPr="00D96A22" w:rsidRDefault="00ED4B9E" w:rsidP="00D96A22">
            <w:pPr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армиров</w:t>
            </w:r>
          </w:p>
        </w:tc>
        <w:tc>
          <w:tcPr>
            <w:tcW w:w="135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армиров</w:t>
            </w:r>
          </w:p>
        </w:tc>
        <w:tc>
          <w:tcPr>
            <w:tcW w:w="13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B9E" w:rsidRPr="00D96A22">
        <w:trPr>
          <w:gridAfter w:val="1"/>
          <w:wAfter w:w="192" w:type="dxa"/>
          <w:trHeight w:val="388"/>
          <w:jc w:val="center"/>
        </w:trPr>
        <w:tc>
          <w:tcPr>
            <w:tcW w:w="13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1,5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0,85</w:t>
            </w:r>
          </w:p>
        </w:tc>
        <w:tc>
          <w:tcPr>
            <w:tcW w:w="1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0,8</w:t>
            </w:r>
          </w:p>
        </w:tc>
      </w:tr>
      <w:tr w:rsidR="00ED4B9E" w:rsidRPr="00D96A22">
        <w:trPr>
          <w:trHeight w:val="401"/>
          <w:jc w:val="center"/>
        </w:trPr>
        <w:tc>
          <w:tcPr>
            <w:tcW w:w="334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9"/>
              <w:widowControl/>
              <w:spacing w:line="360" w:lineRule="auto"/>
              <w:rPr>
                <w:rStyle w:val="FontStyle55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5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Кс</w:t>
            </w:r>
          </w:p>
        </w:tc>
        <w:tc>
          <w:tcPr>
            <w:tcW w:w="615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B9E" w:rsidRPr="00D96A22">
        <w:trPr>
          <w:trHeight w:val="401"/>
          <w:jc w:val="center"/>
        </w:trPr>
        <w:tc>
          <w:tcPr>
            <w:tcW w:w="16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несейсмо-стойк</w:t>
            </w: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сейсмостойк.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Ют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20 т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40 т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60 т</w:t>
            </w:r>
          </w:p>
        </w:tc>
        <w:tc>
          <w:tcPr>
            <w:tcW w:w="1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100 т</w:t>
            </w:r>
          </w:p>
        </w:tc>
      </w:tr>
      <w:tr w:rsidR="00ED4B9E" w:rsidRPr="00D96A22">
        <w:trPr>
          <w:trHeight w:val="401"/>
          <w:jc w:val="center"/>
        </w:trPr>
        <w:tc>
          <w:tcPr>
            <w:tcW w:w="16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1,5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1,05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1,1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1.2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1,3</w:t>
            </w:r>
          </w:p>
        </w:tc>
        <w:tc>
          <w:tcPr>
            <w:tcW w:w="1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1</w:t>
            </w: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,45</w:t>
            </w:r>
          </w:p>
        </w:tc>
      </w:tr>
    </w:tbl>
    <w:p w:rsidR="00CA20A7" w:rsidRDefault="00CA20A7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  <w:lang w:val="en-US"/>
        </w:rPr>
      </w:pPr>
      <w:r>
        <w:rPr>
          <w:rStyle w:val="FontStyle35"/>
          <w:rFonts w:ascii="Times New Roman" w:hAnsi="Times New Roman" w:cs="Times New Roman"/>
          <w:color w:val="000000"/>
          <w:sz w:val="28"/>
          <w:lang w:val="en-US"/>
        </w:rPr>
        <w:br w:type="page"/>
      </w:r>
    </w:p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Коэффициенты трения /между поверхностями различных конструкционных материалов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5"/>
        <w:gridCol w:w="3062"/>
      </w:tblGrid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Значение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трущихся материалов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коэффициента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Сталь по стали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0,15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Сталь по чугуну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0,3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Металл по линолеуму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0,2-0,4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Металл по дереву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0,6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Металл по бетону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0,2-0,5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Резина по твердому грунту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0,4-0,5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Резина по линолеуму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0,4-0,5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Резина по дереву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0,5-0,8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Резина по чугуну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0,8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Дерево по дереву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0,4-0,6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Кожа по чугуну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0,3-0,5</w:t>
            </w:r>
          </w:p>
        </w:tc>
      </w:tr>
      <w:tr w:rsidR="00ED4B9E" w:rsidRPr="00D96A22">
        <w:trPr>
          <w:jc w:val="center"/>
        </w:trPr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Кожа по дереву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0,4-0,6</w:t>
            </w:r>
          </w:p>
          <w:p w:rsidR="00ED4B9E" w:rsidRPr="00D96A22" w:rsidRDefault="00ED4B9E" w:rsidP="00D96A22">
            <w:pPr>
              <w:pStyle w:val="Style16"/>
              <w:widowControl/>
              <w:spacing w:line="360" w:lineRule="auto"/>
              <w:rPr>
                <w:rStyle w:val="FontStyle57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6A22">
              <w:rPr>
                <w:rStyle w:val="FontStyle57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</w:t>
            </w:r>
          </w:p>
        </w:tc>
      </w:tr>
    </w:tbl>
    <w:p w:rsidR="00ED4B9E" w:rsidRPr="008415C3" w:rsidRDefault="00ED4B9E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Коэффициенты аэродинамического сопротивления С</w:t>
      </w:r>
      <w:r w:rsidRPr="008415C3">
        <w:rPr>
          <w:rStyle w:val="FontStyle35"/>
          <w:rFonts w:ascii="Times New Roman" w:hAnsi="Times New Roman" w:cs="Times New Roman"/>
          <w:color w:val="000000"/>
          <w:sz w:val="28"/>
          <w:vertAlign w:val="subscript"/>
        </w:rPr>
        <w:t xml:space="preserve">х </w:t>
      </w: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 xml:space="preserve">для объектов различной формы </w:t>
      </w:r>
    </w:p>
    <w:tbl>
      <w:tblPr>
        <w:tblW w:w="888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6"/>
        <w:gridCol w:w="3861"/>
        <w:gridCol w:w="1126"/>
      </w:tblGrid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8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Геометрическая форма объекта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8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Направление движения воздуха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Параллелепипед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Перпендикулярно основанию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0,85</w:t>
            </w:r>
          </w:p>
        </w:tc>
      </w:tr>
      <w:tr w:rsidR="00ED4B9E" w:rsidRPr="00D96A22">
        <w:trPr>
          <w:trHeight w:val="690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То же (основание - квадрат, длина боковой стороны в 3 раза больше меньшей сто-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Перпендикулярно боковой грани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1,3</w:t>
            </w:r>
          </w:p>
        </w:tc>
      </w:tr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роны основания)</w:t>
            </w:r>
          </w:p>
        </w:tc>
        <w:tc>
          <w:tcPr>
            <w:tcW w:w="3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Куб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Перпендикулярно грани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1,5</w:t>
            </w:r>
          </w:p>
        </w:tc>
      </w:tr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Пластина квадратная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Перпендикулярно пластине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1,45</w:t>
            </w:r>
          </w:p>
        </w:tc>
      </w:tr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Диск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Перпендикулярно диску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1,6</w:t>
            </w:r>
          </w:p>
        </w:tc>
      </w:tr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 xml:space="preserve">Цилиндр </w:t>
            </w: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lang w:val="en-US"/>
              </w:rPr>
              <w:t>h/d =</w:t>
            </w: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 xml:space="preserve"> 1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Перпендикулярно оси ци-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0,4</w:t>
            </w:r>
          </w:p>
        </w:tc>
      </w:tr>
      <w:tr w:rsidR="00ED4B9E" w:rsidRPr="00D96A22">
        <w:trPr>
          <w:trHeight w:val="690"/>
          <w:jc w:val="center"/>
        </w:trPr>
        <w:tc>
          <w:tcPr>
            <w:tcW w:w="3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lang w:val="en-US" w:eastAsia="en-US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lang w:val="en-US" w:eastAsia="en-US"/>
              </w:rPr>
              <w:t>h/d = 4 h/d = 9</w:t>
            </w:r>
          </w:p>
        </w:tc>
        <w:tc>
          <w:tcPr>
            <w:tcW w:w="3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линдра</w:t>
            </w:r>
          </w:p>
          <w:p w:rsidR="00ED4B9E" w:rsidRPr="00D96A22" w:rsidRDefault="00ED4B9E" w:rsidP="00D96A22">
            <w:pPr>
              <w:pStyle w:val="Style11"/>
              <w:widowControl/>
              <w:spacing w:line="360" w:lineRule="auto"/>
              <w:rPr>
                <w:rStyle w:val="FontStyle58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5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 xml:space="preserve">о </w:t>
            </w:r>
            <w:r w:rsidRPr="00D96A22">
              <w:rPr>
                <w:rStyle w:val="FontStyle58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(*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0,43 0,46</w:t>
            </w:r>
          </w:p>
        </w:tc>
      </w:tr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Сфера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Вдоль поверхности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0,25</w:t>
            </w:r>
          </w:p>
        </w:tc>
      </w:tr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Полусфера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Параллельно плоскости основания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0,3</w:t>
            </w:r>
          </w:p>
        </w:tc>
      </w:tr>
      <w:tr w:rsidR="00ED4B9E" w:rsidRPr="00D96A22">
        <w:trPr>
          <w:trHeight w:val="345"/>
          <w:jc w:val="center"/>
        </w:trPr>
        <w:tc>
          <w:tcPr>
            <w:tcW w:w="3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Пирамида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Параллельно основанию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1,1</w:t>
            </w:r>
          </w:p>
        </w:tc>
      </w:tr>
    </w:tbl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D96A22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ED4B9E" w:rsidRPr="008415C3">
        <w:rPr>
          <w:rStyle w:val="FontStyle35"/>
          <w:rFonts w:ascii="Times New Roman" w:hAnsi="Times New Roman" w:cs="Times New Roman"/>
          <w:color w:val="000000"/>
          <w:sz w:val="28"/>
        </w:rPr>
        <w:t>Допустимые напряжения болтов на разрыв в зависимости от размеров</w:t>
      </w:r>
    </w:p>
    <w:tbl>
      <w:tblPr>
        <w:tblW w:w="92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"/>
        <w:gridCol w:w="924"/>
        <w:gridCol w:w="921"/>
        <w:gridCol w:w="917"/>
        <w:gridCol w:w="921"/>
        <w:gridCol w:w="924"/>
        <w:gridCol w:w="917"/>
        <w:gridCol w:w="921"/>
        <w:gridCol w:w="917"/>
        <w:gridCol w:w="951"/>
      </w:tblGrid>
      <w:tr w:rsidR="00ED4B9E" w:rsidRPr="00D96A22">
        <w:trPr>
          <w:trHeight w:val="393"/>
          <w:jc w:val="center"/>
        </w:trPr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18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 w:rsidRPr="00D96A22">
              <w:rPr>
                <w:rStyle w:val="FontStyle5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Размер болта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М12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М16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М20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М24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М27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МЗО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М36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М42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М46</w:t>
            </w:r>
          </w:p>
        </w:tc>
      </w:tr>
      <w:tr w:rsidR="00ED4B9E" w:rsidRPr="00D96A22">
        <w:trPr>
          <w:trHeight w:val="393"/>
          <w:jc w:val="center"/>
        </w:trPr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Op,</w:t>
            </w: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6A22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1,7х10</w:t>
            </w: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2,6х10</w:t>
            </w: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4,1x10*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  <w:vertAlign w:val="superscript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6x1</w:t>
            </w: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  <w:t>0</w:t>
            </w:r>
            <w:r w:rsidRPr="00D96A22">
              <w:rPr>
                <w:rStyle w:val="FontStyle46"/>
                <w:rFonts w:ascii="Times New Roman" w:hAnsi="Times New Roman" w:cs="Times New Roman"/>
                <w:color w:val="000000"/>
                <w:spacing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7,8х10</w:t>
            </w: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9,6x10</w:t>
            </w: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1,4x10</w:t>
            </w: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2х10</w:t>
            </w: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D96A22" w:rsidRDefault="00ED4B9E" w:rsidP="00D96A22">
            <w:pPr>
              <w:pStyle w:val="Style23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</w:rPr>
              <w:t>2,9x10</w:t>
            </w:r>
            <w:r w:rsidRPr="00D96A22">
              <w:rPr>
                <w:rStyle w:val="FontStyle59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</w:tbl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D4B9E" w:rsidRPr="008415C3" w:rsidRDefault="00ED4B9E" w:rsidP="008415C3">
      <w:pPr>
        <w:pStyle w:val="Style4"/>
        <w:widowControl/>
        <w:spacing w:line="360" w:lineRule="auto"/>
        <w:ind w:firstLine="709"/>
        <w:jc w:val="both"/>
        <w:rPr>
          <w:rStyle w:val="FontStyle35"/>
          <w:rFonts w:ascii="Times New Roman" w:hAnsi="Times New Roman" w:cs="Times New Roman"/>
          <w:color w:val="000000"/>
          <w:sz w:val="28"/>
        </w:rPr>
      </w:pPr>
      <w:r w:rsidRPr="008415C3">
        <w:rPr>
          <w:rStyle w:val="FontStyle35"/>
          <w:rFonts w:ascii="Times New Roman" w:hAnsi="Times New Roman" w:cs="Times New Roman"/>
          <w:color w:val="000000"/>
          <w:sz w:val="28"/>
        </w:rPr>
        <w:t>Основные нагрузки, воспринимаемые радиоэлектронной и оптической аппаратурой в процессе эксплуатации</w:t>
      </w:r>
    </w:p>
    <w:tbl>
      <w:tblPr>
        <w:tblW w:w="91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2"/>
        <w:gridCol w:w="3264"/>
        <w:gridCol w:w="1871"/>
      </w:tblGrid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8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Вид воздействий и параметры</w:t>
            </w:r>
          </w:p>
        </w:tc>
        <w:tc>
          <w:tcPr>
            <w:tcW w:w="5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CA20A7" w:rsidRDefault="00ED4B9E" w:rsidP="00D96A22">
            <w:pPr>
              <w:pStyle w:val="Style18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Группа аппаратуры</w:t>
            </w:r>
          </w:p>
        </w:tc>
      </w:tr>
      <w:tr w:rsidR="00ED4B9E" w:rsidRPr="00CA20A7">
        <w:trPr>
          <w:trHeight w:val="159"/>
          <w:jc w:val="center"/>
        </w:trPr>
        <w:tc>
          <w:tcPr>
            <w:tcW w:w="4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8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Наземная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CA20A7" w:rsidRDefault="00ED4B9E" w:rsidP="00D96A22">
            <w:pPr>
              <w:pStyle w:val="Style18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Авиационная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Ударные сотрясения: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4B9E" w:rsidRPr="00CA20A7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vertAlign w:val="superscript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- ускорение, м/с</w:t>
            </w: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10-15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D4B9E" w:rsidRPr="00CA20A7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6-12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- длительность, мс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5-10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CA20A7" w:rsidRDefault="00ED4B9E" w:rsidP="00D96A22">
            <w:pPr>
              <w:pStyle w:val="Style18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 xml:space="preserve">ДО </w:t>
            </w: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15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Вид воздействий и параметры</w:t>
            </w:r>
          </w:p>
        </w:tc>
        <w:tc>
          <w:tcPr>
            <w:tcW w:w="5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CA20A7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Группа аппаратуры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Наземная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CA20A7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Авиационная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Одиночные удары: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4B9E" w:rsidRPr="00CA20A7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vertAlign w:val="superscript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- ускорение, м/с</w:t>
            </w: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50-1000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ED4B9E" w:rsidRPr="00CA20A7" w:rsidRDefault="00ED4B9E" w:rsidP="00D96A22">
            <w:pPr>
              <w:pStyle w:val="Style24"/>
              <w:widowControl/>
              <w:spacing w:line="360" w:lineRule="auto"/>
              <w:rPr>
                <w:rStyle w:val="FontStyle60"/>
                <w:rFonts w:ascii="Times New Roman" w:hAnsi="Times New Roman" w:cs="Times New Roman"/>
                <w:b w:val="0"/>
                <w:color w:val="000000"/>
                <w:position w:val="-3"/>
                <w:sz w:val="20"/>
                <w:szCs w:val="20"/>
              </w:rPr>
            </w:pPr>
            <w:r w:rsidRPr="00CA20A7">
              <w:rPr>
                <w:rStyle w:val="FontStyle60"/>
                <w:rFonts w:ascii="Times New Roman" w:hAnsi="Times New Roman" w:cs="Times New Roman"/>
                <w:b w:val="0"/>
                <w:color w:val="000000"/>
                <w:position w:val="-3"/>
                <w:sz w:val="20"/>
                <w:szCs w:val="20"/>
              </w:rPr>
              <w:t>—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- длительность, мс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0,5-10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ED4B9E" w:rsidRPr="00CA20A7" w:rsidRDefault="00ED4B9E" w:rsidP="00D96A22">
            <w:pPr>
              <w:pStyle w:val="Style24"/>
              <w:widowControl/>
              <w:spacing w:line="360" w:lineRule="auto"/>
              <w:rPr>
                <w:rStyle w:val="FontStyle60"/>
                <w:rFonts w:ascii="Times New Roman" w:hAnsi="Times New Roman" w:cs="Times New Roman"/>
                <w:b w:val="0"/>
                <w:color w:val="000000"/>
                <w:position w:val="-3"/>
                <w:sz w:val="20"/>
                <w:szCs w:val="20"/>
              </w:rPr>
            </w:pPr>
            <w:r w:rsidRPr="00CA20A7">
              <w:rPr>
                <w:rStyle w:val="FontStyle60"/>
                <w:rFonts w:ascii="Times New Roman" w:hAnsi="Times New Roman" w:cs="Times New Roman"/>
                <w:b w:val="0"/>
                <w:color w:val="000000"/>
                <w:position w:val="-3"/>
                <w:sz w:val="20"/>
                <w:szCs w:val="20"/>
              </w:rPr>
              <w:t>—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vertAlign w:val="superscript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Линейное ускорение, м/с</w:t>
            </w: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2-5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-10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Вибрация: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4B9E" w:rsidRPr="00CA20A7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- частота, Гц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10-70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5-2000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vertAlign w:val="superscript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- ускорение, м/с</w:t>
            </w: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2"/>
              <w:widowControl/>
              <w:spacing w:line="360" w:lineRule="auto"/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1</w:t>
            </w:r>
            <w:r w:rsidRPr="00CA20A7">
              <w:rPr>
                <w:rStyle w:val="FontStyle37"/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CA20A7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 xml:space="preserve">до </w:t>
            </w: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20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Ветровая нагрузка: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4B9E" w:rsidRPr="00CA20A7" w:rsidRDefault="00ED4B9E" w:rsidP="00D96A22">
            <w:pPr>
              <w:pStyle w:val="Style1"/>
              <w:widowControl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- рабочая, м/с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до 50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D4B9E" w:rsidRPr="00CA20A7" w:rsidRDefault="00ED4B9E" w:rsidP="00D96A22">
            <w:pPr>
              <w:pStyle w:val="Style14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0A7">
              <w:rPr>
                <w:rStyle w:val="FontStyle61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D4B9E" w:rsidRPr="00CA20A7">
        <w:trPr>
          <w:trHeight w:val="381"/>
          <w:jc w:val="center"/>
        </w:trPr>
        <w:tc>
          <w:tcPr>
            <w:tcW w:w="4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3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- предельная, м/с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9E" w:rsidRPr="00CA20A7" w:rsidRDefault="00ED4B9E" w:rsidP="00D96A22">
            <w:pPr>
              <w:pStyle w:val="Style17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</w:pPr>
            <w:r w:rsidRPr="00CA20A7">
              <w:rPr>
                <w:rStyle w:val="FontStyle5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 xml:space="preserve">ДО </w:t>
            </w:r>
            <w:r w:rsidRPr="00CA20A7">
              <w:rPr>
                <w:rStyle w:val="FontStyle46"/>
                <w:rFonts w:ascii="Times New Roman" w:hAnsi="Times New Roman" w:cs="Times New Roman"/>
                <w:b w:val="0"/>
                <w:color w:val="000000"/>
                <w:spacing w:val="0"/>
                <w:sz w:val="20"/>
                <w:szCs w:val="20"/>
              </w:rPr>
              <w:t>70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D4B9E" w:rsidRPr="00CA20A7" w:rsidRDefault="00ED4B9E" w:rsidP="00D96A22">
            <w:pPr>
              <w:pStyle w:val="Style5"/>
              <w:widowControl/>
              <w:spacing w:line="360" w:lineRule="auto"/>
              <w:rPr>
                <w:rStyle w:val="FontStyle62"/>
                <w:rFonts w:ascii="Times New Roman" w:hAnsi="Times New Roman" w:cs="Times New Roman"/>
                <w:b w:val="0"/>
                <w:color w:val="000000"/>
                <w:position w:val="-3"/>
                <w:sz w:val="20"/>
                <w:szCs w:val="20"/>
              </w:rPr>
            </w:pPr>
            <w:r w:rsidRPr="00CA20A7">
              <w:rPr>
                <w:rStyle w:val="FontStyle62"/>
                <w:rFonts w:ascii="Times New Roman" w:hAnsi="Times New Roman" w:cs="Times New Roman"/>
                <w:b w:val="0"/>
                <w:color w:val="000000"/>
                <w:position w:val="-3"/>
                <w:sz w:val="20"/>
                <w:szCs w:val="20"/>
              </w:rPr>
              <w:t>-</w:t>
            </w:r>
          </w:p>
        </w:tc>
      </w:tr>
    </w:tbl>
    <w:p w:rsidR="008415C3" w:rsidRPr="008415C3" w:rsidRDefault="008415C3" w:rsidP="008415C3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sectPr w:rsidR="008415C3" w:rsidRPr="008415C3" w:rsidSect="008415C3">
      <w:pgSz w:w="11906" w:h="16838"/>
      <w:pgMar w:top="1134" w:right="850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70" w:rsidRDefault="00472370">
      <w:r>
        <w:separator/>
      </w:r>
    </w:p>
  </w:endnote>
  <w:endnote w:type="continuationSeparator" w:id="0">
    <w:p w:rsidR="00472370" w:rsidRDefault="0047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70" w:rsidRDefault="00472370">
      <w:r>
        <w:separator/>
      </w:r>
    </w:p>
  </w:footnote>
  <w:footnote w:type="continuationSeparator" w:id="0">
    <w:p w:rsidR="00472370" w:rsidRDefault="0047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D6C66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rebuchet MS" w:hAnsi="Trebuchet MS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rebuchet MS" w:hAnsi="Trebuchet MS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rebuchet MS" w:hAnsi="Trebuchet M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431"/>
    <w:rsid w:val="00042EDB"/>
    <w:rsid w:val="000E03B8"/>
    <w:rsid w:val="0011746A"/>
    <w:rsid w:val="00210D03"/>
    <w:rsid w:val="002D58FB"/>
    <w:rsid w:val="00301D26"/>
    <w:rsid w:val="00472370"/>
    <w:rsid w:val="0072138F"/>
    <w:rsid w:val="00730734"/>
    <w:rsid w:val="007C1B21"/>
    <w:rsid w:val="008024EB"/>
    <w:rsid w:val="008415C3"/>
    <w:rsid w:val="00867338"/>
    <w:rsid w:val="00A96431"/>
    <w:rsid w:val="00BB4C9E"/>
    <w:rsid w:val="00CA20A7"/>
    <w:rsid w:val="00D96A22"/>
    <w:rsid w:val="00ED4B9E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AF900E86-2B06-413A-91BB-3777BE3C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475" w:lineRule="exact"/>
      <w:jc w:val="center"/>
    </w:pPr>
  </w:style>
  <w:style w:type="paragraph" w:customStyle="1" w:styleId="Style4">
    <w:name w:val="Style4"/>
    <w:basedOn w:val="a"/>
    <w:pPr>
      <w:spacing w:line="446" w:lineRule="exact"/>
      <w:jc w:val="center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420" w:lineRule="exact"/>
      <w:ind w:firstLine="605"/>
      <w:jc w:val="both"/>
    </w:pPr>
  </w:style>
  <w:style w:type="paragraph" w:customStyle="1" w:styleId="Style8">
    <w:name w:val="Style8"/>
    <w:basedOn w:val="a"/>
    <w:pPr>
      <w:spacing w:line="422" w:lineRule="exact"/>
      <w:ind w:firstLine="581"/>
      <w:jc w:val="both"/>
    </w:pPr>
  </w:style>
  <w:style w:type="paragraph" w:customStyle="1" w:styleId="Style9">
    <w:name w:val="Style9"/>
    <w:basedOn w:val="a"/>
    <w:pPr>
      <w:spacing w:line="432" w:lineRule="exact"/>
      <w:jc w:val="both"/>
    </w:pPr>
  </w:style>
  <w:style w:type="paragraph" w:customStyle="1" w:styleId="Style10">
    <w:name w:val="Style10"/>
    <w:basedOn w:val="a"/>
    <w:pPr>
      <w:spacing w:line="432" w:lineRule="exact"/>
      <w:ind w:firstLine="576"/>
      <w:jc w:val="both"/>
    </w:pPr>
  </w:style>
  <w:style w:type="paragraph" w:customStyle="1" w:styleId="Style11">
    <w:name w:val="Style11"/>
    <w:basedOn w:val="a"/>
    <w:pPr>
      <w:spacing w:line="360" w:lineRule="exact"/>
    </w:pPr>
  </w:style>
  <w:style w:type="paragraph" w:customStyle="1" w:styleId="Style12">
    <w:name w:val="Style12"/>
    <w:basedOn w:val="a"/>
    <w:pPr>
      <w:spacing w:line="432" w:lineRule="exact"/>
      <w:ind w:firstLine="576"/>
      <w:jc w:val="both"/>
    </w:pPr>
  </w:style>
  <w:style w:type="paragraph" w:customStyle="1" w:styleId="Style13">
    <w:name w:val="Style13"/>
    <w:basedOn w:val="a"/>
    <w:pPr>
      <w:spacing w:line="336" w:lineRule="exact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  <w:pPr>
      <w:spacing w:line="374" w:lineRule="exact"/>
      <w:jc w:val="center"/>
    </w:pPr>
  </w:style>
  <w:style w:type="paragraph" w:customStyle="1" w:styleId="Style18">
    <w:name w:val="Style18"/>
    <w:basedOn w:val="a"/>
    <w:pPr>
      <w:spacing w:line="317" w:lineRule="exact"/>
      <w:jc w:val="both"/>
    </w:pPr>
  </w:style>
  <w:style w:type="paragraph" w:customStyle="1" w:styleId="Style19">
    <w:name w:val="Style19"/>
    <w:basedOn w:val="a"/>
    <w:pPr>
      <w:spacing w:line="437" w:lineRule="exact"/>
      <w:ind w:firstLine="605"/>
      <w:jc w:val="both"/>
    </w:pPr>
  </w:style>
  <w:style w:type="paragraph" w:customStyle="1" w:styleId="Style20">
    <w:name w:val="Style20"/>
    <w:basedOn w:val="a"/>
    <w:pPr>
      <w:spacing w:line="754" w:lineRule="exact"/>
      <w:ind w:firstLine="547"/>
    </w:pPr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  <w:pPr>
      <w:spacing w:line="2246" w:lineRule="exact"/>
    </w:pPr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  <w:pPr>
      <w:spacing w:line="342" w:lineRule="exact"/>
      <w:jc w:val="center"/>
    </w:pPr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character" w:customStyle="1" w:styleId="FontStyle34">
    <w:name w:val="Font Style34"/>
    <w:basedOn w:val="a0"/>
    <w:rPr>
      <w:rFonts w:ascii="Bookman Old Style" w:hAnsi="Bookman Old Style" w:cs="Bookman Old Style"/>
      <w:b/>
      <w:bCs/>
      <w:sz w:val="38"/>
      <w:szCs w:val="38"/>
    </w:rPr>
  </w:style>
  <w:style w:type="character" w:customStyle="1" w:styleId="FontStyle35">
    <w:name w:val="Font Style35"/>
    <w:basedOn w:val="a0"/>
    <w:rPr>
      <w:rFonts w:ascii="Trebuchet MS" w:hAnsi="Trebuchet MS" w:cs="Trebuchet MS"/>
      <w:b/>
      <w:bCs/>
      <w:sz w:val="34"/>
      <w:szCs w:val="34"/>
    </w:rPr>
  </w:style>
  <w:style w:type="character" w:customStyle="1" w:styleId="FontStyle36">
    <w:name w:val="Font Style36"/>
    <w:basedOn w:val="a0"/>
    <w:rPr>
      <w:rFonts w:ascii="Trebuchet MS" w:hAnsi="Trebuchet MS" w:cs="Trebuchet MS"/>
      <w:i/>
      <w:iCs/>
      <w:sz w:val="34"/>
      <w:szCs w:val="34"/>
    </w:rPr>
  </w:style>
  <w:style w:type="character" w:customStyle="1" w:styleId="FontStyle37">
    <w:name w:val="Font Style37"/>
    <w:basedOn w:val="a0"/>
    <w:rPr>
      <w:rFonts w:ascii="Trebuchet MS" w:hAnsi="Trebuchet MS" w:cs="Trebuchet MS"/>
      <w:sz w:val="34"/>
      <w:szCs w:val="34"/>
    </w:rPr>
  </w:style>
  <w:style w:type="character" w:customStyle="1" w:styleId="FontStyle38">
    <w:name w:val="Font Style38"/>
    <w:basedOn w:val="a0"/>
    <w:rPr>
      <w:rFonts w:ascii="Trebuchet MS" w:hAnsi="Trebuchet MS" w:cs="Trebuchet MS"/>
      <w:b/>
      <w:bCs/>
      <w:sz w:val="32"/>
      <w:szCs w:val="32"/>
    </w:rPr>
  </w:style>
  <w:style w:type="character" w:customStyle="1" w:styleId="FontStyle39">
    <w:name w:val="Font Style39"/>
    <w:basedOn w:val="a0"/>
    <w:rPr>
      <w:rFonts w:ascii="Trebuchet MS" w:hAnsi="Trebuchet MS" w:cs="Trebuchet MS"/>
      <w:b/>
      <w:bCs/>
      <w:i/>
      <w:iCs/>
      <w:sz w:val="36"/>
      <w:szCs w:val="36"/>
    </w:rPr>
  </w:style>
  <w:style w:type="character" w:customStyle="1" w:styleId="FontStyle40">
    <w:name w:val="Font Style40"/>
    <w:basedOn w:val="a0"/>
    <w:rPr>
      <w:rFonts w:ascii="Arial" w:hAnsi="Arial" w:cs="Arial"/>
      <w:i/>
      <w:iCs/>
      <w:sz w:val="32"/>
      <w:szCs w:val="32"/>
    </w:rPr>
  </w:style>
  <w:style w:type="character" w:customStyle="1" w:styleId="FontStyle41">
    <w:name w:val="Font Style41"/>
    <w:basedOn w:val="a0"/>
    <w:rPr>
      <w:rFonts w:ascii="Microsoft Sans Serif" w:hAnsi="Microsoft Sans Serif" w:cs="Microsoft Sans Serif"/>
      <w:i/>
      <w:iCs/>
      <w:sz w:val="34"/>
      <w:szCs w:val="34"/>
    </w:rPr>
  </w:style>
  <w:style w:type="character" w:customStyle="1" w:styleId="FontStyle42">
    <w:name w:val="Font Style42"/>
    <w:basedOn w:val="a0"/>
    <w:rPr>
      <w:rFonts w:ascii="Trebuchet MS" w:hAnsi="Trebuchet MS" w:cs="Trebuchet MS"/>
      <w:b/>
      <w:bCs/>
      <w:i/>
      <w:iCs/>
      <w:sz w:val="36"/>
      <w:szCs w:val="36"/>
    </w:rPr>
  </w:style>
  <w:style w:type="character" w:customStyle="1" w:styleId="FontStyle43">
    <w:name w:val="Font Style43"/>
    <w:basedOn w:val="a0"/>
    <w:rPr>
      <w:rFonts w:ascii="Franklin Gothic Medium" w:hAnsi="Franklin Gothic Medium" w:cs="Franklin Gothic Medium"/>
      <w:i/>
      <w:iCs/>
      <w:sz w:val="34"/>
      <w:szCs w:val="34"/>
    </w:rPr>
  </w:style>
  <w:style w:type="character" w:customStyle="1" w:styleId="FontStyle44">
    <w:name w:val="Font Style44"/>
    <w:basedOn w:val="a0"/>
    <w:rPr>
      <w:rFonts w:ascii="Courier New" w:hAnsi="Courier New" w:cs="Courier New"/>
      <w:b/>
      <w:bCs/>
      <w:i/>
      <w:iCs/>
      <w:spacing w:val="-20"/>
      <w:sz w:val="38"/>
      <w:szCs w:val="38"/>
    </w:rPr>
  </w:style>
  <w:style w:type="character" w:customStyle="1" w:styleId="FontStyle45">
    <w:name w:val="Font Style45"/>
    <w:basedOn w:val="a0"/>
    <w:rPr>
      <w:rFonts w:ascii="Trebuchet MS" w:hAnsi="Trebuchet MS" w:cs="Trebuchet MS"/>
      <w:b/>
      <w:bCs/>
      <w:i/>
      <w:iCs/>
      <w:sz w:val="24"/>
      <w:szCs w:val="24"/>
    </w:rPr>
  </w:style>
  <w:style w:type="character" w:customStyle="1" w:styleId="FontStyle46">
    <w:name w:val="Font Style46"/>
    <w:basedOn w:val="a0"/>
    <w:rPr>
      <w:rFonts w:ascii="Trebuchet MS" w:hAnsi="Trebuchet MS" w:cs="Trebuchet MS"/>
      <w:b/>
      <w:bCs/>
      <w:spacing w:val="-10"/>
      <w:sz w:val="30"/>
      <w:szCs w:val="30"/>
    </w:rPr>
  </w:style>
  <w:style w:type="character" w:customStyle="1" w:styleId="FontStyle47">
    <w:name w:val="Font Style47"/>
    <w:basedOn w:val="a0"/>
    <w:rPr>
      <w:rFonts w:ascii="Trebuchet MS" w:hAnsi="Trebuchet MS" w:cs="Trebuchet MS"/>
      <w:i/>
      <w:iCs/>
      <w:sz w:val="32"/>
      <w:szCs w:val="32"/>
    </w:rPr>
  </w:style>
  <w:style w:type="character" w:customStyle="1" w:styleId="FontStyle48">
    <w:name w:val="Font Style48"/>
    <w:basedOn w:val="a0"/>
    <w:rPr>
      <w:rFonts w:ascii="Trebuchet MS" w:hAnsi="Trebuchet MS" w:cs="Trebuchet MS"/>
      <w:b/>
      <w:bCs/>
      <w:spacing w:val="-10"/>
      <w:sz w:val="34"/>
      <w:szCs w:val="34"/>
    </w:rPr>
  </w:style>
  <w:style w:type="character" w:customStyle="1" w:styleId="FontStyle49">
    <w:name w:val="Font Style49"/>
    <w:basedOn w:val="a0"/>
    <w:rPr>
      <w:rFonts w:ascii="Trebuchet MS" w:hAnsi="Trebuchet MS" w:cs="Trebuchet MS"/>
      <w:i/>
      <w:iCs/>
      <w:spacing w:val="-30"/>
      <w:sz w:val="26"/>
      <w:szCs w:val="26"/>
    </w:rPr>
  </w:style>
  <w:style w:type="character" w:customStyle="1" w:styleId="FontStyle50">
    <w:name w:val="Font Style50"/>
    <w:basedOn w:val="a0"/>
    <w:rPr>
      <w:rFonts w:ascii="Trebuchet MS" w:hAnsi="Trebuchet MS" w:cs="Trebuchet MS"/>
      <w:b/>
      <w:bCs/>
      <w:i/>
      <w:iCs/>
      <w:spacing w:val="70"/>
      <w:sz w:val="34"/>
      <w:szCs w:val="34"/>
    </w:rPr>
  </w:style>
  <w:style w:type="character" w:customStyle="1" w:styleId="FontStyle51">
    <w:name w:val="Font Style51"/>
    <w:basedOn w:val="a0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52">
    <w:name w:val="Font Style52"/>
    <w:basedOn w:val="a0"/>
    <w:rPr>
      <w:rFonts w:ascii="Garamond" w:hAnsi="Garamond" w:cs="Garamond"/>
      <w:b/>
      <w:bCs/>
      <w:i/>
      <w:iCs/>
      <w:spacing w:val="-30"/>
      <w:sz w:val="28"/>
      <w:szCs w:val="28"/>
    </w:rPr>
  </w:style>
  <w:style w:type="character" w:customStyle="1" w:styleId="FontStyle53">
    <w:name w:val="Font Style53"/>
    <w:basedOn w:val="a0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a0"/>
    <w:rPr>
      <w:rFonts w:ascii="Trebuchet MS" w:hAnsi="Trebuchet MS" w:cs="Trebuchet MS"/>
      <w:b/>
      <w:bCs/>
      <w:spacing w:val="-10"/>
      <w:sz w:val="26"/>
      <w:szCs w:val="26"/>
    </w:rPr>
  </w:style>
  <w:style w:type="character" w:customStyle="1" w:styleId="FontStyle55">
    <w:name w:val="Font Style55"/>
    <w:basedOn w:val="a0"/>
    <w:rPr>
      <w:rFonts w:ascii="Trebuchet MS" w:hAnsi="Trebuchet MS" w:cs="Trebuchet MS"/>
      <w:b/>
      <w:bCs/>
      <w:spacing w:val="-20"/>
      <w:sz w:val="22"/>
      <w:szCs w:val="22"/>
    </w:rPr>
  </w:style>
  <w:style w:type="character" w:customStyle="1" w:styleId="FontStyle56">
    <w:name w:val="Font Style56"/>
    <w:basedOn w:val="a0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57">
    <w:name w:val="Font Style57"/>
    <w:basedOn w:val="a0"/>
    <w:rPr>
      <w:rFonts w:ascii="Consolas" w:hAnsi="Consolas" w:cs="Consolas"/>
      <w:b/>
      <w:bCs/>
      <w:i/>
      <w:iCs/>
      <w:sz w:val="10"/>
      <w:szCs w:val="10"/>
    </w:rPr>
  </w:style>
  <w:style w:type="character" w:customStyle="1" w:styleId="FontStyle58">
    <w:name w:val="Font Style58"/>
    <w:basedOn w:val="a0"/>
    <w:rPr>
      <w:rFonts w:ascii="Franklin Gothic Medium" w:hAnsi="Franklin Gothic Medium" w:cs="Franklin Gothic Medium"/>
      <w:spacing w:val="10"/>
      <w:sz w:val="10"/>
      <w:szCs w:val="10"/>
    </w:rPr>
  </w:style>
  <w:style w:type="character" w:customStyle="1" w:styleId="FontStyle59">
    <w:name w:val="Font Style59"/>
    <w:basedOn w:val="a0"/>
    <w:rPr>
      <w:rFonts w:ascii="Trebuchet MS" w:hAnsi="Trebuchet MS" w:cs="Trebuchet MS"/>
      <w:b/>
      <w:bCs/>
      <w:sz w:val="26"/>
      <w:szCs w:val="26"/>
    </w:rPr>
  </w:style>
  <w:style w:type="character" w:customStyle="1" w:styleId="FontStyle60">
    <w:name w:val="Font Style60"/>
    <w:basedOn w:val="a0"/>
    <w:rPr>
      <w:rFonts w:ascii="Trebuchet MS" w:hAnsi="Trebuchet MS" w:cs="Trebuchet MS"/>
      <w:b/>
      <w:bCs/>
      <w:sz w:val="28"/>
      <w:szCs w:val="28"/>
    </w:rPr>
  </w:style>
  <w:style w:type="character" w:customStyle="1" w:styleId="FontStyle61">
    <w:name w:val="Font Style61"/>
    <w:basedOn w:val="a0"/>
    <w:rPr>
      <w:rFonts w:ascii="Arial" w:hAnsi="Arial" w:cs="Arial"/>
      <w:i/>
      <w:iCs/>
      <w:sz w:val="30"/>
      <w:szCs w:val="30"/>
    </w:rPr>
  </w:style>
  <w:style w:type="character" w:customStyle="1" w:styleId="FontStyle62">
    <w:name w:val="Font Style62"/>
    <w:basedOn w:val="a0"/>
    <w:rPr>
      <w:rFonts w:ascii="Trebuchet MS" w:hAnsi="Trebuchet MS" w:cs="Trebuchet MS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Экологическая безопасность человека, биосферы и промышленных объектов в условиях техногенных чрезвычайных ситуаций и аварий</vt:lpstr>
    </vt:vector>
  </TitlesOfParts>
  <Company/>
  <LinksUpToDate>false</LinksUpToDate>
  <CharactersWithSpaces>20797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Экологическая безопасность человека, биосферы и промышленных объектов в условиях техногенных чрезвычайных ситуаций и аварий</dc:title>
  <dc:subject/>
  <dc:creator>FuckYouBill</dc:creator>
  <cp:keywords/>
  <dc:description/>
  <cp:lastModifiedBy>admin</cp:lastModifiedBy>
  <cp:revision>2</cp:revision>
  <dcterms:created xsi:type="dcterms:W3CDTF">2014-04-24T16:57:00Z</dcterms:created>
  <dcterms:modified xsi:type="dcterms:W3CDTF">2014-04-24T16:57:00Z</dcterms:modified>
</cp:coreProperties>
</file>