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Pr="00974CD7" w:rsidRDefault="00142F1F" w:rsidP="00142F1F">
      <w:pPr>
        <w:pStyle w:val="af"/>
      </w:pPr>
    </w:p>
    <w:p w:rsidR="00142F1F" w:rsidRPr="00974CD7" w:rsidRDefault="00142F1F" w:rsidP="00142F1F">
      <w:pPr>
        <w:pStyle w:val="af"/>
      </w:pPr>
      <w:r w:rsidRPr="00974CD7">
        <w:t>Реферат</w:t>
      </w:r>
    </w:p>
    <w:p w:rsidR="00142F1F" w:rsidRDefault="00142F1F" w:rsidP="00142F1F">
      <w:pPr>
        <w:pStyle w:val="af"/>
      </w:pPr>
      <w:r w:rsidRPr="00974CD7">
        <w:t>на тему:</w:t>
      </w:r>
    </w:p>
    <w:p w:rsidR="00142F1F" w:rsidRPr="00240812" w:rsidRDefault="00142F1F" w:rsidP="00142F1F">
      <w:pPr>
        <w:pStyle w:val="af"/>
      </w:pPr>
      <w:r>
        <w:t>"</w:t>
      </w:r>
      <w:r w:rsidRPr="00974CD7">
        <w:t xml:space="preserve">Эксперименты </w:t>
      </w:r>
      <w:r w:rsidRPr="00240812">
        <w:t>с ЯМР-спектрометром"</w:t>
      </w: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Default="00142F1F" w:rsidP="00142F1F">
      <w:pPr>
        <w:pStyle w:val="af"/>
      </w:pPr>
    </w:p>
    <w:p w:rsidR="00142F1F" w:rsidRPr="00974CD7" w:rsidRDefault="00142F1F" w:rsidP="00142F1F">
      <w:pPr>
        <w:pStyle w:val="af"/>
      </w:pPr>
    </w:p>
    <w:p w:rsidR="00142F1F" w:rsidRPr="00974CD7" w:rsidRDefault="00142F1F" w:rsidP="00142F1F">
      <w:pPr>
        <w:pStyle w:val="af"/>
      </w:pPr>
      <w:r w:rsidRPr="00974CD7">
        <w:t>2009</w:t>
      </w:r>
    </w:p>
    <w:p w:rsidR="00142F1F" w:rsidRPr="00974CD7" w:rsidRDefault="00142F1F" w:rsidP="00142F1F">
      <w:pPr>
        <w:pStyle w:val="2"/>
      </w:pPr>
      <w:r w:rsidRPr="00974CD7">
        <w:br w:type="page"/>
        <w:t>Введение</w:t>
      </w:r>
    </w:p>
    <w:p w:rsidR="00142F1F" w:rsidRDefault="00142F1F" w:rsidP="00142F1F"/>
    <w:p w:rsidR="00142F1F" w:rsidRDefault="00142F1F" w:rsidP="00142F1F">
      <w:r w:rsidRPr="00974CD7">
        <w:t xml:space="preserve">Проанализируем экспериментальные методы и принципиальную схему ЯМР-спектрометра. Исторически более ранняя версия 5ШР - непрерывный 5ШР - в настоящее время в значительной степени вытеснена фурье-спектроскопией. Следует отметить, однако, что непрерывный ЯМР существенно проще для понимания, поскольку здесь, как в классической спектроскопии, поглощение электромагнитных квантов является функцией их частоты. В противоположность этому в импульсной спектроскопии ЯМР-сигнал зависит от времени и детектируется как спад свободной индукции. Только математическая процедура - преобразование </w:t>
      </w:r>
      <w:r w:rsidR="00251554">
        <w:t>Ф</w:t>
      </w:r>
      <w:r w:rsidRPr="00974CD7">
        <w:t xml:space="preserve">урье - превращает этот сигнал во временном представлении в сигнал в частотном представлении, </w:t>
      </w:r>
      <w:r>
        <w:t>т.е.</w:t>
      </w:r>
      <w:r w:rsidRPr="00974CD7">
        <w:t xml:space="preserve"> в частотный спектр, который, по крайней мере в простых случаях, эквивалентен спектру, получаемому при непрерывной регистрации. Однако фурье-спектроскопия по сравнению с методами непрерывной регистрации значительно превосходит их по своей чувствительности и гибкости. Как увидим в дальнейшем, ЯМР-спектрометры имеют много общих свойств, несмотря на то что, например, ЯМР-томограф по своему пространственному разрешению, очевидно, отличается от спектрометра высокого разрешения.</w:t>
      </w:r>
    </w:p>
    <w:p w:rsidR="00142F1F" w:rsidRPr="00974CD7" w:rsidRDefault="00142F1F" w:rsidP="00142F1F">
      <w:pPr>
        <w:pStyle w:val="2"/>
      </w:pPr>
      <w:r w:rsidRPr="00974CD7">
        <w:br w:type="page"/>
        <w:t>1. Непрерывный ЯМР</w:t>
      </w:r>
    </w:p>
    <w:p w:rsidR="00142F1F" w:rsidRDefault="00142F1F" w:rsidP="00142F1F"/>
    <w:p w:rsidR="00142F1F" w:rsidRDefault="00142F1F" w:rsidP="00142F1F">
      <w:r w:rsidRPr="00974CD7">
        <w:t xml:space="preserve">В простейшем варианте ЯМР-спектроскопии, который применялся первые двадцать лет с момента открытия этого метода для измерения спектров ЯМР высокого разрешения, образец помещается в однородное магнитное поле и подвергается непрерывному воздействию РЧ поля, которое варьируется по частоте в области существования линий поглощения ЯМР для данного образца. Этот метод называется </w:t>
      </w:r>
      <w:r w:rsidRPr="00974CD7">
        <w:rPr>
          <w:lang w:val="en-US"/>
        </w:rPr>
        <w:t>cw</w:t>
      </w:r>
      <w:r w:rsidRPr="00974CD7">
        <w:t>-ЯМР.</w:t>
      </w:r>
    </w:p>
    <w:p w:rsidR="00142F1F" w:rsidRDefault="00142F1F" w:rsidP="00142F1F">
      <w:r w:rsidRPr="00974CD7">
        <w:t>В общем случае частота - во вращающейся системе координат - равны нулю):</w:t>
      </w:r>
    </w:p>
    <w:p w:rsidR="00142F1F" w:rsidRDefault="00142F1F" w:rsidP="00142F1F"/>
    <w:p w:rsidR="00142F1F" w:rsidRPr="00974CD7" w:rsidRDefault="00765F2D" w:rsidP="00142F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6.75pt">
            <v:imagedata r:id="rId7" o:title=""/>
          </v:shape>
        </w:pict>
      </w:r>
    </w:p>
    <w:p w:rsidR="00142F1F" w:rsidRPr="00974CD7" w:rsidRDefault="00765F2D" w:rsidP="00142F1F">
      <w:r>
        <w:pict>
          <v:shape id="_x0000_i1026" type="#_x0000_t75" style="width:218.25pt;height:35.25pt">
            <v:imagedata r:id="rId8" o:title=""/>
          </v:shape>
        </w:pict>
      </w:r>
    </w:p>
    <w:p w:rsidR="00142F1F" w:rsidRPr="00974CD7" w:rsidRDefault="00765F2D" w:rsidP="00142F1F">
      <w:r>
        <w:pict>
          <v:shape id="_x0000_i1027" type="#_x0000_t75" style="width:216.75pt;height:39pt">
            <v:imagedata r:id="rId9" o:title=""/>
          </v:shape>
        </w:pict>
      </w:r>
    </w:p>
    <w:p w:rsidR="00142F1F" w:rsidRDefault="00142F1F" w:rsidP="00142F1F"/>
    <w:p w:rsidR="00142F1F" w:rsidRDefault="00142F1F" w:rsidP="00142F1F">
      <w:r w:rsidRPr="00974CD7">
        <w:t>Для очень слабых РЧ полей</w:t>
      </w:r>
      <w:r w:rsidR="00240812">
        <w:t xml:space="preserve"> </w:t>
      </w:r>
      <w:r w:rsidR="00765F2D">
        <w:rPr>
          <w:position w:val="-5"/>
        </w:rPr>
        <w:pict>
          <v:shape id="_x0000_i1028" type="#_x0000_t75" style="width:95.25pt;height:15.75pt">
            <v:imagedata r:id="rId10" o:title=""/>
          </v:shape>
        </w:pict>
      </w:r>
      <w:r w:rsidR="00240812">
        <w:rPr>
          <w:position w:val="-5"/>
        </w:rPr>
        <w:t xml:space="preserve"> </w:t>
      </w:r>
      <w:r w:rsidRPr="00974CD7">
        <w:t>сигнал поглощения</w:t>
      </w:r>
      <w:r w:rsidR="00251554">
        <w:t xml:space="preserve"> </w:t>
      </w:r>
      <w:r w:rsidRPr="00974CD7">
        <w:t xml:space="preserve">описывается лоренцевой кривой. Сигналы поглощения и дисперсии представлены на </w:t>
      </w:r>
      <w:r>
        <w:t>рис.</w:t>
      </w:r>
      <w:r w:rsidR="00240812">
        <w:t xml:space="preserve"> </w:t>
      </w:r>
      <w:r>
        <w:t>1.1</w:t>
      </w:r>
      <w:r w:rsidRPr="00974CD7">
        <w:t>2.</w:t>
      </w:r>
    </w:p>
    <w:p w:rsidR="00142F1F" w:rsidRDefault="00142F1F" w:rsidP="00142F1F">
      <w:r w:rsidRPr="00974CD7">
        <w:t xml:space="preserve">Если скорость поглощения энергии поля </w:t>
      </w:r>
      <w:r w:rsidRPr="00974CD7">
        <w:rPr>
          <w:lang w:val="en-US"/>
        </w:rPr>
        <w:t>Bi</w:t>
      </w:r>
      <w:r w:rsidRPr="00974CD7">
        <w:t xml:space="preserve"> сравнима по величине или превышает скорость спин-решеточной релаксации \1Т\, то амплитуда сигнала поглощения уменьшается, так как разность населенностей энергетических уровней </w:t>
      </w:r>
      <w:r w:rsidRPr="00974CD7">
        <w:rPr>
          <w:lang w:val="en-US"/>
        </w:rPr>
        <w:t>N</w:t>
      </w:r>
      <w:r w:rsidRPr="00974CD7">
        <w:rPr>
          <w:vertAlign w:val="superscript"/>
        </w:rPr>
        <w:t>+</w:t>
      </w:r>
      <w:r w:rsidRPr="00974CD7">
        <w:t xml:space="preserve"> - N убывает в сравнении с равновесной, определенной законом распределения Больцмана. Одновременно возрастает ширина линии. Этот эффект называется насыщением. Конечно, степень насыщения зависит, с одной стороны, от времен релаксации Т] и Тг, а с другой - от величины поля </w:t>
      </w:r>
      <w:r>
        <w:t>В</w:t>
      </w:r>
      <w:r w:rsidRPr="00974CD7">
        <w:t xml:space="preserve">. </w:t>
      </w:r>
    </w:p>
    <w:p w:rsidR="00142F1F" w:rsidRDefault="00142F1F" w:rsidP="00142F1F">
      <w:r w:rsidRPr="00974CD7">
        <w:t xml:space="preserve">Количественно степень насыщения в резонансе: </w:t>
      </w:r>
      <w:r w:rsidR="00765F2D">
        <w:rPr>
          <w:position w:val="-5"/>
        </w:rPr>
        <w:pict>
          <v:shape id="_x0000_i1029" type="#_x0000_t75" style="width:36.75pt;height:12pt">
            <v:imagedata r:id="rId11" o:title=""/>
          </v:shape>
        </w:pict>
      </w:r>
      <w:r w:rsidRPr="00974CD7">
        <w:t xml:space="preserve"> может быть измерена через коэффициент насыщения </w:t>
      </w:r>
      <w:r w:rsidRPr="00974CD7">
        <w:rPr>
          <w:lang w:val="en-US"/>
        </w:rPr>
        <w:t>s</w:t>
      </w:r>
      <w:r w:rsidRPr="00974CD7">
        <w:t>:</w:t>
      </w:r>
    </w:p>
    <w:p w:rsidR="00142F1F" w:rsidRDefault="00142F1F" w:rsidP="00142F1F"/>
    <w:p w:rsidR="00142F1F" w:rsidRPr="00974CD7" w:rsidRDefault="00765F2D" w:rsidP="00142F1F">
      <w:r>
        <w:pict>
          <v:shape id="_x0000_i1030" type="#_x0000_t75" style="width:171.75pt;height:21.75pt">
            <v:imagedata r:id="rId12" o:title=""/>
          </v:shape>
        </w:pict>
      </w:r>
    </w:p>
    <w:p w:rsidR="00142F1F" w:rsidRDefault="00142F1F" w:rsidP="00142F1F"/>
    <w:p w:rsidR="00142F1F" w:rsidRDefault="00142F1F" w:rsidP="00142F1F">
      <w:r w:rsidRPr="00974CD7">
        <w:t>Вследствие насыщения амплитуда наблюдаемого сигнала поглощения при значении</w:t>
      </w:r>
    </w:p>
    <w:p w:rsidR="00142F1F" w:rsidRPr="00974CD7" w:rsidRDefault="00142F1F" w:rsidP="00142F1F"/>
    <w:p w:rsidR="00142F1F" w:rsidRPr="00974CD7" w:rsidRDefault="00765F2D" w:rsidP="00142F1F">
      <w:r>
        <w:pict>
          <v:shape id="_x0000_i1031" type="#_x0000_t75" style="width:86.25pt;height:32.25pt">
            <v:imagedata r:id="rId13" o:title=""/>
          </v:shape>
        </w:pict>
      </w:r>
    </w:p>
    <w:p w:rsidR="00142F1F" w:rsidRPr="00974CD7" w:rsidRDefault="00142F1F" w:rsidP="00142F1F"/>
    <w:p w:rsidR="00142F1F" w:rsidRPr="00974CD7" w:rsidRDefault="00142F1F" w:rsidP="00142F1F">
      <w:r w:rsidRPr="00974CD7">
        <w:t xml:space="preserve">выше </w:t>
      </w:r>
      <w:r w:rsidRPr="00974CD7">
        <w:rPr>
          <w:lang w:val="en-US"/>
        </w:rPr>
        <w:t>Bi</w:t>
      </w:r>
      <w:r w:rsidRPr="00974CD7">
        <w:rPr>
          <w:vertAlign w:val="superscript"/>
          <w:lang w:val="en-US"/>
        </w:rPr>
        <w:t>opt</w:t>
      </w:r>
      <w:r w:rsidRPr="00974CD7">
        <w:t xml:space="preserve"> убывает, где значение </w:t>
      </w:r>
      <w:r w:rsidRPr="00974CD7">
        <w:rPr>
          <w:lang w:val="en-US"/>
        </w:rPr>
        <w:t>B</w:t>
      </w:r>
      <w:r w:rsidRPr="00974CD7">
        <w:t>/</w:t>
      </w:r>
      <w:r w:rsidRPr="00974CD7">
        <w:rPr>
          <w:vertAlign w:val="superscript"/>
          <w:lang w:val="en-US"/>
        </w:rPr>
        <w:t>opt</w:t>
      </w:r>
      <w:r w:rsidRPr="00974CD7">
        <w:t xml:space="preserve"> дается выражением</w:t>
      </w:r>
    </w:p>
    <w:p w:rsidR="00240812" w:rsidRDefault="00142F1F" w:rsidP="00240812">
      <w:r w:rsidRPr="00974CD7">
        <w:t>Значение Ј</w:t>
      </w:r>
      <w:r w:rsidRPr="00974CD7">
        <w:rPr>
          <w:lang w:val="en-US"/>
        </w:rPr>
        <w:t>i</w:t>
      </w:r>
      <w:r w:rsidRPr="00974CD7">
        <w:rPr>
          <w:vertAlign w:val="superscript"/>
          <w:lang w:val="en-US"/>
        </w:rPr>
        <w:t>opt</w:t>
      </w:r>
      <w:r w:rsidRPr="00974CD7">
        <w:t xml:space="preserve"> ограничивает область линейной зависимости амплитуды сигнала от поля В\). С ростом В\ возникающее уширение</w:t>
      </w:r>
      <w:r w:rsidR="00240812" w:rsidRPr="00240812">
        <w:t xml:space="preserve"> </w:t>
      </w:r>
      <w:r w:rsidR="00240812" w:rsidRPr="00974CD7">
        <w:t>линий требует введения коэффициента</w:t>
      </w:r>
      <w:r w:rsidR="00765F2D">
        <w:rPr>
          <w:position w:val="-2"/>
        </w:rPr>
        <w:pict>
          <v:shape id="_x0000_i1032" type="#_x0000_t75" style="width:16.5pt;height:13.5pt">
            <v:imagedata r:id="rId14" o:title=""/>
          </v:shape>
        </w:pict>
      </w:r>
      <w:r w:rsidR="00240812" w:rsidRPr="00974CD7">
        <w:t xml:space="preserve"> сигнала поглощения представлены на рис.</w:t>
      </w:r>
    </w:p>
    <w:p w:rsidR="00142F1F" w:rsidRPr="00974CD7" w:rsidRDefault="00142F1F" w:rsidP="00142F1F"/>
    <w:p w:rsidR="00142F1F" w:rsidRPr="00974CD7" w:rsidRDefault="00765F2D" w:rsidP="00142F1F">
      <w:r>
        <w:pict>
          <v:shape id="_x0000_i1033" type="#_x0000_t75" style="width:356.25pt;height:104.25pt">
            <v:imagedata r:id="rId15" o:title=""/>
          </v:shape>
        </w:pict>
      </w:r>
    </w:p>
    <w:p w:rsidR="00142F1F" w:rsidRDefault="00142F1F" w:rsidP="00142F1F"/>
    <w:p w:rsidR="00142F1F" w:rsidRPr="00974CD7" w:rsidRDefault="00142F1F" w:rsidP="00142F1F">
      <w:pPr>
        <w:pStyle w:val="2"/>
      </w:pPr>
      <w:r w:rsidRPr="00974CD7">
        <w:t>2. Импульсный ЯМР</w:t>
      </w:r>
    </w:p>
    <w:p w:rsidR="00142F1F" w:rsidRDefault="00142F1F" w:rsidP="00142F1F"/>
    <w:p w:rsidR="00142F1F" w:rsidRDefault="00142F1F" w:rsidP="00142F1F">
      <w:r w:rsidRPr="00974CD7">
        <w:t>В простейшем случае схема провед</w:t>
      </w:r>
      <w:r w:rsidR="00240812">
        <w:t>ения импульсного ЯМР-эксперимен</w:t>
      </w:r>
      <w:r w:rsidRPr="00974CD7">
        <w:t xml:space="preserve">та выглядит следующим образом: 90°-ный импульс поворачивает вектор намагниченности М в плоскость ху и затем проводится наблюдение спада свободной индукции. На экране осциллографа спад свободной индукции имеет вид функции времени </w:t>
      </w:r>
      <w:r w:rsidRPr="00974CD7">
        <w:rPr>
          <w:lang w:val="en-US"/>
        </w:rPr>
        <w:t>f</w:t>
      </w:r>
      <w:r w:rsidRPr="00974CD7">
        <w:t>. Если проводится регистрация одиночного сигнала ЯМР, например, сигнала водорода воды, и значение ш в точности совпадает с резонансной частотой</w:t>
      </w:r>
      <w:r w:rsidR="00765F2D">
        <w:rPr>
          <w:position w:val="-8"/>
        </w:rPr>
        <w:pict>
          <v:shape id="_x0000_i1034" type="#_x0000_t75" style="width:48pt;height:15pt">
            <v:imagedata r:id="rId16" o:title=""/>
          </v:shape>
        </w:pict>
      </w:r>
      <w:r w:rsidR="00240812">
        <w:t xml:space="preserve"> - просто убывающая экспонен</w:t>
      </w:r>
      <w:r w:rsidRPr="00974CD7">
        <w:t>циальная функция. Этой экспоненциально убывающей функции можно поставить в соответствие функцию</w:t>
      </w:r>
      <w:r w:rsidR="00765F2D">
        <w:rPr>
          <w:position w:val="-6"/>
        </w:rPr>
        <w:pict>
          <v:shape id="_x0000_i1035" type="#_x0000_t75" style="width:31.5pt;height:13.5pt">
            <v:imagedata r:id="rId17" o:title=""/>
          </v:shape>
        </w:pict>
      </w:r>
      <w:r w:rsidRPr="00974CD7">
        <w:t>в частотном пространстве. Форма линии при этом является лоренцевой. Обе эти функции - во временной и частотной областях - связаны между собой преобразованиями</w:t>
      </w:r>
    </w:p>
    <w:p w:rsidR="00142F1F" w:rsidRPr="00974CD7" w:rsidRDefault="00142F1F" w:rsidP="00142F1F"/>
    <w:p w:rsidR="00142F1F" w:rsidRPr="00974CD7" w:rsidRDefault="00765F2D" w:rsidP="00142F1F">
      <w:r>
        <w:pict>
          <v:shape id="_x0000_i1036" type="#_x0000_t75" style="width:126.75pt;height:33.75pt">
            <v:imagedata r:id="rId18" o:title=""/>
          </v:shape>
        </w:pict>
      </w:r>
    </w:p>
    <w:p w:rsidR="00142F1F" w:rsidRPr="00974CD7" w:rsidRDefault="00765F2D" w:rsidP="00142F1F">
      <w:r>
        <w:pict>
          <v:shape id="_x0000_i1037" type="#_x0000_t75" style="width:152.25pt;height:35.25pt">
            <v:imagedata r:id="rId19" o:title=""/>
          </v:shape>
        </w:pict>
      </w:r>
    </w:p>
    <w:p w:rsidR="00142F1F" w:rsidRDefault="00142F1F" w:rsidP="00142F1F"/>
    <w:p w:rsidR="00142F1F" w:rsidRDefault="00142F1F" w:rsidP="00142F1F">
      <w:r w:rsidRPr="00974CD7">
        <w:t>Эти преобразования по имени французского математика Жана Батиста де Фурье называются фурье-преобразованиями.</w:t>
      </w:r>
    </w:p>
    <w:p w:rsidR="00142F1F" w:rsidRDefault="00142F1F" w:rsidP="00142F1F">
      <w:r w:rsidRPr="00974CD7">
        <w:t>Типичное значение длительности 90°-ного импульса для ЯМР-спектроскопии высокого разрешения по порядку величины равно 10~</w:t>
      </w:r>
      <w:r w:rsidRPr="00974CD7">
        <w:rPr>
          <w:vertAlign w:val="superscript"/>
        </w:rPr>
        <w:t>5</w:t>
      </w:r>
      <w:r w:rsidRPr="00974CD7">
        <w:t xml:space="preserve"> с. В отличие от непрерывного РЧ излучения, спектр такого импульса не будет монохроматическим, он включает в себя определенную частотную область слева и справа от частоты заполнения импульса О). Соответствующий частотный спектр получают в результате фурье-преобразования этого импульса, который для прямоугольного импульса шириной</w:t>
      </w:r>
      <w:r w:rsidR="00765F2D">
        <w:rPr>
          <w:position w:val="-8"/>
        </w:rPr>
        <w:pict>
          <v:shape id="_x0000_i1038" type="#_x0000_t75" style="width:24pt;height:14.25pt">
            <v:imagedata r:id="rId20" o:title=""/>
          </v:shape>
        </w:pict>
      </w:r>
      <w:r w:rsidRPr="00974CD7">
        <w:t>может быть описан функцией следующего вида:</w:t>
      </w:r>
    </w:p>
    <w:p w:rsidR="00142F1F" w:rsidRDefault="00142F1F" w:rsidP="00142F1F"/>
    <w:p w:rsidR="00142F1F" w:rsidRDefault="00765F2D" w:rsidP="00142F1F">
      <w:r>
        <w:pict>
          <v:shape id="_x0000_i1039" type="#_x0000_t75" style="width:111.75pt;height:21.75pt">
            <v:imagedata r:id="rId21" o:title=""/>
          </v:shape>
        </w:pict>
      </w:r>
    </w:p>
    <w:p w:rsidR="00142F1F" w:rsidRPr="00974CD7" w:rsidRDefault="00142F1F" w:rsidP="00142F1F"/>
    <w:p w:rsidR="00142F1F" w:rsidRDefault="00142F1F" w:rsidP="00142F1F">
      <w:r w:rsidRPr="00974CD7">
        <w:t xml:space="preserve">Это частотное распределение всегда будет тем шире, чем меньше 2 А г, </w:t>
      </w:r>
      <w:r>
        <w:t>т.е.</w:t>
      </w:r>
      <w:r w:rsidRPr="00974CD7">
        <w:t xml:space="preserve"> в предельном случае имеем бесконечно узкий импульс, в частотной области и функция </w:t>
      </w:r>
      <w:r w:rsidRPr="00974CD7">
        <w:rPr>
          <w:lang w:val="en-US"/>
        </w:rPr>
        <w:t>f</w:t>
      </w:r>
      <w:r w:rsidRPr="00974CD7">
        <w:t xml:space="preserve"> во временной области должны в равной степени содержать такую информацию. Однако человеческий глаз и мозг могут гораздо лучше различать спектральные линии в частотной области. На </w:t>
      </w:r>
      <w:r>
        <w:t>рис.1.1</w:t>
      </w:r>
      <w:r w:rsidRPr="00974CD7">
        <w:t>4 в качестве примера приведен такой спектр во временной и частотной областях, состоящий из двух линий.</w:t>
      </w:r>
    </w:p>
    <w:p w:rsidR="00142F1F" w:rsidRDefault="00142F1F" w:rsidP="00142F1F">
      <w:r w:rsidRPr="00974CD7">
        <w:t xml:space="preserve">Успехи импульсной спекроскопии ЯМР по сравнению с непрерывными методами в основном связаны с ее большей чувствительностью. В </w:t>
      </w:r>
      <w:r w:rsidRPr="00974CD7">
        <w:rPr>
          <w:lang w:val="en-US"/>
        </w:rPr>
        <w:t>cw</w:t>
      </w:r>
      <w:r w:rsidR="00240812">
        <w:t>-спект</w:t>
      </w:r>
      <w:r w:rsidRPr="00974CD7">
        <w:t>роскопии в каждый данный момент времени излучается одна частота, и соответственно возбуждаются только те ядерные спины, для которых эта частота является резонансной. Очевидно, что такой метод регистрации с точки зрения затрат времени является мало эффективным, так как сигналы детектируются при прохождении резонансной линии. В отличие от этого в ЯМР с фурье-преобразованием одновременно возбуждается и детектируется весь спектр. Это позволяет также улучшить значение отношения сигнал/шум, поскольку при этом складывается большое число спектров.</w:t>
      </w:r>
    </w:p>
    <w:p w:rsidR="00142F1F" w:rsidRDefault="00142F1F" w:rsidP="00142F1F">
      <w:r w:rsidRPr="00974CD7">
        <w:t>Как и в любом физическом эксперименте, сигнал прямо пропорционален числу п накапливаемых процессов измерения, а статистический шум пропорционален п</w:t>
      </w:r>
      <w:r w:rsidRPr="00974CD7">
        <w:rPr>
          <w:vertAlign w:val="superscript"/>
        </w:rPr>
        <w:t>1</w:t>
      </w:r>
      <w:r w:rsidRPr="00974CD7">
        <w:t>^</w:t>
      </w:r>
      <w:r w:rsidRPr="00974CD7">
        <w:rPr>
          <w:vertAlign w:val="superscript"/>
        </w:rPr>
        <w:t>2</w:t>
      </w:r>
      <w:r w:rsidRPr="00974CD7">
        <w:t>, так что отношение сигнал/шум при увеличении п возрастает пропорционально п</w:t>
      </w:r>
      <w:r w:rsidRPr="00974CD7">
        <w:rPr>
          <w:vertAlign w:val="superscript"/>
        </w:rPr>
        <w:t>1</w:t>
      </w:r>
      <w:r w:rsidRPr="00974CD7">
        <w:t>^</w:t>
      </w:r>
      <w:r w:rsidRPr="00974CD7">
        <w:rPr>
          <w:vertAlign w:val="superscript"/>
        </w:rPr>
        <w:t>2</w:t>
      </w:r>
      <w:r w:rsidRPr="00974CD7">
        <w:t>:</w:t>
      </w:r>
    </w:p>
    <w:p w:rsidR="00142F1F" w:rsidRDefault="00142F1F" w:rsidP="00142F1F"/>
    <w:p w:rsidR="00142F1F" w:rsidRPr="00974CD7" w:rsidRDefault="00765F2D" w:rsidP="00142F1F">
      <w:r>
        <w:pict>
          <v:shape id="_x0000_i1040" type="#_x0000_t75" style="width:358.5pt;height:169.5pt">
            <v:imagedata r:id="rId22" o:title=""/>
          </v:shape>
        </w:pict>
      </w:r>
    </w:p>
    <w:p w:rsidR="00142F1F" w:rsidRPr="00974CD7" w:rsidRDefault="00765F2D" w:rsidP="00142F1F">
      <w:r>
        <w:pict>
          <v:shape id="_x0000_i1041" type="#_x0000_t75" style="width:55.5pt;height:14.25pt">
            <v:imagedata r:id="rId23" o:title=""/>
          </v:shape>
        </w:pict>
      </w:r>
    </w:p>
    <w:p w:rsidR="00142F1F" w:rsidRDefault="00142F1F" w:rsidP="00142F1F"/>
    <w:p w:rsidR="00142F1F" w:rsidRPr="00974CD7" w:rsidRDefault="00142F1F" w:rsidP="00142F1F">
      <w:r w:rsidRPr="00974CD7">
        <w:t xml:space="preserve">Так как для отдельной последовательности, состоящей из РЧ импульса и спада свободной индукции, необходимо примерно 1 с, то за 10 ООО с можно зарегистрировать 10 ООО накоплений и после фурье-преобразования иметь 100-кратное улучшение отношения сигнал/шум по сравнению с тем, которое достигается при одном накоплении. Правда, выигрыш в отношении сигнал/шум, если речь идет о регистрации большого числа отдельных линий и на регистрацию затрачивается время </w:t>
      </w:r>
      <w:r w:rsidRPr="00974CD7">
        <w:rPr>
          <w:smallCaps/>
        </w:rPr>
        <w:t xml:space="preserve">Та, </w:t>
      </w:r>
      <w:r w:rsidRPr="00974CD7">
        <w:t>будет не столь велик, как следовало бы ожидать из приведенных выше рассуждений. При медленном накоплении можно работать с передатчиком при небольшой полосе пропускания, а в фурье-спектроскопии ширина полосы пропускания задается полной шириной спектра в частотной области. Однако выигрыш в чувствительности все еще будет значительным. Количественно он определяется отношением ширины полосы пропускания в частотной области к ширине отдельной резонансной линии</w:t>
      </w:r>
      <w:r>
        <w:t xml:space="preserve"> </w:t>
      </w:r>
      <w:r w:rsidR="00765F2D">
        <w:rPr>
          <w:position w:val="-4"/>
        </w:rPr>
        <w:pict>
          <v:shape id="_x0000_i1042" type="#_x0000_t75" style="width:30.75pt;height:12.75pt">
            <v:imagedata r:id="rId24" o:title=""/>
          </v:shape>
        </w:pict>
      </w:r>
    </w:p>
    <w:p w:rsidR="00142F1F" w:rsidRDefault="00142F1F" w:rsidP="00142F1F">
      <w:r w:rsidRPr="00974CD7">
        <w:t xml:space="preserve">Для оценки оптимальной величины отношения сигнал/шум мы должны еще учесть явление насыщения. Как уже отмечалось, в </w:t>
      </w:r>
      <w:r w:rsidRPr="00974CD7">
        <w:rPr>
          <w:lang w:val="en-US"/>
        </w:rPr>
        <w:t>cw</w:t>
      </w:r>
      <w:r w:rsidRPr="00974CD7">
        <w:t xml:space="preserve">-эксперименте амплитуда сигнала при низком уровне РЧ излучения пропорциональна величине поля </w:t>
      </w:r>
      <w:r w:rsidRPr="00974CD7">
        <w:rPr>
          <w:lang w:val="en-US"/>
        </w:rPr>
        <w:t>Bi</w:t>
      </w:r>
      <w:r w:rsidRPr="00974CD7">
        <w:t xml:space="preserve">. Однако с ростом поля </w:t>
      </w:r>
      <w:r w:rsidRPr="00974CD7">
        <w:rPr>
          <w:lang w:val="en-US"/>
        </w:rPr>
        <w:t>Bi</w:t>
      </w:r>
      <w:r w:rsidRPr="00974CD7">
        <w:t xml:space="preserve"> вследствие уменьшения разности населенностей зеемановских уровней наблюдается все большее отклонение от линейного роста, причем это сопровождается дополнительным уширением спектральных линий, и в предельном случае, когда мощность РЧ излучения максимальна, сигнал вообще не наблюдается.</w:t>
      </w:r>
    </w:p>
    <w:p w:rsidR="00142F1F" w:rsidRDefault="00142F1F" w:rsidP="00142F1F">
      <w:r w:rsidRPr="00974CD7">
        <w:t xml:space="preserve">Аналогичный эффект насыщения необходимо учитывать и в импульсном ЯМР. Для того чтобы разность между населенностями двух зеемановских уровней восстановилась до значения, приближенно равного исходному, </w:t>
      </w:r>
      <w:r>
        <w:t>т.е.</w:t>
      </w:r>
      <w:r w:rsidRPr="00974CD7">
        <w:t xml:space="preserve"> до значения, соответствующего распределению Больцмана, необходимо выждать интервал времени, превышающий в 3-4 раза значение времени спин-решеточной релаксации </w:t>
      </w:r>
      <w:r w:rsidRPr="00974CD7">
        <w:rPr>
          <w:smallCaps/>
        </w:rPr>
        <w:t xml:space="preserve">Т\. </w:t>
      </w:r>
      <w:r w:rsidRPr="00974CD7">
        <w:t xml:space="preserve">При решении задач, связанных с установлением структуры биологических молекул, типичным значением </w:t>
      </w:r>
      <w:r w:rsidRPr="00974CD7">
        <w:rPr>
          <w:lang w:val="en-US"/>
        </w:rPr>
        <w:t>Ti</w:t>
      </w:r>
      <w:r w:rsidRPr="00974CD7">
        <w:t xml:space="preserve"> является 3-5 с. Следует отметить, однако, что в фурье-спектроскопии отсутствует эффект уширения при насыщении, который наблюдается в </w:t>
      </w:r>
      <w:r w:rsidRPr="00974CD7">
        <w:rPr>
          <w:lang w:val="en-US"/>
        </w:rPr>
        <w:t>cw</w:t>
      </w:r>
      <w:r w:rsidRPr="00974CD7">
        <w:t>-ЯМР. Это преимущество фурье-спектроскопии не поддается прямой оценке и потому не столь очевидно.</w:t>
      </w:r>
    </w:p>
    <w:p w:rsidR="00142F1F" w:rsidRDefault="00142F1F" w:rsidP="00142F1F">
      <w:r w:rsidRPr="00974CD7">
        <w:t xml:space="preserve">Если нужно из величины относительной интенсивности резонансных линий оценить число ядер, дающих вклад в наблюдаемую линию, то необходимо поддерживать постоянным значение интервала времени между двумя возбуждающими импульсами. Если желательно получить достаточно хорошо разрешенный спектр, с хорошим отношением сигнал/шум, причем за достаточно короткое время, то за счет сокращения длительности импульса можно существенно сократить время проведения эксперимента. Эта оптимизация эксперимента основана на свойствах функций </w:t>
      </w:r>
      <w:r w:rsidRPr="00974CD7">
        <w:rPr>
          <w:lang w:val="en-US"/>
        </w:rPr>
        <w:t>sin</w:t>
      </w:r>
      <w:r w:rsidRPr="00974CD7">
        <w:t xml:space="preserve"> и </w:t>
      </w:r>
      <w:r w:rsidRPr="00974CD7">
        <w:rPr>
          <w:lang w:val="en-US"/>
        </w:rPr>
        <w:t>cos</w:t>
      </w:r>
      <w:r w:rsidRPr="00974CD7">
        <w:t>.</w:t>
      </w:r>
    </w:p>
    <w:p w:rsidR="00142F1F" w:rsidRDefault="00142F1F" w:rsidP="00142F1F"/>
    <w:p w:rsidR="00142F1F" w:rsidRPr="00974CD7" w:rsidRDefault="00765F2D" w:rsidP="00142F1F">
      <w:r>
        <w:pict>
          <v:shape id="_x0000_i1043" type="#_x0000_t75" style="width:352.5pt;height:117.75pt">
            <v:imagedata r:id="rId25" o:title=""/>
          </v:shape>
        </w:pict>
      </w:r>
    </w:p>
    <w:p w:rsidR="00142F1F" w:rsidRDefault="00142F1F" w:rsidP="00142F1F"/>
    <w:p w:rsidR="00142F1F" w:rsidRDefault="00142F1F" w:rsidP="00142F1F">
      <w:r w:rsidRPr="00974CD7">
        <w:t xml:space="preserve">Перед началом проведения измерений </w:t>
      </w:r>
      <w:r w:rsidRPr="00974CD7">
        <w:rPr>
          <w:lang w:val="en-US"/>
        </w:rPr>
        <w:t>M</w:t>
      </w:r>
      <w:r w:rsidRPr="00974CD7">
        <w:rPr>
          <w:vertAlign w:val="subscript"/>
          <w:lang w:val="en-US"/>
        </w:rPr>
        <w:t>Z</w:t>
      </w:r>
      <w:r w:rsidRPr="00974CD7">
        <w:t>/</w:t>
      </w:r>
      <w:r w:rsidRPr="00974CD7">
        <w:rPr>
          <w:lang w:val="en-US"/>
        </w:rPr>
        <w:t>M</w:t>
      </w:r>
      <w:r w:rsidRPr="00974CD7">
        <w:rPr>
          <w:vertAlign w:val="subscript"/>
          <w:lang w:val="en-US"/>
        </w:rPr>
        <w:t>Q</w:t>
      </w:r>
      <w:r w:rsidRPr="00974CD7">
        <w:t xml:space="preserve"> - 1 и М</w:t>
      </w:r>
      <w:r w:rsidRPr="00974CD7">
        <w:rPr>
          <w:vertAlign w:val="subscript"/>
        </w:rPr>
        <w:t>у</w:t>
      </w:r>
      <w:r w:rsidRPr="00974CD7">
        <w:t xml:space="preserve">&gt; - 0, после 90°-ного </w:t>
      </w:r>
      <w:r w:rsidRPr="00974CD7">
        <w:rPr>
          <w:position w:val="4"/>
        </w:rPr>
        <w:t xml:space="preserve">импульса с </w:t>
      </w:r>
      <w:r w:rsidRPr="00974CD7">
        <w:rPr>
          <w:position w:val="4"/>
          <w:lang w:val="en-US"/>
        </w:rPr>
        <w:t>B</w:t>
      </w:r>
      <w:r w:rsidRPr="00974CD7">
        <w:rPr>
          <w:position w:val="4"/>
          <w:vertAlign w:val="subscript"/>
          <w:lang w:val="en-US"/>
        </w:rPr>
        <w:t>t</w:t>
      </w:r>
      <w:r w:rsidRPr="00974CD7">
        <w:rPr>
          <w:position w:val="4"/>
        </w:rPr>
        <w:t xml:space="preserve"> </w:t>
      </w:r>
      <w:r w:rsidRPr="00974CD7">
        <w:rPr>
          <w:position w:val="4"/>
          <w:lang w:val="en-US"/>
        </w:rPr>
        <w:t>I</w:t>
      </w:r>
      <w:r w:rsidRPr="00974CD7">
        <w:rPr>
          <w:position w:val="4"/>
        </w:rPr>
        <w:t xml:space="preserve"> \х </w:t>
      </w:r>
      <w:r w:rsidRPr="00974CD7">
        <w:rPr>
          <w:position w:val="4"/>
          <w:lang w:val="en-US"/>
        </w:rPr>
        <w:t>M</w:t>
      </w:r>
      <w:r w:rsidRPr="00974CD7">
        <w:rPr>
          <w:position w:val="4"/>
          <w:vertAlign w:val="subscript"/>
          <w:lang w:val="en-US"/>
        </w:rPr>
        <w:t>z</w:t>
      </w:r>
      <w:r w:rsidRPr="00974CD7">
        <w:rPr>
          <w:position w:val="4"/>
        </w:rPr>
        <w:t xml:space="preserve"> - 0, М</w:t>
      </w:r>
      <w:r w:rsidRPr="00974CD7">
        <w:rPr>
          <w:position w:val="4"/>
          <w:vertAlign w:val="subscript"/>
        </w:rPr>
        <w:t>у</w:t>
      </w:r>
      <w:r w:rsidRPr="00974CD7">
        <w:rPr>
          <w:position w:val="4"/>
        </w:rPr>
        <w:t>'/М</w:t>
      </w:r>
      <w:r w:rsidRPr="00974CD7">
        <w:rPr>
          <w:position w:val="4"/>
          <w:vertAlign w:val="subscript"/>
        </w:rPr>
        <w:t>0</w:t>
      </w:r>
      <w:r w:rsidRPr="00974CD7">
        <w:rPr>
          <w:position w:val="4"/>
        </w:rPr>
        <w:t xml:space="preserve"> - 1. Если мы используем импульс меньшей</w:t>
      </w:r>
      <w:r w:rsidR="00240812">
        <w:rPr>
          <w:position w:val="4"/>
        </w:rPr>
        <w:t xml:space="preserve"> </w:t>
      </w:r>
      <w:r w:rsidRPr="00974CD7">
        <w:t>длительности, например 30°-ный, то исходя из свойств тригонометрических функций М</w:t>
      </w:r>
      <w:r w:rsidRPr="00974CD7">
        <w:rPr>
          <w:vertAlign w:val="subscript"/>
        </w:rPr>
        <w:t>у</w:t>
      </w:r>
      <w:r w:rsidRPr="00974CD7">
        <w:t>&gt; /М</w:t>
      </w:r>
      <w:r w:rsidRPr="00974CD7">
        <w:rPr>
          <w:vertAlign w:val="subscript"/>
        </w:rPr>
        <w:t>0</w:t>
      </w:r>
      <w:r w:rsidRPr="00974CD7">
        <w:t xml:space="preserve"> - 0,5, </w:t>
      </w:r>
      <w:r>
        <w:t>т.е.</w:t>
      </w:r>
      <w:r w:rsidRPr="00974CD7">
        <w:t xml:space="preserve"> составляет ровно половину того значения, которое будет достигнуто после воздействия на систему 90°-ного импульса. В то же время значение М</w:t>
      </w:r>
      <w:r w:rsidRPr="00974CD7">
        <w:rPr>
          <w:vertAlign w:val="subscript"/>
        </w:rPr>
        <w:t>2</w:t>
      </w:r>
      <w:r w:rsidRPr="00974CD7">
        <w:t xml:space="preserve"> уменьшается незначительно, от 1 до 0,87, и соответственно после 15°-ного импульса М</w:t>
      </w:r>
      <w:r w:rsidRPr="00974CD7">
        <w:rPr>
          <w:vertAlign w:val="subscript"/>
        </w:rPr>
        <w:t>у</w:t>
      </w:r>
      <w:r w:rsidRPr="00974CD7">
        <w:t>&gt; - 0,26 М</w:t>
      </w:r>
      <w:r w:rsidRPr="00974CD7">
        <w:rPr>
          <w:vertAlign w:val="subscript"/>
        </w:rPr>
        <w:t>0</w:t>
      </w:r>
      <w:r w:rsidRPr="00974CD7">
        <w:t xml:space="preserve">, </w:t>
      </w:r>
      <w:r w:rsidRPr="00974CD7">
        <w:rPr>
          <w:lang w:val="en-US"/>
        </w:rPr>
        <w:t>a</w:t>
      </w:r>
      <w:r w:rsidRPr="00974CD7">
        <w:t xml:space="preserve"> </w:t>
      </w:r>
      <w:r w:rsidRPr="00974CD7">
        <w:rPr>
          <w:lang w:val="en-US"/>
        </w:rPr>
        <w:t>M</w:t>
      </w:r>
      <w:r w:rsidRPr="00974CD7">
        <w:rPr>
          <w:vertAlign w:val="subscript"/>
          <w:lang w:val="en-US"/>
        </w:rPr>
        <w:t>z</w:t>
      </w:r>
      <w:r w:rsidRPr="00974CD7">
        <w:t xml:space="preserve"> - 0,97 М</w:t>
      </w:r>
      <w:r w:rsidRPr="00974CD7">
        <w:rPr>
          <w:vertAlign w:val="subscript"/>
        </w:rPr>
        <w:t>0</w:t>
      </w:r>
      <w:r w:rsidRPr="00974CD7">
        <w:t>.</w:t>
      </w:r>
    </w:p>
    <w:p w:rsidR="00142F1F" w:rsidRDefault="00142F1F" w:rsidP="00142F1F">
      <w:r w:rsidRPr="00974CD7">
        <w:t xml:space="preserve">Если проводится эксперимент по измерению времени продольной релаксации </w:t>
      </w:r>
      <w:r w:rsidRPr="00974CD7">
        <w:rPr>
          <w:lang w:val="en-US"/>
        </w:rPr>
        <w:t>Tj</w:t>
      </w:r>
      <w:r w:rsidRPr="00974CD7">
        <w:t xml:space="preserve">, и интервал между отдельными импульсами задан заранее и равен </w:t>
      </w:r>
      <w:r w:rsidRPr="00974CD7">
        <w:rPr>
          <w:lang w:val="en-US"/>
        </w:rPr>
        <w:t>T</w:t>
      </w:r>
      <w:r w:rsidRPr="00974CD7">
        <w:rPr>
          <w:vertAlign w:val="subscript"/>
          <w:lang w:val="en-US"/>
        </w:rPr>
        <w:t>R</w:t>
      </w:r>
      <w:r w:rsidRPr="00974CD7">
        <w:t xml:space="preserve">, то можно подобрать длительность импульса таким образом, чтобы угол отклонения вектора намагниченности обеспечил максимальное значение амплитуды сигнала. После воздействия такого импульса в системе устанавливается динамическое равновесие. Этот угол, определяющий также оптимальное значение отношения сигнал/шум, называют углом Эрнста, будет подвергнут обработке, он должен быть оцифрован. Для этого в определенный момент времени измеряется значение наведенного напряжения, и этому значению ставится в соответствие число. Интервал </w:t>
      </w:r>
      <w:r w:rsidRPr="00974CD7">
        <w:rPr>
          <w:lang w:val="en-US"/>
        </w:rPr>
        <w:t>A</w:t>
      </w:r>
      <w:r w:rsidRPr="00974CD7">
        <w:t xml:space="preserve"> </w:t>
      </w:r>
      <w:r w:rsidRPr="00974CD7">
        <w:rPr>
          <w:lang w:val="en-US"/>
        </w:rPr>
        <w:t>t</w:t>
      </w:r>
      <w:r w:rsidRPr="00974CD7">
        <w:t xml:space="preserve"> времени между измерения</w:t>
      </w:r>
      <w:r w:rsidR="00240812">
        <w:t>ми определяется по теореме Найк</w:t>
      </w:r>
      <w:r w:rsidRPr="00974CD7">
        <w:t xml:space="preserve">виста и зависит от значения наивысшей наблюдаемой частоты </w:t>
      </w:r>
      <w:r w:rsidRPr="00974CD7">
        <w:rPr>
          <w:lang w:val="en-US"/>
        </w:rPr>
        <w:t>V</w:t>
      </w:r>
      <w:r w:rsidRPr="00974CD7">
        <w:rPr>
          <w:vertAlign w:val="subscript"/>
          <w:lang w:val="en-US"/>
        </w:rPr>
        <w:t>max</w:t>
      </w:r>
      <w:r w:rsidRPr="00974CD7">
        <w:t>:</w:t>
      </w:r>
    </w:p>
    <w:p w:rsidR="00142F1F" w:rsidRDefault="00142F1F" w:rsidP="00142F1F"/>
    <w:p w:rsidR="00142F1F" w:rsidRDefault="00765F2D" w:rsidP="00142F1F">
      <w:r>
        <w:pict>
          <v:shape id="_x0000_i1044" type="#_x0000_t75" style="width:65.25pt;height:24pt">
            <v:imagedata r:id="rId26" o:title=""/>
          </v:shape>
        </w:pict>
      </w:r>
    </w:p>
    <w:p w:rsidR="00142F1F" w:rsidRPr="00974CD7" w:rsidRDefault="00142F1F" w:rsidP="00142F1F"/>
    <w:p w:rsidR="00142F1F" w:rsidRDefault="00142F1F" w:rsidP="00142F1F">
      <w:r w:rsidRPr="00974CD7">
        <w:t>формулу можно понимать следующим образом: для того чтобы иметь возможность различать каждую частоту колебания, необходимо производить по крайней мере два измерения за период колебаний.</w:t>
      </w:r>
    </w:p>
    <w:p w:rsidR="00142F1F" w:rsidRPr="00974CD7" w:rsidRDefault="00142F1F" w:rsidP="00142F1F"/>
    <w:p w:rsidR="00142F1F" w:rsidRPr="00974CD7" w:rsidRDefault="00765F2D" w:rsidP="00142F1F">
      <w:r>
        <w:pict>
          <v:shape id="_x0000_i1045" type="#_x0000_t75" style="width:354.75pt;height:282.75pt">
            <v:imagedata r:id="rId27" o:title=""/>
          </v:shape>
        </w:pict>
      </w:r>
    </w:p>
    <w:p w:rsidR="00142F1F" w:rsidRDefault="00142F1F" w:rsidP="00142F1F"/>
    <w:p w:rsidR="00142F1F" w:rsidRDefault="00142F1F" w:rsidP="00142F1F">
      <w:r w:rsidRPr="00974CD7">
        <w:t>Перед проведением фурье-преобразования массив экспериментальных данных подвергается фильтрации путем умножения на соответствующие</w:t>
      </w:r>
      <w:r>
        <w:t xml:space="preserve"> </w:t>
      </w:r>
      <w:r w:rsidRPr="00974CD7">
        <w:t>функции. При этом преследуются две цели: с одной стороны, уменьшается шум, а с другой - повышается разрешение за счет изменения формы резонансной линии. Наиболее простой и часто используемой функцией является убывающая экспонента, умножение на которую приводит к небольшому уширению линий и одновременно к уменьшению шумов. Форма линии остается лоренцевой, поскольку умножение двух экспоненциальных функций вновь будет экспонентой. Для сужения линий зачастую используется лоренц-гауссово преобразование. Лоренцевы линии преобразуются в более узкие линии, а гауссовы - подобно.</w:t>
      </w:r>
    </w:p>
    <w:p w:rsidR="00142F1F" w:rsidRDefault="00142F1F" w:rsidP="00142F1F">
      <w:r w:rsidRPr="00974CD7">
        <w:t>Накопленный спад свободной индукции после оцифровки не будет полностью соответствовать невозмущенному спаду свободной индукции, так как он содержит дискретный набор значений. Соответственно, фурье-преобразование спада свободной индукции, проводимое ЭВМ по алгоритму быстрого фурье-преобразования, переводит эти данные в дискретную форму.</w:t>
      </w:r>
    </w:p>
    <w:p w:rsidR="00142F1F" w:rsidRDefault="00142F1F" w:rsidP="00142F1F">
      <w:r w:rsidRPr="00974CD7">
        <w:t xml:space="preserve">Несмотря на то что непрерывное фурье-преобразование может перевести полный спад свободной индукции в идеальный частотный спектр, в последнее время все чаще обсуждается возможность подбора наилучших способов преобразования временного сигнала в частотное представление. Это связано с тем, что в реальном эксперименте мы наблюдаем спад свободной индукции в течение конечного интервала времени </w:t>
      </w:r>
      <w:r>
        <w:t>П</w:t>
      </w:r>
      <w:r w:rsidRPr="00974CD7">
        <w:t xml:space="preserve">ричем число повторений определяется тем значением отношения сигнал/шум, которое нужно получить. Таким образом, в силу конечности интервала </w:t>
      </w:r>
      <w:r w:rsidRPr="00974CD7">
        <w:rPr>
          <w:lang w:val="en-US"/>
        </w:rPr>
        <w:t>Tag</w:t>
      </w:r>
      <w:r w:rsidRPr="00974CD7">
        <w:t xml:space="preserve"> в нашем распоряжении имеется только эта дискретная информация и в результате фурье-преобразования получаем частотный спектр, который в точности соответствует этому усеченному спаду свободной индукции и лишь приближенно соответствует истинному спектру.</w:t>
      </w:r>
    </w:p>
    <w:p w:rsidR="00142F1F" w:rsidRDefault="00142F1F" w:rsidP="00142F1F">
      <w:r w:rsidRPr="00974CD7">
        <w:t>В настоящее время развиты следующие две группы методов, позволяющие более эффективно использовать имеющуюся информацию за счет того, что спад свободной индукции продолжается за пределы интервала Т</w:t>
      </w:r>
      <w:r w:rsidRPr="00974CD7">
        <w:rPr>
          <w:vertAlign w:val="subscript"/>
        </w:rPr>
        <w:t>а</w:t>
      </w:r>
      <w:r w:rsidRPr="00974CD7">
        <w:t>д. Один из этих методов называется методом максимальной энтропии. Первоначально метод ММЭ был развит для оценки данных геологоразведки, однако в дальнейшем активно использовался при обработке изображений, и с его помощью были достигнуты значительные результаты. Вторая группа методов основана на линейном прогнозировании. Методы ЛП исходят из того, что идеальный сигнал ЯМР может быть представлен в виде произведения затухающей экспоненты и косинуса. Если нам удается найти функцию, которая могла бы задать наблюдаемый спад свободной индукции, то можно было бы предсказать поведение его в любой точке на временной оси. Оба метода обладают тем существенным недостатком, что требуют больших затрат машинного времени, и именно этим объясняется тот факт, что в настоящее время они используются только для решения специальных задач.</w:t>
      </w:r>
    </w:p>
    <w:p w:rsidR="00142F1F" w:rsidRDefault="00142F1F" w:rsidP="00142F1F"/>
    <w:p w:rsidR="00142F1F" w:rsidRPr="00974CD7" w:rsidRDefault="00142F1F" w:rsidP="00142F1F">
      <w:pPr>
        <w:pStyle w:val="2"/>
      </w:pPr>
      <w:r w:rsidRPr="00974CD7">
        <w:t>3. Спектрометр ЯМР</w:t>
      </w:r>
    </w:p>
    <w:p w:rsidR="00142F1F" w:rsidRDefault="00142F1F" w:rsidP="00142F1F"/>
    <w:p w:rsidR="00142F1F" w:rsidRDefault="00142F1F" w:rsidP="00142F1F">
      <w:r w:rsidRPr="00974CD7">
        <w:t xml:space="preserve">Конструкция всех ЯМР-спектрометров, как правило, достаточно проста, и конструктивные особенности отражают требования, предъявляемые к ЯМР-эксперименту. На рис. схематически представлена конструкция </w:t>
      </w:r>
      <w:r w:rsidRPr="00974CD7">
        <w:rPr>
          <w:lang w:val="en-US"/>
        </w:rPr>
        <w:t>cw</w:t>
      </w:r>
      <w:r w:rsidRPr="00974CD7">
        <w:t>-спектрометра, а на рис - импульсного спектрометра. Конструкция ЯМР-томографа принципиально совпадает с конструкцией импульсного спектрометра. Далее подробно рассмотрим отдельные компоненты спектрометра и опишем принцип их действия.</w:t>
      </w:r>
    </w:p>
    <w:p w:rsidR="00142F1F" w:rsidRDefault="00240812" w:rsidP="00142F1F">
      <w:r w:rsidRPr="00974CD7">
        <w:t>Основной компонентой ЯМР-спектрометра является магнит, который должен создавать максимально однородное постоянное поле В</w:t>
      </w:r>
      <w:r w:rsidRPr="00974CD7">
        <w:rPr>
          <w:vertAlign w:val="subscript"/>
        </w:rPr>
        <w:t>0</w:t>
      </w:r>
      <w:r w:rsidRPr="00974CD7">
        <w:t>, стабильное во времени. Поле В</w:t>
      </w:r>
      <w:r w:rsidRPr="00974CD7">
        <w:rPr>
          <w:vertAlign w:val="subscript"/>
        </w:rPr>
        <w:t>0</w:t>
      </w:r>
      <w:r w:rsidRPr="00974CD7">
        <w:t xml:space="preserve"> вызывает расщепление уровней энергии, между которыми индуцируются ЯМР-переходы. Для создания статического магнитного поля могут использоваться три типа магнитов: электромагниты, постоянные магниты и сверхпроводящие магниты.</w:t>
      </w:r>
    </w:p>
    <w:p w:rsidR="00142F1F" w:rsidRPr="00974CD7" w:rsidRDefault="00240812" w:rsidP="00142F1F">
      <w:r>
        <w:br w:type="page"/>
      </w:r>
      <w:r w:rsidR="00765F2D">
        <w:pict>
          <v:shape id="_x0000_i1046" type="#_x0000_t75" style="width:330.75pt;height:445.5pt">
            <v:imagedata r:id="rId28" o:title=""/>
          </v:shape>
        </w:pict>
      </w:r>
    </w:p>
    <w:p w:rsidR="00142F1F" w:rsidRDefault="00142F1F" w:rsidP="00142F1F"/>
    <w:p w:rsidR="00142F1F" w:rsidRDefault="00142F1F" w:rsidP="00142F1F">
      <w:r w:rsidRPr="00974CD7">
        <w:t>В настоящее время в ЯМР-спектроскопии высокого разрешения в основном используются сверхпроводящие магнитные системы, поскольку лишь они могут удовлетворить высоким требованиям, предъявляемым к спектрам ЯМР. В спектроскопии ЯМР неизменно сохраняется тенденция к увеличению напряженности магнитного поля, поскольку увеличение этого параметра обеспечивает возрастание разрешающей способности и выигрыш в чувствительности. В томографии наряду со сверхпроводящими магнитами используются также и электромагниты, так как здесь вопрос о целесообразности выбора того или иного магнитного поля не является столь очевидным и экономические соображения не всегда являются определяющими. Постоянные магниты в настоящее время почти не находят применения как для спектроскопии, так и для томографии.</w:t>
      </w:r>
    </w:p>
    <w:p w:rsidR="00142F1F" w:rsidRDefault="00142F1F" w:rsidP="00142F1F">
      <w:r w:rsidRPr="00974CD7">
        <w:t>Достижимая на практике напряженность магнитного поля зависит от размеров исследуемого образца, которые варьируются в широких пределах: в ЯМР высокого разрешения диаметр образца варьируется от 0,5 до 2,5 см, а в ЯМР-томографии размеры исследуемого образца определяются размерами человеческого тела. Для образцов малых размеров типичное значение магнитного поля электромагнита - 2,5 Тл, а для больших - 0,3 Тл. Для современного уровня развития технологии напряженность поля сверхпроводящего магнита, предназначенного для исследования образца малого объема, достигает 14 Т, а для образцов большого объема - 4 Тл.</w:t>
      </w:r>
    </w:p>
    <w:p w:rsidR="00142F1F" w:rsidRDefault="00142F1F" w:rsidP="00142F1F">
      <w:r w:rsidRPr="00974CD7">
        <w:t>Независимо от типа магнита при использовании ЯМР высокого разрешения для решения задач структурной химии к однородности поля предъявляются чрезвычайно высокие требования. Так, для ЯМР-спектрометра высокого разрешения с рабочей частотой 600 МГц и разрешением 0,1 Гц эта величина составляет 2 • 10~</w:t>
      </w:r>
      <w:r w:rsidRPr="00974CD7">
        <w:rPr>
          <w:vertAlign w:val="superscript"/>
        </w:rPr>
        <w:t>10</w:t>
      </w:r>
      <w:r w:rsidRPr="00974CD7">
        <w:t>. Теоретически такое разрешение может быть достигнуто при использовании сверхпроводящего магнита, однако на практике такая однородность не может быть достигнута, так как магнитная восприимчивость изменяется от образца к образцу. С помощью дополнительных резистивных катушек, которые устанавливаются между основной сверхпроводящей катушкой и образцом, удается провести коррекцию поля в ограниченных пределах, что позволяет достичь однородности поля до 10</w:t>
      </w:r>
      <w:r>
        <w:t>"</w:t>
      </w:r>
      <w:r w:rsidRPr="00974CD7">
        <w:rPr>
          <w:vertAlign w:val="superscript"/>
        </w:rPr>
        <w:t>9</w:t>
      </w:r>
      <w:r w:rsidRPr="00974CD7">
        <w:t xml:space="preserve"> по объему образца. Остаточную небольшую неоднородность поля в плоскости, перпендикулярной В</w:t>
      </w:r>
      <w:r w:rsidRPr="00974CD7">
        <w:rPr>
          <w:vertAlign w:val="subscript"/>
        </w:rPr>
        <w:t>0</w:t>
      </w:r>
      <w:r w:rsidRPr="00974CD7">
        <w:t>, можно устранить путем механического вращения образца вдоль оси.</w:t>
      </w:r>
    </w:p>
    <w:p w:rsidR="00142F1F" w:rsidRDefault="00142F1F" w:rsidP="00142F1F">
      <w:r w:rsidRPr="00974CD7">
        <w:t xml:space="preserve">В </w:t>
      </w:r>
      <w:r w:rsidRPr="00974CD7">
        <w:rPr>
          <w:lang w:val="en-US"/>
        </w:rPr>
        <w:t>cw</w:t>
      </w:r>
      <w:r w:rsidRPr="00974CD7">
        <w:t>-спектроскопии величина поля В</w:t>
      </w:r>
      <w:r w:rsidRPr="00974CD7">
        <w:rPr>
          <w:vertAlign w:val="subscript"/>
        </w:rPr>
        <w:t>0</w:t>
      </w:r>
      <w:r w:rsidRPr="00974CD7">
        <w:t xml:space="preserve"> периодически модулируется, что позволяет наблюдать зависимость амплитуды сигнала ЯМР от времени. Эта зависимость от времени является условием реализации метода детектирования с помощью фазочувствительного детектора. Однако для фурье-спектроскопии необходимость в этом отсутствует, так как здесь спад свободной индукции уже промодулирован во времени. Для ЯМР-томографии необходимо создавать дополнительные градиентные поля. Они создаются с помощью специальных градиентных катушек и воздействуют на исследуемый объект одновременно с постоянным магнитным полем.</w:t>
      </w:r>
    </w:p>
    <w:p w:rsidR="00142F1F" w:rsidRDefault="00142F1F" w:rsidP="00142F1F">
      <w:r w:rsidRPr="00974CD7">
        <w:t xml:space="preserve">Для индуцирования Я </w:t>
      </w:r>
      <w:r w:rsidRPr="00974CD7">
        <w:rPr>
          <w:lang w:val="en-US"/>
        </w:rPr>
        <w:t>MP</w:t>
      </w:r>
      <w:r w:rsidRPr="00974CD7">
        <w:t xml:space="preserve">-переходов необходимо дополнительно подавать на образец еще и РЧ поле </w:t>
      </w:r>
      <w:r w:rsidRPr="00974CD7">
        <w:rPr>
          <w:lang w:val="en-US"/>
        </w:rPr>
        <w:t>Bi</w:t>
      </w:r>
      <w:r w:rsidRPr="00974CD7">
        <w:t>, которое поляризовано перпендикулярно полю В</w:t>
      </w:r>
      <w:r w:rsidRPr="00974CD7">
        <w:rPr>
          <w:vertAlign w:val="subscript"/>
        </w:rPr>
        <w:t>0</w:t>
      </w:r>
      <w:r w:rsidRPr="00974CD7">
        <w:t xml:space="preserve"> - статическому магнитному полю. РЧ поле создается передатчиком и через катушку-резонатор подается на образец. При этом в импульсном ЯМР передатчик создает мощные импульсы малой длительности, а в </w:t>
      </w:r>
      <w:r w:rsidRPr="00974CD7">
        <w:rPr>
          <w:lang w:val="en-US"/>
        </w:rPr>
        <w:t>cw</w:t>
      </w:r>
      <w:r w:rsidRPr="00974CD7">
        <w:t>-спектроскопии на образец непрерывно подается сигнал малой мощности. СигналЯМР детектируется либо той же катушкой, либо приемной. Этот слабый сигнал, как правило, от 10</w:t>
      </w:r>
      <w:r>
        <w:t>"</w:t>
      </w:r>
      <w:r w:rsidRPr="00974CD7">
        <w:rPr>
          <w:vertAlign w:val="superscript"/>
        </w:rPr>
        <w:t>6</w:t>
      </w:r>
      <w:r w:rsidRPr="00974CD7">
        <w:t xml:space="preserve"> до 10</w:t>
      </w:r>
      <w:r>
        <w:t>"</w:t>
      </w:r>
      <w:r w:rsidRPr="00974CD7">
        <w:rPr>
          <w:vertAlign w:val="superscript"/>
        </w:rPr>
        <w:t>1</w:t>
      </w:r>
      <w:r w:rsidRPr="00974CD7">
        <w:t xml:space="preserve"> В, перед обработкой должен быть усилен, прежде чем будет проведена его регистрация с помощью фазочувствительного детектора. В </w:t>
      </w:r>
      <w:r w:rsidRPr="00974CD7">
        <w:rPr>
          <w:lang w:val="en-US"/>
        </w:rPr>
        <w:t>cw</w:t>
      </w:r>
      <w:r w:rsidRPr="00974CD7">
        <w:t>-спектроскопии сигнал непосредственно подается на самописец, а в фурье-спектроскопии - на аналого-цифровой преобразователь в ЭВМ. Этот изменяющийся во времени сигнал подвергается фурье-преобразованию и вновь подается на устройство вывода информации - самописец или экран графического дисплея.</w:t>
      </w:r>
    </w:p>
    <w:p w:rsidR="00142F1F" w:rsidRDefault="00142F1F" w:rsidP="00142F1F">
      <w:r w:rsidRPr="00974CD7">
        <w:t>В каждом импульсном спектрометре ЯМР ЭВМ используется для управления спектрометром, а также для накопления экспериментальных данных. Для последующей обработки эксперим</w:t>
      </w:r>
      <w:r w:rsidR="00240812">
        <w:t>ентальных данных необходима мощ</w:t>
      </w:r>
      <w:r w:rsidRPr="00974CD7">
        <w:t>ная ЭВМ. В дальнейшем мы приведем некоторые технические характеристики, которые обеспечивают удобство эксплуатации при условии удовлетворения современным требова</w:t>
      </w:r>
      <w:r w:rsidR="00240812">
        <w:t>ниям, предъявляемым к ЯМР-экспе</w:t>
      </w:r>
      <w:r w:rsidRPr="00974CD7">
        <w:t>рименту.</w:t>
      </w:r>
    </w:p>
    <w:p w:rsidR="00142F1F" w:rsidRDefault="00142F1F" w:rsidP="00142F1F">
      <w:r w:rsidRPr="00974CD7">
        <w:t>Центральный процессор 32-х разрядный компьютер с быстродействием не менее 2-4 млн. операций в 1 с и памятью 8 Мбайт. Процессор соединен с жестким диском, объем хранения информации которого составляет до 150 Мбай</w:t>
      </w:r>
      <w:r>
        <w:t>т.</w:t>
      </w:r>
      <w:r w:rsidR="00240812">
        <w:t xml:space="preserve"> Д</w:t>
      </w:r>
      <w:r w:rsidRPr="00974CD7">
        <w:t>ля хранения спектральной информации может быть использована магнитная лента или кассета емкостью до 40 Мбайт. В перспективе будут использоваться оптические устройства хранения информации - оптические диски с гораздо более высокой емкостью. При этом существует возможность проведения параллельной обработки данных с помощью спецпроцессора ЭВМ, который должен иметь прямой доступ к основной памяти и к жесткому диску, что позволяет на два порядка ускорить процесс обработки данных. Поскольку существует несколько блоков памяти, необходимо осуществлять быструю связь между спектрометром и ЭВМ. Кроме того, необходим цветной графический дисплей с высоким разрешением, а также быстрая связь с ЭВМ.</w:t>
      </w:r>
    </w:p>
    <w:p w:rsidR="00142F1F" w:rsidRDefault="00142F1F" w:rsidP="00142F1F">
      <w:r w:rsidRPr="00974CD7">
        <w:t>Существует альтернатива спецпроцессору. Многие фирмы предлагают вместо него специальный быстродействующий процессор с плавающей запятой, поскольку для одного из основных применений, а именно, для построения двумерных спектров ЯМР мощности спецпроцессора не хватает.</w:t>
      </w:r>
    </w:p>
    <w:p w:rsidR="003F0DC0" w:rsidRDefault="00142F1F" w:rsidP="00142F1F">
      <w:r w:rsidRPr="00974CD7">
        <w:t>Программное обеспечение, необходимое для сбора и обработки спектральной информации, как правило, предоставляется фирмой-изготовителем. Однако если предполагается, что одновременно к ЭВМ обращаются несколько пользователей, например, при обработке спектральной информации одновременно несколькими операторами, то здесь необходимо подключение специального устройства - многоканальной рабочей станции. Это устройство предусмотрено практически для каждой операционной системы, если возникает необходимость трансляции на соответствующий язык программирования.</w:t>
      </w:r>
      <w:bookmarkStart w:id="0" w:name="_GoBack"/>
      <w:bookmarkEnd w:id="0"/>
    </w:p>
    <w:sectPr w:rsidR="003F0DC0" w:rsidSect="00142F1F">
      <w:headerReference w:type="default" r:id="rId29"/>
      <w:footerReference w:type="default" r:id="rId30"/>
      <w:headerReference w:type="first" r:id="rId31"/>
      <w:footerReference w:type="first" r:id="rId32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6E" w:rsidRDefault="00E4776E">
      <w:r>
        <w:separator/>
      </w:r>
    </w:p>
  </w:endnote>
  <w:endnote w:type="continuationSeparator" w:id="0">
    <w:p w:rsidR="00E4776E" w:rsidRDefault="00E4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7" w:rsidRDefault="00974CD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7" w:rsidRDefault="00974CD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6E" w:rsidRDefault="00E4776E">
      <w:r>
        <w:separator/>
      </w:r>
    </w:p>
  </w:footnote>
  <w:footnote w:type="continuationSeparator" w:id="0">
    <w:p w:rsidR="00E4776E" w:rsidRDefault="00E4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7" w:rsidRDefault="001843E0" w:rsidP="00974CD7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74CD7" w:rsidRDefault="00974CD7" w:rsidP="00974CD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D7" w:rsidRDefault="00974C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F1F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F1502"/>
    <w:rsid w:val="00101BB4"/>
    <w:rsid w:val="00101C4A"/>
    <w:rsid w:val="001260B0"/>
    <w:rsid w:val="00142F1F"/>
    <w:rsid w:val="00177098"/>
    <w:rsid w:val="00177974"/>
    <w:rsid w:val="001843E0"/>
    <w:rsid w:val="00185898"/>
    <w:rsid w:val="001A04C0"/>
    <w:rsid w:val="001B3C31"/>
    <w:rsid w:val="0021342A"/>
    <w:rsid w:val="00240812"/>
    <w:rsid w:val="00251554"/>
    <w:rsid w:val="002719AF"/>
    <w:rsid w:val="00276E07"/>
    <w:rsid w:val="0028334B"/>
    <w:rsid w:val="00297AC6"/>
    <w:rsid w:val="002B73F7"/>
    <w:rsid w:val="002C3DBB"/>
    <w:rsid w:val="003006CD"/>
    <w:rsid w:val="0036240A"/>
    <w:rsid w:val="00394E5C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518C0"/>
    <w:rsid w:val="00480878"/>
    <w:rsid w:val="00493D59"/>
    <w:rsid w:val="0051502E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E1396"/>
    <w:rsid w:val="005E480A"/>
    <w:rsid w:val="005E4876"/>
    <w:rsid w:val="00616252"/>
    <w:rsid w:val="006572C2"/>
    <w:rsid w:val="00676D26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65F2D"/>
    <w:rsid w:val="007B793E"/>
    <w:rsid w:val="007D3EFF"/>
    <w:rsid w:val="00866311"/>
    <w:rsid w:val="008832D9"/>
    <w:rsid w:val="00893DD2"/>
    <w:rsid w:val="008A2C82"/>
    <w:rsid w:val="008D32C1"/>
    <w:rsid w:val="008E2DC4"/>
    <w:rsid w:val="008E4D12"/>
    <w:rsid w:val="00920813"/>
    <w:rsid w:val="00952341"/>
    <w:rsid w:val="00974ACB"/>
    <w:rsid w:val="00974CD7"/>
    <w:rsid w:val="009A09A1"/>
    <w:rsid w:val="009A6AA7"/>
    <w:rsid w:val="009B18DB"/>
    <w:rsid w:val="009D5AE0"/>
    <w:rsid w:val="00A1477D"/>
    <w:rsid w:val="00A45EFF"/>
    <w:rsid w:val="00A94137"/>
    <w:rsid w:val="00AA4627"/>
    <w:rsid w:val="00B2017E"/>
    <w:rsid w:val="00B313A4"/>
    <w:rsid w:val="00B43D8C"/>
    <w:rsid w:val="00B61F19"/>
    <w:rsid w:val="00B64048"/>
    <w:rsid w:val="00BA6FB0"/>
    <w:rsid w:val="00BB3465"/>
    <w:rsid w:val="00BC6648"/>
    <w:rsid w:val="00BD1F65"/>
    <w:rsid w:val="00BD2A7B"/>
    <w:rsid w:val="00C53E8F"/>
    <w:rsid w:val="00C71A16"/>
    <w:rsid w:val="00CB49FC"/>
    <w:rsid w:val="00CC1E92"/>
    <w:rsid w:val="00CD070A"/>
    <w:rsid w:val="00CE1E3C"/>
    <w:rsid w:val="00D127F3"/>
    <w:rsid w:val="00D501E6"/>
    <w:rsid w:val="00D8404F"/>
    <w:rsid w:val="00D84DCB"/>
    <w:rsid w:val="00DB0793"/>
    <w:rsid w:val="00DC65F5"/>
    <w:rsid w:val="00DD6A71"/>
    <w:rsid w:val="00E14CEB"/>
    <w:rsid w:val="00E22C21"/>
    <w:rsid w:val="00E345E3"/>
    <w:rsid w:val="00E41CB9"/>
    <w:rsid w:val="00E4776E"/>
    <w:rsid w:val="00E5280A"/>
    <w:rsid w:val="00E6158F"/>
    <w:rsid w:val="00E81D9C"/>
    <w:rsid w:val="00E85635"/>
    <w:rsid w:val="00E876AA"/>
    <w:rsid w:val="00ED10F5"/>
    <w:rsid w:val="00EE47C3"/>
    <w:rsid w:val="00EF44C9"/>
    <w:rsid w:val="00F30A01"/>
    <w:rsid w:val="00F46C29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73A9028E-2F21-48F4-AFC4-E2D7BE86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79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02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5280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A02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02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02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02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02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02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B49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0A02C7"/>
  </w:style>
  <w:style w:type="paragraph" w:styleId="a7">
    <w:name w:val="Body Text"/>
    <w:basedOn w:val="a2"/>
    <w:link w:val="aa"/>
    <w:uiPriority w:val="99"/>
    <w:rsid w:val="00A1477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0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0A02C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521B9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83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1B9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A02C7"/>
    <w:pPr>
      <w:numPr>
        <w:numId w:val="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02C7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0A02C7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A94137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0A02C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8A2C8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0A02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02C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02C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E4D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02C7"/>
    <w:rPr>
      <w:i/>
      <w:iCs/>
    </w:rPr>
  </w:style>
  <w:style w:type="character" w:styleId="af2">
    <w:name w:val="Hyperlink"/>
    <w:uiPriority w:val="99"/>
    <w:rsid w:val="000A02C7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0A0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A02C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0A02C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0A02C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49FC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0A02C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974ACB"/>
    <w:pPr>
      <w:numPr>
        <w:numId w:val="16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02C7"/>
    <w:rPr>
      <w:b/>
      <w:bCs/>
    </w:rPr>
  </w:style>
  <w:style w:type="character" w:customStyle="1" w:styleId="af8">
    <w:name w:val="номер страницы"/>
    <w:uiPriority w:val="99"/>
    <w:rsid w:val="000A02C7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5741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0A02C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0A02C7"/>
    <w:rPr>
      <w:vertAlign w:val="superscript"/>
    </w:rPr>
  </w:style>
  <w:style w:type="paragraph" w:styleId="23">
    <w:name w:val="Body Text Indent 2"/>
    <w:basedOn w:val="a2"/>
    <w:link w:val="24"/>
    <w:uiPriority w:val="99"/>
    <w:rsid w:val="000A02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02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0A02C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CD070A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A94137"/>
  </w:style>
  <w:style w:type="table" w:styleId="aff">
    <w:name w:val="Table Grid"/>
    <w:basedOn w:val="a4"/>
    <w:uiPriority w:val="99"/>
    <w:rsid w:val="00416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033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97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16B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19303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2014-02-25T11:47:00Z</dcterms:created>
  <dcterms:modified xsi:type="dcterms:W3CDTF">2014-02-25T11:47:00Z</dcterms:modified>
</cp:coreProperties>
</file>