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15" w:rsidRDefault="00390115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390115" w:rsidRDefault="00390115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390115" w:rsidRDefault="00390115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390115" w:rsidRDefault="00390115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390115" w:rsidRDefault="00390115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390115" w:rsidRDefault="00390115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390115" w:rsidRDefault="00390115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390115" w:rsidRDefault="00390115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390115" w:rsidRDefault="00390115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390115" w:rsidRDefault="00390115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390115" w:rsidRDefault="00390115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390115" w:rsidRDefault="00390115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390115" w:rsidRDefault="00390115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390115" w:rsidRDefault="00390115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4F7E80" w:rsidRDefault="004F7E80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BC6665" w:rsidRPr="00390115" w:rsidRDefault="003953D3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390115">
        <w:rPr>
          <w:b/>
          <w:sz w:val="28"/>
          <w:szCs w:val="36"/>
        </w:rPr>
        <w:t>Экспертиза</w:t>
      </w:r>
      <w:r w:rsidR="00390115">
        <w:rPr>
          <w:b/>
          <w:sz w:val="28"/>
          <w:szCs w:val="36"/>
        </w:rPr>
        <w:t xml:space="preserve"> </w:t>
      </w:r>
      <w:r w:rsidRPr="00390115">
        <w:rPr>
          <w:b/>
          <w:sz w:val="28"/>
          <w:szCs w:val="36"/>
        </w:rPr>
        <w:t>как</w:t>
      </w:r>
      <w:r w:rsidR="00390115">
        <w:rPr>
          <w:b/>
          <w:sz w:val="28"/>
          <w:szCs w:val="36"/>
        </w:rPr>
        <w:t xml:space="preserve"> </w:t>
      </w:r>
      <w:r w:rsidR="00F16E72" w:rsidRPr="00390115">
        <w:rPr>
          <w:b/>
          <w:sz w:val="28"/>
          <w:szCs w:val="36"/>
        </w:rPr>
        <w:t>основная</w:t>
      </w:r>
      <w:r w:rsidR="00390115">
        <w:rPr>
          <w:b/>
          <w:sz w:val="28"/>
          <w:szCs w:val="36"/>
        </w:rPr>
        <w:t xml:space="preserve"> </w:t>
      </w:r>
      <w:r w:rsidR="00F16E72" w:rsidRPr="00390115">
        <w:rPr>
          <w:b/>
          <w:sz w:val="28"/>
          <w:szCs w:val="36"/>
        </w:rPr>
        <w:t>форма</w:t>
      </w:r>
      <w:r w:rsidR="00390115">
        <w:rPr>
          <w:b/>
          <w:sz w:val="28"/>
          <w:szCs w:val="36"/>
        </w:rPr>
        <w:t xml:space="preserve"> </w:t>
      </w:r>
      <w:r w:rsidR="00F16E72" w:rsidRPr="00390115">
        <w:rPr>
          <w:b/>
          <w:sz w:val="28"/>
          <w:szCs w:val="36"/>
        </w:rPr>
        <w:t>использования</w:t>
      </w:r>
      <w:r w:rsidR="00390115">
        <w:rPr>
          <w:b/>
          <w:sz w:val="28"/>
          <w:szCs w:val="36"/>
        </w:rPr>
        <w:t xml:space="preserve"> </w:t>
      </w:r>
      <w:r w:rsidR="00F16E72" w:rsidRPr="00390115">
        <w:rPr>
          <w:b/>
          <w:sz w:val="28"/>
          <w:szCs w:val="36"/>
        </w:rPr>
        <w:t>специальных</w:t>
      </w:r>
      <w:r w:rsidR="00390115">
        <w:rPr>
          <w:b/>
          <w:sz w:val="28"/>
          <w:szCs w:val="36"/>
        </w:rPr>
        <w:t xml:space="preserve"> </w:t>
      </w:r>
      <w:r w:rsidR="00F16E72" w:rsidRPr="00390115">
        <w:rPr>
          <w:b/>
          <w:sz w:val="28"/>
          <w:szCs w:val="36"/>
        </w:rPr>
        <w:t>познаний</w:t>
      </w:r>
      <w:r w:rsidR="00390115">
        <w:rPr>
          <w:b/>
          <w:sz w:val="28"/>
          <w:szCs w:val="36"/>
        </w:rPr>
        <w:t xml:space="preserve"> </w:t>
      </w:r>
      <w:r w:rsidR="00F16E72" w:rsidRPr="00390115">
        <w:rPr>
          <w:b/>
          <w:sz w:val="28"/>
          <w:szCs w:val="36"/>
        </w:rPr>
        <w:t>в</w:t>
      </w:r>
      <w:r w:rsidR="00390115">
        <w:rPr>
          <w:b/>
          <w:sz w:val="28"/>
          <w:szCs w:val="36"/>
        </w:rPr>
        <w:t xml:space="preserve"> </w:t>
      </w:r>
      <w:r w:rsidR="00F16E72" w:rsidRPr="00390115">
        <w:rPr>
          <w:b/>
          <w:sz w:val="28"/>
          <w:szCs w:val="36"/>
        </w:rPr>
        <w:t>уголовном</w:t>
      </w:r>
      <w:r w:rsidR="00390115">
        <w:rPr>
          <w:b/>
          <w:sz w:val="28"/>
          <w:szCs w:val="36"/>
        </w:rPr>
        <w:t xml:space="preserve"> </w:t>
      </w:r>
      <w:r w:rsidR="00F16E72" w:rsidRPr="00390115">
        <w:rPr>
          <w:b/>
          <w:sz w:val="28"/>
          <w:szCs w:val="36"/>
        </w:rPr>
        <w:t>процессе</w:t>
      </w:r>
    </w:p>
    <w:p w:rsidR="00BC6665" w:rsidRPr="00390115" w:rsidRDefault="00BC6665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BC6665" w:rsidRPr="00390115" w:rsidRDefault="00BC6665" w:rsidP="00390115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BC6665" w:rsidRDefault="00390115" w:rsidP="00390115">
      <w:pPr>
        <w:pStyle w:val="11"/>
        <w:tabs>
          <w:tab w:val="right" w:leader="dot" w:pos="934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BC6665" w:rsidRPr="00390115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390115">
        <w:rPr>
          <w:rFonts w:ascii="Times New Roman" w:hAnsi="Times New Roman"/>
          <w:b/>
          <w:sz w:val="28"/>
          <w:szCs w:val="28"/>
          <w:lang w:val="ru-RU"/>
        </w:rPr>
        <w:t>одержание</w:t>
      </w:r>
    </w:p>
    <w:p w:rsidR="00BC6665" w:rsidRPr="00390115" w:rsidRDefault="00BC6665" w:rsidP="00390115">
      <w:pPr>
        <w:spacing w:line="360" w:lineRule="auto"/>
        <w:ind w:firstLine="709"/>
        <w:jc w:val="both"/>
        <w:rPr>
          <w:sz w:val="28"/>
          <w:szCs w:val="28"/>
        </w:rPr>
      </w:pPr>
    </w:p>
    <w:p w:rsidR="00390115" w:rsidRPr="00390115" w:rsidRDefault="001C3CFF" w:rsidP="003901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Экспертиза </w:t>
      </w:r>
      <w:r w:rsidR="00390115" w:rsidRPr="00390115">
        <w:rPr>
          <w:sz w:val="28"/>
          <w:szCs w:val="28"/>
        </w:rPr>
        <w:t>как основная форма использования специальных познаний в уголовном процессе</w:t>
      </w:r>
    </w:p>
    <w:p w:rsidR="00390115" w:rsidRPr="00390115" w:rsidRDefault="00390115" w:rsidP="00390115">
      <w:pPr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1.1 Понятие заключения эксперта</w:t>
      </w:r>
    </w:p>
    <w:p w:rsidR="00390115" w:rsidRPr="00390115" w:rsidRDefault="00390115" w:rsidP="00390115">
      <w:pPr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1.2 Структура и содержание заключения эксперта</w:t>
      </w:r>
    </w:p>
    <w:p w:rsidR="00390115" w:rsidRPr="00390115" w:rsidRDefault="00390115" w:rsidP="00390115">
      <w:pPr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Список использованных источников</w:t>
      </w:r>
    </w:p>
    <w:p w:rsidR="00390115" w:rsidRPr="00390115" w:rsidRDefault="00390115" w:rsidP="00390115">
      <w:pPr>
        <w:spacing w:line="360" w:lineRule="auto"/>
        <w:jc w:val="both"/>
        <w:rPr>
          <w:b/>
          <w:sz w:val="28"/>
          <w:szCs w:val="28"/>
        </w:rPr>
      </w:pPr>
    </w:p>
    <w:p w:rsidR="003953D3" w:rsidRPr="00390115" w:rsidRDefault="00BC6665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90115">
        <w:rPr>
          <w:b/>
          <w:sz w:val="28"/>
          <w:szCs w:val="28"/>
        </w:rPr>
        <w:br w:type="page"/>
      </w:r>
      <w:r w:rsidR="003953D3" w:rsidRPr="00390115">
        <w:rPr>
          <w:b/>
          <w:bCs/>
          <w:sz w:val="28"/>
          <w:szCs w:val="28"/>
        </w:rPr>
        <w:t>1.</w:t>
      </w:r>
      <w:r w:rsidR="00390115">
        <w:rPr>
          <w:b/>
          <w:bCs/>
          <w:sz w:val="28"/>
          <w:szCs w:val="28"/>
        </w:rPr>
        <w:t xml:space="preserve"> </w:t>
      </w:r>
      <w:r w:rsidR="003953D3" w:rsidRPr="00390115">
        <w:rPr>
          <w:b/>
          <w:sz w:val="28"/>
          <w:szCs w:val="28"/>
        </w:rPr>
        <w:t>Э</w:t>
      </w:r>
      <w:r w:rsidR="00390115" w:rsidRPr="00390115">
        <w:rPr>
          <w:b/>
          <w:sz w:val="28"/>
          <w:szCs w:val="28"/>
        </w:rPr>
        <w:t>кспертиза</w:t>
      </w:r>
      <w:r w:rsidR="00390115">
        <w:rPr>
          <w:b/>
          <w:sz w:val="28"/>
          <w:szCs w:val="28"/>
        </w:rPr>
        <w:t xml:space="preserve"> </w:t>
      </w:r>
      <w:r w:rsidR="00390115" w:rsidRPr="00390115">
        <w:rPr>
          <w:b/>
          <w:sz w:val="28"/>
          <w:szCs w:val="28"/>
        </w:rPr>
        <w:t>как</w:t>
      </w:r>
      <w:r w:rsidR="00390115">
        <w:rPr>
          <w:b/>
          <w:sz w:val="28"/>
          <w:szCs w:val="28"/>
        </w:rPr>
        <w:t xml:space="preserve"> </w:t>
      </w:r>
      <w:r w:rsidR="00390115" w:rsidRPr="00390115">
        <w:rPr>
          <w:b/>
          <w:sz w:val="28"/>
          <w:szCs w:val="28"/>
        </w:rPr>
        <w:t>основная</w:t>
      </w:r>
      <w:r w:rsidR="00390115">
        <w:rPr>
          <w:b/>
          <w:sz w:val="28"/>
          <w:szCs w:val="28"/>
        </w:rPr>
        <w:t xml:space="preserve"> </w:t>
      </w:r>
      <w:r w:rsidR="00390115" w:rsidRPr="00390115">
        <w:rPr>
          <w:b/>
          <w:sz w:val="28"/>
          <w:szCs w:val="28"/>
        </w:rPr>
        <w:t>форма</w:t>
      </w:r>
      <w:r w:rsidR="00390115">
        <w:rPr>
          <w:b/>
          <w:sz w:val="28"/>
          <w:szCs w:val="28"/>
        </w:rPr>
        <w:t xml:space="preserve"> </w:t>
      </w:r>
      <w:r w:rsidR="00390115" w:rsidRPr="00390115">
        <w:rPr>
          <w:b/>
          <w:sz w:val="28"/>
          <w:szCs w:val="28"/>
        </w:rPr>
        <w:t>использования</w:t>
      </w:r>
      <w:r w:rsidR="00390115">
        <w:rPr>
          <w:b/>
          <w:sz w:val="28"/>
          <w:szCs w:val="28"/>
        </w:rPr>
        <w:t xml:space="preserve"> </w:t>
      </w:r>
      <w:r w:rsidR="00390115" w:rsidRPr="00390115">
        <w:rPr>
          <w:b/>
          <w:sz w:val="28"/>
          <w:szCs w:val="28"/>
        </w:rPr>
        <w:t>специальных</w:t>
      </w:r>
      <w:r w:rsidR="00390115">
        <w:rPr>
          <w:b/>
          <w:sz w:val="28"/>
          <w:szCs w:val="28"/>
        </w:rPr>
        <w:t xml:space="preserve"> </w:t>
      </w:r>
      <w:r w:rsidR="00390115" w:rsidRPr="00390115">
        <w:rPr>
          <w:b/>
          <w:sz w:val="28"/>
          <w:szCs w:val="28"/>
        </w:rPr>
        <w:t>познаний</w:t>
      </w:r>
      <w:r w:rsidR="00390115">
        <w:rPr>
          <w:b/>
          <w:sz w:val="28"/>
          <w:szCs w:val="28"/>
        </w:rPr>
        <w:t xml:space="preserve"> </w:t>
      </w:r>
      <w:r w:rsidR="00390115" w:rsidRPr="00390115">
        <w:rPr>
          <w:b/>
          <w:sz w:val="28"/>
          <w:szCs w:val="28"/>
        </w:rPr>
        <w:t>в</w:t>
      </w:r>
      <w:r w:rsidR="00390115">
        <w:rPr>
          <w:b/>
          <w:sz w:val="28"/>
          <w:szCs w:val="28"/>
        </w:rPr>
        <w:t xml:space="preserve"> </w:t>
      </w:r>
      <w:r w:rsidR="00390115" w:rsidRPr="00390115">
        <w:rPr>
          <w:b/>
          <w:sz w:val="28"/>
          <w:szCs w:val="28"/>
        </w:rPr>
        <w:t>уголовном</w:t>
      </w:r>
      <w:r w:rsidR="00390115">
        <w:rPr>
          <w:b/>
          <w:sz w:val="28"/>
          <w:szCs w:val="28"/>
        </w:rPr>
        <w:t xml:space="preserve"> </w:t>
      </w:r>
      <w:r w:rsidR="00390115" w:rsidRPr="00390115">
        <w:rPr>
          <w:b/>
          <w:sz w:val="28"/>
          <w:szCs w:val="28"/>
        </w:rPr>
        <w:t>процессе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90115">
        <w:rPr>
          <w:b/>
          <w:sz w:val="28"/>
          <w:szCs w:val="28"/>
        </w:rPr>
        <w:t>1.1</w:t>
      </w:r>
      <w:r w:rsidR="00390115">
        <w:rPr>
          <w:b/>
          <w:sz w:val="28"/>
          <w:szCs w:val="28"/>
        </w:rPr>
        <w:t xml:space="preserve"> </w:t>
      </w:r>
      <w:r w:rsidRPr="00390115">
        <w:rPr>
          <w:b/>
          <w:sz w:val="28"/>
          <w:szCs w:val="28"/>
        </w:rPr>
        <w:t>Понятие</w:t>
      </w:r>
      <w:r w:rsidR="00390115">
        <w:rPr>
          <w:b/>
          <w:sz w:val="28"/>
          <w:szCs w:val="28"/>
        </w:rPr>
        <w:t xml:space="preserve"> </w:t>
      </w:r>
      <w:r w:rsidRPr="00390115">
        <w:rPr>
          <w:b/>
          <w:sz w:val="28"/>
          <w:szCs w:val="28"/>
        </w:rPr>
        <w:t>заключения</w:t>
      </w:r>
      <w:r w:rsidR="00390115">
        <w:rPr>
          <w:b/>
          <w:sz w:val="28"/>
          <w:szCs w:val="28"/>
        </w:rPr>
        <w:t xml:space="preserve"> </w:t>
      </w:r>
      <w:r w:rsidRPr="00390115">
        <w:rPr>
          <w:b/>
          <w:sz w:val="28"/>
          <w:szCs w:val="28"/>
        </w:rPr>
        <w:t>эксперта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390115">
        <w:rPr>
          <w:sz w:val="28"/>
          <w:szCs w:val="28"/>
        </w:rPr>
        <w:t>Специальные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использовались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расследовании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истины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условиях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преступности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роль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раскрытии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преступлений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более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возрастает.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Многие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аспекты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собирания,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информации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истины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новейших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достижений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328].</w:t>
      </w:r>
      <w:r w:rsidR="00390115">
        <w:rPr>
          <w:sz w:val="28"/>
          <w:szCs w:val="28"/>
        </w:rPr>
        <w:t xml:space="preserve"> 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законодательством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доказывание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осуществляется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правовых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порядке.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Однако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осуществлении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нередко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возникают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ситуации,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помимо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правовых,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отраслей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техники,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искусства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ремесла,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умения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навыки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гражданском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судопроизводстве.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ситуации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чаще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возникают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собирания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выявления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невидимых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слабо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видимых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преступлений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обеспечения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кроме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порядка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осмотров,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обысков,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выемок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закономерностей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средств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методов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выявления,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фиксации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изъятия,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навыки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умения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надлежащего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составляют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разделов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криминалистики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(трасологии,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оружия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т.д.).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кодексом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(далее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УПК)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дознания,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предварительного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рассмотрения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специалиста-криминалиста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оказания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помощи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выявлении,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фиксации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изъятии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криминалистических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связи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значимую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роль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судопроизводстве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играют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криминалистики,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медицины,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психиатрии,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бухгалтерии,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химии,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биологии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78].</w:t>
      </w:r>
    </w:p>
    <w:p w:rsidR="00F16E72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расследовании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преступлений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важно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разграничивать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способа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фактов:</w:t>
      </w:r>
      <w:r w:rsidR="00390115">
        <w:rPr>
          <w:sz w:val="28"/>
          <w:szCs w:val="28"/>
        </w:rPr>
        <w:t xml:space="preserve"> </w:t>
      </w:r>
    </w:p>
    <w:p w:rsidR="00F16E72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а)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непосредственное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восприятие;</w:t>
      </w:r>
      <w:r w:rsidR="00390115">
        <w:rPr>
          <w:sz w:val="28"/>
          <w:szCs w:val="28"/>
        </w:rPr>
        <w:t xml:space="preserve"> </w:t>
      </w:r>
    </w:p>
    <w:p w:rsidR="00F16E72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б)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скрытых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свойств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взаимосвязей.</w:t>
      </w:r>
      <w:r w:rsidR="00390115">
        <w:rPr>
          <w:sz w:val="28"/>
          <w:szCs w:val="28"/>
        </w:rPr>
        <w:t xml:space="preserve"> 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Успешное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скрытых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свойств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взаимосвязей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требует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[3,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с.373].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«специальные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познания»,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очевидно,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общераспространенными,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общедоступными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обладают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достаточно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узкую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подготовку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специализированный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опыт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техники,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[4,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180].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Смысл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расследовании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преступлений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обнаружении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оценке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представляющих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информацию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подлежащих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фактах.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числу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относятся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указывающие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тождество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личности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смерти,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недостачи,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неисправности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транспортного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технического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средства,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недоброкачественной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продукции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Существуют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расследовании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преступлений.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применяться: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а)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непосредственно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осуществляющим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расследование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рассмотрение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дела;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б)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путем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справок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консультаций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сведущих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лиц;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путем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привлечения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действиях;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г)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путем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ревизии;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д)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путем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Выбор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тактически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обоснован.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первую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очередь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учитывать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существенность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устанавливаемого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устанавливаемый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доказательственным,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аргумент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последующего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доказывания,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средство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подтверждения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выдвинутых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расследовании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версий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особенно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признакам,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устанавливается,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объяснение,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пользу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свидетельствует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лабораторного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Немаловажными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критериями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выбора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время,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надежность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достоверного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экономичность.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ординарных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расследований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подавляющее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большинство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факторов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устанавливается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посредством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обычных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действий: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осмотров,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справок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[3,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с.373].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удостоверяющий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ведущим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содержащий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мотивированные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техники,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искусства,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ремесла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сферах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95].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никаких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преимуществ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подлежит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обязательной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оценке.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Республики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Беларусь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оговорено,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обязательным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Однако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несогласие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мотивировано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постановлении,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приговоре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[6,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105].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Основные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(черты)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экспертизы: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познаний.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лишь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случаях,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(фактов)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ставить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требующие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решаться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непосредственно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[7,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с.4].</w:t>
      </w:r>
      <w:r w:rsidR="00390115">
        <w:rPr>
          <w:sz w:val="28"/>
          <w:szCs w:val="28"/>
        </w:rPr>
        <w:t xml:space="preserve"> 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2)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входящих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доказывания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фактов.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устанавливаться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случаях,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хотя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носят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входят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компетенцию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требуют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разрешения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какие-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научные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положения),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справочной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[8,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с.20].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3)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субъект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оформляет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дознания,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прокурор,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субъект-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обладающее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знаниями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техники,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искусства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ремесла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[9,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94].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наделен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рядом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обязанности.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обладает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самостоятельностью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независимостью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имени,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внутреннему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убеждению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личную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ответственность.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положению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числе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4)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производится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Уголовно-процессуальным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регламентирован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порядок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оформления;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обязанности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участников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связи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чертой,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отличающей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ревизии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несудебных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возбуждения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возбуждения,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независимо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связи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Соблюдение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допустимости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4)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оформляются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самостоятельным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оформляется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протоколом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справки,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акты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несудебных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разновидностью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самостоятельным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[8,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5)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фиксироваться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опытных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действий.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6)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письменном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Письменная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обеспечивает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отражение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сделанных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создает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всесторонней,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проверки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[10,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с.190].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Основополагающими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понятиями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теории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многими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примерно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одинаково.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Большинство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считает,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(фактические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данные),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устанавливаемые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посредством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[7,с.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4]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судебно-почерковедческой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входит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тождества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исполнителя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рукописного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(физическое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состояние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писавшего,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положение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письме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Встречающиеся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несколько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формулировки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круга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решаемых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(задач)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меняют,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авторы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вкладывают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примерно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смысл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[11,с.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98].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Такое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понимание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правильным,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вполне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оправдано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теоретически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хорошо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согласуется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доказывания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находится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соотношении,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доказывания,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9].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возражениями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против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термина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«фактические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данные»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выступает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Н.А.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Селиванов,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считает,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«факт,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реально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произошел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(мог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произойти)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прошлом,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(мог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существовать)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настоящем,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закономерности,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связи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отношения,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обусловливающие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факт».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Фактические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(сведения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фактах)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образуют,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мнению,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[13,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63].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Представляется,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противопоставления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терминов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устанавливаются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действительности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закономерности).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Однако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последующих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выступают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сведений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(фактических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данных),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поскольку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известно,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конечным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субъектом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доказывания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какие-либо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установленными,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Поэтому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антагонистическими,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отражают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аспекты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рамках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будут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рамках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доказывания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сведения,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фактические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данные.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выступают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согласно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уголовно-процессуальному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законодательству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служили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орудиями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преступления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преступных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деньги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ценности,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добытые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преступным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путем,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служить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средствами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обнаружению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преступления,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выявлению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виновных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опровержению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обвинения,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смягчению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ответственности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обвиняемого.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Помимо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протоколы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удостоверяющие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осмотре,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освидетельствовании,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выемке,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обыске,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предъявлении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опознания,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проверке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показаний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месте,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эксперименте;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носители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информации;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оперативно-розыскной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Объектами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регламентировано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статьей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234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Республики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Беларусь.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отражает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заключении.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конкретной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родового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(видового)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[14,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258].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разграничение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важное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Родовой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(видовой)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компетенцию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Конкретный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круг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решаемых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конкретной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экспертизой.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выходить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рамки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родового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Конкретный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выбора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полномочий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задавать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допрашиваемым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подобное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лишь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случаях,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отношение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проводимой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652].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Необходимо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отметить,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важности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служить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единственным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достаточным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критерием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разграничения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отдельных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компетенции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критерия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выступать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лишь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совокупность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элементов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методов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(методик)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некоторых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криминалистических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(трасологической,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баллистической)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совпадать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судебно-медицинской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механизма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выстрела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нанесения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телесных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повреждений).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Однако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Судебно-медицинской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исследуются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повреждения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человека,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криминалистической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одежде.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соответственно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методы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Объектом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источники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сведений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устанавливаемых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фактах,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носители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информации,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подвергаются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посредством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входящие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образующие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свойства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средством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фактов.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Понятие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источника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носителя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информации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фактах,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составляющих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наиболее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распространенным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юридической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[7,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9].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Спорным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относятся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фрагменты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обстановки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число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включены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события,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идеальные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авторы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определяют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[11,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4],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решительно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против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возражают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включают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(люди,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животные,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документы)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[16,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45].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принципе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подвергаться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конкретные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(события,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изучения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являющиеся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Так,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изучение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распространения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огня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скорости,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локализации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др.)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позволяет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сделать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причине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пожара.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Поэтому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гносеологическом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смысле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познавательной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выступать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любой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менее,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целесообразным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более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узкое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понимание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именно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лишь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конкретных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подвергающихся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исследованию.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Причем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понимание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более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оправдано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потому,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противном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смешение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соображение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аргументом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сторонников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точки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зрения).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применительно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познавательной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гносеологическим,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правовым,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единство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гносеологического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правового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аспектов.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Правовой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режим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распространен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лишь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реально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существующие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нематериального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(факты,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события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прошлого)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какого-либо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статуса,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отношении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какой-либо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режим.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связи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более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правильным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понимать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поскольку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позволяет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наиболее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учитывать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правовую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специфику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12].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Таким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(объекты)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мира,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подлежащие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входящих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Рассмотрим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теперь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классификации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Помимо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носителя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информации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родового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(видового)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конкретного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родовым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(видовым)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понимается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какой-либо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класс,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категория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обладающих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признаками.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Родовой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играет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существенную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роль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разграничении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отдельных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судебно-баллистической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огнестрельное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оружие,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боеприпасы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выстрела;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дактилоскопической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пальцев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ладоней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Дробление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существующих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создание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новых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нередко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происходит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родового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Примером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служить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разделение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традиционной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криминалистической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ряд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самостоятельных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баллистическую,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трасологическую,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техническую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др.,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каждая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родовой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конкретным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понимается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исследуемый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Любой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конкретный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индивидуален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неповторим,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специфику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Помимо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приведенной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классификации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принятой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юридической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целесообразным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выделение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еще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непосредственного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Непосредственный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совокупность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однородных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свойств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подвергаются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исследованию.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известно,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любой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материальный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обладает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неисчерпаемым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числом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свойств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принципе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бесконечно.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Поэтому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родового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недостаточно.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Один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одежда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выступать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товароведческой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изделий,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наличии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каких-нибудь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повреждений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трасологической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баллистической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Критерием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разграничения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непосредственный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свойства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подвергаются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(товарные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свойства,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технологические,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химический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повреждения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непосредственному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почерковедческая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техническая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одинаковый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родовой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(документы),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ряд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Объекты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разделены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виды: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приобщенные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делу.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многих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(баллистической,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трасологической,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товароведческой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др.);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особый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судебно-бухгалтерской,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строительной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некоторых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экспертиз;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живые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выступают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судебно-медицинской,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судебно-психиатрической,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судебно-психологической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положение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(обвиняемый,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потерпевший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др.);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статуса.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относятся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трупы,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закрепленные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место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происшествия).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гносеологическом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плане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выполняют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роль,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Однако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фигурируют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соображениям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морально-этического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порядка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(трупы),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ввиду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распространить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режим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(участки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местности,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здания,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сооружения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Однако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означает,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вообще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никакой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официально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предоставлены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распоряжение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подлежащих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исследованию,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постановлении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отношении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какой-то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режим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(приостановлен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время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производственный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закрыт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доступ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посторонним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Отдельного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рассмотрения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заслуживает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природе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наш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взгляд,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разновидностью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отображают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свойства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доказательства-оригинала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используются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вместо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последнего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материальная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модель.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видов: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копии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путем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копирования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оригинала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(слепки,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оттиски);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2)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предметы-аналоги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(заменители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обладающие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родовыми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используемые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вместо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оригинала,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последний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обнаружен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причинам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вместо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необнаруженного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ножа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орудия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убийства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исследуется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нож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типа);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3)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[17,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6].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Характер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события,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возникают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копирует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механизм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формирования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доказательства-оригинала,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различным.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видов: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экспериментальные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событие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воспроизводится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искусственно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экспериментально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отстрелянные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пуль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гильз);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свободные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возникают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стихийно,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связи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расследуемым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событием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свободные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почерка);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естественные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образующиеся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продукт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физиологической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организма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(образцы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крови,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волос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способу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субъекту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(судебно-следственными)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экспертными.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(судебно-следственные)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(судом)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порядке,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уголовно-процессуальным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законом.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изготовляются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вправе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применять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любые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методы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отношении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предоставленных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распоряжение,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числе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изготавливать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копии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нуждается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каком-либо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отдельном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оформлении.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фиксируется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едином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отражается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нужно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путать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предметами,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именуемыми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обыденной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речи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литературе)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(образцы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недоброкачественной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продукции,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краски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каких-то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загрязнений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автомобиля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природе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обычно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доказательствами,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точнее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целиком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необходимости.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судопроизводстве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помимо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познаний.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отнести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ревизию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действий.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Рассмотрим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соотношение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разграничение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экспертизой.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Ревизия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проверки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финансово-хозяйственной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предприятий,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организаций,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правильности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постановки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бухгалтерского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складского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хозяйства.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(судебно-бухгалтерской,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строительно-технической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др.)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Ревизия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действием.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ревизии,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самостоятельным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разновидностью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документов.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положение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ревизора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Ревизор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предупреждается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ответственности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отказ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ревизии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дачу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заведомо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ложных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вообще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фигурой,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имеющей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какие-то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обязанности.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допрашивается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свидетеля.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Ревизор,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вправе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самостоятельно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изымать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беседовать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лицами,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проверяется.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предоставлены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(судом).</w:t>
      </w:r>
      <w:r w:rsidR="00390115">
        <w:rPr>
          <w:sz w:val="28"/>
          <w:szCs w:val="28"/>
        </w:rPr>
        <w:t xml:space="preserve"> 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Участие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деятельностью,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регламентированной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законом.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достаточно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компетентное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незаинтересованное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исходе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между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функциях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положении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20].</w:t>
      </w:r>
      <w:r w:rsidR="00390115">
        <w:rPr>
          <w:sz w:val="28"/>
          <w:szCs w:val="28"/>
        </w:rPr>
        <w:t xml:space="preserve"> 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Специалистом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заинтересованное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исходе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обладающее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знаниями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науке,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технике,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искусстве,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ремесле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сферах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вызванное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ведущим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оказания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содействия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действий.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Педагог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психолог,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участвующие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несовершеннолетних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подозреваемого,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обвиняемого,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потерпевшего,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свидетеля,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ст.62].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Наиболее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привлекаются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криминалисты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осмотре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происшествия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убийствах,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кражах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др.),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медики,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автодорожным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происшествиям,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пожарах.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принципе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(судом)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приглашен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любой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зависимости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вызываются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работники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судебно-экспертных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(эксперты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должности).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самостоятельного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выступают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протокола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21].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Однако,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последующего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[18,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87].</w:t>
      </w:r>
      <w:r w:rsidR="00390115">
        <w:rPr>
          <w:sz w:val="28"/>
          <w:szCs w:val="28"/>
        </w:rPr>
        <w:t xml:space="preserve"> 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юридической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встречаются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утверждения,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вообще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никакого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[19,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с.16].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неверно.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Выявленные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изготовленные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модели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(слепки,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оттиски,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схемы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др.),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средств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фиксации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(киносъемка,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звукозапись),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безусловно,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доказательственное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причем,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нередко,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весьма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существенное.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фиксируется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рамках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объективизируется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отдельный,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самостоятельный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источник,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каковым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означает,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рассматриваемая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вообще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никакого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просто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выступает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органическая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совокупной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ряда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порождает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отдельного,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самостоятельного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источника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доказательственной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информации.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Нельзя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согласиться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мнением,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никаких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относятся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рамках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элементарные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исследовательские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визуального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осмотра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поиске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более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сложные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сопряженные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научно-технических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средств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аппаратуры.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(помимо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формы)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следующем.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исследовательских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наглядно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воспринимаемые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общедоступный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участникам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числе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понятым,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засвидетельствовать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рамках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действий.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связи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отметить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еще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один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момент,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отличающий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осуществляет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принципе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выполнить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обладает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знаниями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навыками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исключением,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разумеется,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случаев,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обязательно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закону).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функции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несовместимы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независимо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того,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обладает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познаниями,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положение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относится.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Поэтому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где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достаточно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компетентен,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обойтись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отметить,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практике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юридической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нередко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встречается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неправильное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понимание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функций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положения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функциям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нередко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относят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помощь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разработке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версий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планировании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расследования,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консультации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целесообразности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задания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правильной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формулировке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ставящихся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оценке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наш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взгляд,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здесь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допускается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смешение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общеупотребительном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смысле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слова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фигуры.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Разумеется,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вправе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любую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консультацию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какого-то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сведущего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(равно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почитать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каким-то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повысить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квалификацию).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станет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смысле.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предусматривает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действиях.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Дача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каких-либо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консультаций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рамками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непроцессуальная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деятельность.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осуществляется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консультация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телефону),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сведущее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приобретает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никаких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обязанностей,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никакой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ответственности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наконец,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непроцессуальная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консультационная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препятствием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последующему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22].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связи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решительно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осуждена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практика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справок.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предусматривает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никаких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справок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никакой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рамками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справки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некоторым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вопросам,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требующим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выдаваться,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(т.е.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приглашенным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учреждениями,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предприятиями,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организациями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должностными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лицами.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рамках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знакомиться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протоколом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участвовал,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протоколом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заседания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подлежащие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внесению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протокол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замечания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относительно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полноты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правильности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записи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производившихся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действий.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остальные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предложения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советы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целесообразности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нецелесообразности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ориентирующее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никакой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фиксации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подлежат.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Лишено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всякого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смысла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справок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каких-то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вопросам,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имеющим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вполне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достаточно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консультации.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справкам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придать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статус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будет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означать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наделение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доказательственное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следовательно,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смешение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компетенции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фактическое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выполнение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функций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гарантий,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отношении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90115">
        <w:rPr>
          <w:b/>
          <w:sz w:val="28"/>
          <w:szCs w:val="28"/>
        </w:rPr>
        <w:t>1.2</w:t>
      </w:r>
      <w:r w:rsidR="00390115">
        <w:rPr>
          <w:b/>
          <w:sz w:val="28"/>
          <w:szCs w:val="28"/>
        </w:rPr>
        <w:t xml:space="preserve"> </w:t>
      </w:r>
      <w:r w:rsidRPr="00390115">
        <w:rPr>
          <w:b/>
          <w:sz w:val="28"/>
          <w:szCs w:val="28"/>
        </w:rPr>
        <w:t>Структура</w:t>
      </w:r>
      <w:r w:rsidR="00390115">
        <w:rPr>
          <w:b/>
          <w:sz w:val="28"/>
          <w:szCs w:val="28"/>
        </w:rPr>
        <w:t xml:space="preserve"> </w:t>
      </w:r>
      <w:r w:rsidRPr="00390115">
        <w:rPr>
          <w:b/>
          <w:sz w:val="28"/>
          <w:szCs w:val="28"/>
        </w:rPr>
        <w:t>и</w:t>
      </w:r>
      <w:r w:rsidR="00390115">
        <w:rPr>
          <w:b/>
          <w:sz w:val="28"/>
          <w:szCs w:val="28"/>
        </w:rPr>
        <w:t xml:space="preserve"> </w:t>
      </w:r>
      <w:r w:rsidRPr="00390115">
        <w:rPr>
          <w:b/>
          <w:sz w:val="28"/>
          <w:szCs w:val="28"/>
        </w:rPr>
        <w:t>содержание</w:t>
      </w:r>
      <w:r w:rsidR="00390115">
        <w:rPr>
          <w:b/>
          <w:sz w:val="28"/>
          <w:szCs w:val="28"/>
        </w:rPr>
        <w:t xml:space="preserve"> </w:t>
      </w:r>
      <w:r w:rsidRPr="00390115">
        <w:rPr>
          <w:b/>
          <w:sz w:val="28"/>
          <w:szCs w:val="28"/>
        </w:rPr>
        <w:t>заключения</w:t>
      </w:r>
      <w:r w:rsidR="00390115">
        <w:rPr>
          <w:b/>
          <w:sz w:val="28"/>
          <w:szCs w:val="28"/>
        </w:rPr>
        <w:t xml:space="preserve"> </w:t>
      </w:r>
      <w:r w:rsidRPr="00390115">
        <w:rPr>
          <w:b/>
          <w:sz w:val="28"/>
          <w:szCs w:val="28"/>
        </w:rPr>
        <w:t>эксперта</w:t>
      </w:r>
    </w:p>
    <w:p w:rsidR="003953D3" w:rsidRPr="00E60321" w:rsidRDefault="001C3CFF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E60321">
        <w:rPr>
          <w:color w:val="FFFFFF"/>
          <w:sz w:val="28"/>
          <w:szCs w:val="28"/>
        </w:rPr>
        <w:t>преступление эксперт исследование доказательство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Уголовно-процессуальный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регламентирует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лишь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чертах.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Согласно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Республики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Беларусь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дознаватель,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выносят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постановление,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указываются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фамилия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наименование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предоставляемые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распоряжение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227].</w:t>
      </w:r>
      <w:r w:rsidR="00390115">
        <w:rPr>
          <w:sz w:val="28"/>
          <w:szCs w:val="28"/>
        </w:rPr>
        <w:t xml:space="preserve"> 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практике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выработаны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более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подробные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реквизиты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структура,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нашло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закрепление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ведомственных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положениях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инструкциях,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регулирующих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отражено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бланках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(образцах)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[20,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4].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частей: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вводной,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исследовательской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[21,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98].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выделяется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еще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четвертая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раздел)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синтезирующая.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вводной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излагается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информация,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позволяющая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индивидуализировать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[22,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230],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указывается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номер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наименование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краткое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изложение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обусловивших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(фактическое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основание),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номер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наименование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назначившем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экспертизу,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правовое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(постановление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выполнено),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поступления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подписания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фамилия,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отчество,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образование,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(общая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экспертная),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степень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звание,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должность;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наименование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поступивших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способ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доставки,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упаковки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реквизиты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исследуемых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некоторым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автотехнической),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исходные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данные;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лицах,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присутствовавших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(фамилия,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инициалы,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положение)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разрешение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разрешаемые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инициативе,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обычно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приводятся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вводной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дополнительной,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повторной,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комиссионной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комплексной,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особо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отмечается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вводной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дополнительной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повторной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излагаются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предшествующих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учреждениях,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проводились,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номер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дополнительной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повторной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постановлении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(определении)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назначении.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заявлялись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ходатайства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предоставлении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дополнительных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(исходных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данных),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отмечается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вводной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направления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ходатайства,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разрешения.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вводной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отражается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таковое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имело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место,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осмотре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происшествия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действиях.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Вопросы,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приводятся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формулировке,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постановлении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(определении)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Однако,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сформулирован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принятыми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рекомендациями,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смысл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понятен,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вправе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переформулировать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понимает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познаниями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обязательным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приведением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первоначальной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формулировки).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типа: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идентичны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(тождественны)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почвы,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изъятые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происшествия,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почвой,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обнаруженной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обуви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обвиняемого?»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обычно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переформулируют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следующим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образом: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принадлежит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почва,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изъятая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происшествия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обуви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обвиняемого,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местности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(роду,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группе)?»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смысл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неясен,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обратиться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разъяснением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органу,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назначившему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экспертизу.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наличии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нескольких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вправе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сгруппировать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изложив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последовательности,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обеспечила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наиболее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целесообразный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порядок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[20,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4].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исследовательской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излагается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научное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объяснение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фактов.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Здесь,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состояние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методы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технические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числе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эксперимента,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таковой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проводился),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ссылка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справочно-нормативные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источники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28].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Процесс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трасологических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задач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стадии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комбинации,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зависимости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исследования: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Предварительное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Раздельное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эксперимент.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Анализ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формирование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выводов.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Названия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стадий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тексте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правило,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выделяются.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Однако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описание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каждой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стадии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непременно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начинать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красной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строки.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Предварительное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Основные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описываемые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тексте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стадии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следующими: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состояния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упаковки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тексте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фиксируются: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упаковки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(пакет,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сверток,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конверт,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коробка,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ящик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(бумага,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полиэтилен,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ткань,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картон,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фанера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цвет,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состояние.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Проверяют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оттиска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печати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(указание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обязательно),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сведений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месте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изъятия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подписей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понятых,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перечня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наименования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количества).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Любое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повреждение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упаковки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претерпевших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необратимые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изменения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транспортировки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(раскрошившийся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гипсовый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слепок,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коррозированный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орудие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отражены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заключении.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2.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Выявление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количественных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характеристик.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тексте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отражаются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(наименование,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цвет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поверхности,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размерные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характеристики,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маркировка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обозначения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3.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Проверка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внешних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количества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описанию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постановлении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(определении)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отмечается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тексте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4.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Формирование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суждения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целесообразности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зависимости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состояния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поставленных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наличия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научно-технической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базы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правило,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целесообразности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письменное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уведомление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направляет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адрес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(органа),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назначившего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экспертизу,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подробным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изложением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причин.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Раздельное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Описание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каждой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стадии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целесообразно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начинать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перечисления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методов,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средств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инструментов,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используемых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уделять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внимания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описанию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внешнего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строения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объекта-следоносителя,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отношения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следообразования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оказывающих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никакого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влияния.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описании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акцентировать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внимание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признаках,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определяющих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механизм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следообразования.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Необходимо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четко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однозначно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дифференцировать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собственно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отобразившиеся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поскольку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размеры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далеко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отражают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следообразующих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Примерная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формулировка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обоснования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пригодности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идентификации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выглядеть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следующим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образом: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«Перечисленные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особенности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отображением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устойчивых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элементов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(деталей)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строения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рельефа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(микрорельефа)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возникших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изготовлении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(эксплуатации,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ремонте),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совокупности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случайных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факторов.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Качественная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количественная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характеристики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совокупности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индивидуальную,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позволяет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пригодным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идентификации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образовавшего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объекта».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формулировании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непригодности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идентификации,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конкретную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причину.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описании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исследуемого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соблюдать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последовательность,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позволяющую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наиболее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обязательном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порядке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группах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описаны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признаки: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наименование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конструкция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составляющие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элементы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(части),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соединения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(подвижный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неподвижный),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максимальные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размеры,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покрытия,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инородных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частиц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маркировки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обозначений,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модель,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тип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рисунка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покрышках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автомототранспортных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средств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обуви),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степень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износа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локализация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участков,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половая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возрастная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принадлежность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одежды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обуви),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максимальные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размеры,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маркировок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обозначений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(фирма,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модель,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размер).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После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констатируется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конструкции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поверхности)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(элемента,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детали),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характеристикам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(размеры,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конфигурация)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аналогичным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характеристикам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исследуемого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следа.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особой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тщательностью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описать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элемент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следообразующего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непосредственно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контактировавший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объектом-следоносителем.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раздельного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следообразующего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изложен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примерно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следующем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виде: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«Установленные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(выявленные)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особенности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рельефного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строения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лезвия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топора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(режущих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кромок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сверла,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губок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кусачек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образовались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эксплуатации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(заточки).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конфигурация,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размеры,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расположение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взаиморасположение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комплекса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случайных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факторов,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позволяет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совокупность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индивидуальную».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Начинать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описание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эксперимента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перечисления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проведения.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Затем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детально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изложить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порядок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экспериментальные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следы;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следообразующего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оставлены;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факторы,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изменяемые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(встречный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фронтальный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углы,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сила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давления,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скорость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прокатки,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количество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количество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экспериментальных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обоснования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устойчивом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отображении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внешнего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строения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экспериментальных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скольжения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обязательно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диапазон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изменений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встречного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фронтального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углов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объяснить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выбор.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конце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описания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анализ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полноты,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четкости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устойчивости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отображения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идентифицируемого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Описание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начинать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способа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(технического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приема)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проведения: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сопоставление,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совмещение,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наложение;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средств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условий: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микроскопа,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степень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увеличения,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направленность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углы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освещенности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сравниваемых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(следов).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Далее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простой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констатации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изложить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(исследуемого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экспериментального),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начиная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перечисления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признаков.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причина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отображениях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оценены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существенные,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вправе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перейти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изложению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следующей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стадии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анализу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противном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совпадении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отображений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отображения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описать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простой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констатации.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Наряду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совпадающими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обязательно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описать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различающиеся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[20,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8].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синтезирующей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(разделе)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суммарная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обоснование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пришел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(эксперты).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идентификационных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синтезирующая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включает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итоговую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совпадающих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различающихся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сравниваемых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констатируется,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совпадающие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устойчивыми,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существенными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образуют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образуют)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индивидуальную,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неповторимую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совокупность.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отмечалось,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синтезирующий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компонент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выделяется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самостоятельную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Нередко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выступает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раздел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(завершающий)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исследовательской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особенно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однородных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29].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Выводы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представляют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самостоятельную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Именно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здесь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формулирует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каждый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[23,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29].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квинтэссенцией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конечной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Именно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доказательственное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делу.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логическом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аспекте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умозаключение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сделанное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выявленных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исследуемом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научного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положения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30].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Основные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требования,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удовлетворять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сформулировать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принципов: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Принцип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квалифицированности.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означает,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формулировать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построения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достаточно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высокая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квалификация,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требующие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базе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простого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житейского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опыта,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ставиться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решаться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значения.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Принцип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определенности.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Согласно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недопустимы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неопределенные,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двусмысленные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позволяющие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истолкование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«одинаковости»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«аналогичности»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конкретные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совпадающие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«однородности»,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конкретный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класс,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отнесены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объекты).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Принцип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доступности.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доказывания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требуют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интерпретации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доступными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следователей,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принципу,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идентификационных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совпадении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химических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элементов,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входящих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исследуемых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поскольку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обладая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познаниями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степени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распространенности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перечисленных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химических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элементов,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состоянии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доказательственное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вообще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себе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перечисление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(химических,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технологических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др.)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ничего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говорит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суду,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неясно,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доказательственная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значимость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улики.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Поэтому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фактически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примера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привести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следующий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«Микрочастицы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резины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одинаковую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родовую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принадлежность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резиной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автомобиля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ВАЗ-9108,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относятся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сополимеров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стирола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(метилстирола)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бутадиена,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наполнителя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карбонат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кальция».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Очевидно,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любому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неспециалисту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оценить.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довести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цепь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умозаключений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этапа,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станет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общедоступным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любым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обладающим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познаниями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[24,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69].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Выводы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логическую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Поскольку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многом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зависит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доказательственное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рассмотрим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них.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идентификационных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индивидуальном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тождестве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родовой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(групповой)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принадлежности.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Последний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дается,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индивидуальное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тождество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оказалось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каким-либо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причинам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недостижимым.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Классификационный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классификационных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устанавливается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принадлежность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какому-то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классу,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категории.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идентификационных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здесь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задача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индивидуального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тождества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ставится,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исследуется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единственном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числе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какого-либо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отнесение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(неотнесение)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какому-то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классу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конечной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обычно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самостоятельное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доказательственное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отнесении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категории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огнестрельного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холодного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оружия,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наркотиков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ситуалогических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анализу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подвергается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какое-то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событие,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механизме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события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отдельных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фрагментах,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условиях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(месте,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времени,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расстоянии,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последовательности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29].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диагностических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свойства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состояние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несоответствие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какой-то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норме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(техническое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состояние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транспортных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средств,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психическое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состояние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[25,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40].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Кроме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приведенного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содержанию)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существуют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проводимые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основаниям.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Наиболее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распространено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логических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на: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категорические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вероятные;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действительности;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однозначные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альтернативные;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безусловные;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утвердительные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отрицательные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33].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смысле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наиболее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важным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логических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степени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категоричности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категорические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[26,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38].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Категорический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полностью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подтверждают.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обоснован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лишь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частично.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Категорический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означает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уверенность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правильности,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уверенности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нет.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Однако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суждение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достоверным,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категорическое.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видится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связей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доказываемым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обстоятельством.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Поэтому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логической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умозаключения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доктрине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классификация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категорические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[27,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114].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Определение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юридического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настоящего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времени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остается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дискуссионным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несмотря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предпринятые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попытки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разрешения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[22,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234].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сложилось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позиции: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—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(А.Я.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Палиашвили,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Р.Д.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Рахунов,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Строгович,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Ф.Н.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Фаткуллин);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построения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версий,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ориентирующее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(В.Д.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Арсеньев,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Винберг,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А.Р.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Шляхов);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промежуточные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содержащиеся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косвенными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(Ю.М.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Жуков,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Ю.К.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Орлов,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И.Л.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Петрухин,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М.К.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Треушников,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Чельцов)[28,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107].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Вероятный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формулироваться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лишь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довольно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высокой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степени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устанавливаемого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(обычно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«чуть-чуть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хватает»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уверенности).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небольшом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вероятностей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исследуемых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вариантов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констатировать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вопроса.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действительности,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констатируется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объективной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действительности,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лишь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какого-либо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события,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(самопроизвольного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движения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заторможенного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транспортного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средства,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выстрела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нажатия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спусковой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крючок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т.п.).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смешивать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вероятностью.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характеристика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нашего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повышаться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мере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углубления,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объективное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состояние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вещей.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устанавливается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достоверно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будучи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установленной,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меняется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того,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реализовалась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практически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Поэтому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недопустима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встречающаяся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практике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подмена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привести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путанице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ошибкам.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типа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«пуля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выстрелена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оружия»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понять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пуля,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выстрелена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оружия,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пуля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калибра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вообще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выстрелена.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Поэтому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(типа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«могло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быть»)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формулироваться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действительности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оружия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выстрелена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пуля),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какого-либо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события,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«самопроизвольного»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выстрела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падении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встряхивании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оружия)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[12,с.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33].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подразделяют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степени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однозначности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однозначные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альтернативные,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безусловные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[29,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72].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Обратим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внимание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отсутствие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самостоятельного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классифицирующего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критерия: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однозначные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безусловные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категорические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Альтернативные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известной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степени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разновидность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вероятных,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большей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степенью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связанности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искомыми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обстоятельствами.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альтернативный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схеме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"или-или")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исключает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варианты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косвенным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дальнейшем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поиске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прямых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доказательственное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тогда,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подтверждено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доказательствами.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Таким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оценивая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юридическое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обращать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внимание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обстоятельства:</w:t>
      </w:r>
      <w:r w:rsidR="00390115">
        <w:rPr>
          <w:sz w:val="28"/>
          <w:szCs w:val="28"/>
        </w:rPr>
        <w:t xml:space="preserve"> 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сформулирован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знаний;</w:t>
      </w:r>
      <w:r w:rsidR="00390115">
        <w:rPr>
          <w:sz w:val="28"/>
          <w:szCs w:val="28"/>
        </w:rPr>
        <w:t xml:space="preserve"> 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2)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оценена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степень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вероятности.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отрицательном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первый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самостоятельное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отсутствии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сформированного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положительном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первый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отрицательном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второй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косвенным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доказательством.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положительных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косвенным,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прямым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зависимости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степени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вероятности.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Критерии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степени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выработаны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применительно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каждого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гносеологических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особенностей;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отражены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правилах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[22,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237].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Альтернативный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формулируется,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удалось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прийти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единственному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варианту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итогом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явилось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несколько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вариантов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«Текст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отпечатан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машинке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систем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«Оптима»,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«Олимпия»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«Рейнметалл»).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Однозначный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дается,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приходит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единственному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варианту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(«текст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отпечатан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машинке»).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Условным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называется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истинность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ставится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зависимость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какого-либо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«Текст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выполнен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машинке,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шрифт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подвергался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замене.»).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Безусловный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никаких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(«След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оставлен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ботинком»).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Отрицательный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констатирует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отсутствие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устанавливаемого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события,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свойства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«Выстрел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произведен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оружия.»,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«Водитель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предотвращения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наезда.»).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Обычно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отрицательный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оправдательным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доказательством.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отрицательных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отличать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отрицающие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формулировки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типа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исключено»,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означает»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Употребление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формулировок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справедливо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недопустимым.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типа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исключено,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оставлен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предметом»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равнозначен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поскольку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последний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исключает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Поэтому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отрицающие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формулировки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никакой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дополнительной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информации,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лишь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затрудняют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понимание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Вместе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вполне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допустимы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самом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пояснениях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(комментариях)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нему,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нередко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выносятся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большое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правильного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понимания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установив,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исследуемые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почвы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относятся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группе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карбонатных,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слабо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засоренных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посторонними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примесями,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указать,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означает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принадлежности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местности).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подписано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(экспертами).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проводилась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заверяется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печатью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учреждения.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Приложения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(фотоснимки,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чертежи,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фонограммы,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спектрограммы,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хроматограммы,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ведомости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таковые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имеются,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подписываются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заверяются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печатью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приложения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иллюстрациями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образуют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дополняющую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текст.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Рассмотрим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теперь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особенности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составляемого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комиссионных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комплексных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[12,с.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33].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Комиссионная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Комиссионная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несколькими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(профиля)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сложных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исследований.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комиссионной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совместно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анализируют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придя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единому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(выводу),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составляют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подписывают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единое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разногласия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между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каждый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отдельное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расходится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большинства,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формулирует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отдельно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232].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Традиционно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практике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комплексной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понималось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понимается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смежных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(пограничных)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задач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родов(видов)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разрешены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знаний.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выделить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предопределяющих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комплексную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экспертизу: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пограничных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раздельные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суммирующая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результатов.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будет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комплексной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специальностей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относящихся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классам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решали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действуя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пределах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компетенции,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совместных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суммирующей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результатов.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место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комплекс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Комплексные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классифицировать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основаниям.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используемых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выделить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межклассовые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криминалистические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медицинские),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межродовые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(криминалистические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трасологические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баллистические),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межвидовые.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Комплексные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классифицировать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ведомственной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принадлежности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учреждений.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Совместными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усилиями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последние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десятилетия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сложных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задач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разработаны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комплексные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методики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дистанции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положения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стрелявшего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комплексная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судебно-баллистическая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судебно-медицинская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комплексные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методики;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положения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сидевшего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рулем;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положения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потерпевшего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обуви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одежды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ДТП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др.)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660].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случаях,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путем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отдельных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выходит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пределы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компетенции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комиссии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ряда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осуществляемых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несколькими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(комплексная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экспертиза).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составляют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совместное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каждый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установил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пришел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выводам.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Каждый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вправе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подписать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отражает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исследований.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окончательного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отразить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[30,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12].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имени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знаниями,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личную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ответственность,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полностью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распространяется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членов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комиссии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участвующих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комплексной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236].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комплексной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объеме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каждый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пришел.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Каждый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подписывает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233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(выводы)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компетентные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оценке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результатов.</w:t>
      </w:r>
      <w:r w:rsidR="00390115">
        <w:rPr>
          <w:sz w:val="28"/>
          <w:szCs w:val="28"/>
        </w:rPr>
        <w:t xml:space="preserve"> 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Кроме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сообщение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дачи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составляется,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поставленных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очевидна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Поскольку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проводится,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считается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несостоявшейся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никакого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[34,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37].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убеждается,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выходят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пределы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предоставленные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непригодны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недостаточны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дачи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восполнены,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состояние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практики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позволяет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мотивированное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сообщение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дачи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направляет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ведущий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назначивший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236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].</w:t>
      </w:r>
      <w:r w:rsidR="00390115">
        <w:rPr>
          <w:sz w:val="28"/>
          <w:szCs w:val="28"/>
        </w:rPr>
        <w:t xml:space="preserve"> 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Существует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более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широкий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перечень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сообщения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дачи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случаях: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поставленный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выходит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пределы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Выходящими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пределы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относящиеся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науке,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компетентен.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Компетентность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очередь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проверяется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путем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истребования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справок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образовании,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опыте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работы,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научных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трудах,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прежней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[31,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83].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некомпетентность,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очередь,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принадлежностью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поставленных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узкой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специализации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[16,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82].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государственных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учреждениях,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нашему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мнению,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определять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выходят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пределы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руководитель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[32,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78].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2)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Ввиду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непригодности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недостаточности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дачи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предъявленных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ходатайство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удовлетворено.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Недостаточность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чаще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выражается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малом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количестве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образцов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непригодность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(обычно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идентификационного)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малой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информативности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смазанный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отпечаток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пальца).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3)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современное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состояние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практики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позволяет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настоящее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время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методики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давности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выстрела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свыше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нескольких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дней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38].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ставятся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вместе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другими,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разрешены,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обычно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отдельного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сообщения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дачи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составляется.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указывает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наряду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выводами,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вопросам.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практика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правильной,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поскольку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нескольких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Однако,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статистической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отчетности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показываться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сообщения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дачи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Другим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вариантом,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считается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несостоявшейся,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возвращение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руководителем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назначившему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экспертизу.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бывает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случаях,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принципе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конкретной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ситуации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нельзя.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возвращения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следующие: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серьезные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недостатки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оформлении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предъявляемых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экспертизу.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Согласно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действующим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инструкциям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руководитель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сначала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уведомляет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назначивший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экспертизу,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последний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определенного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срока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принимает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мер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устранения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недостатков,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возвращает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исполнения;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отсутствие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судебно-экспертном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оборудования,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препаратов.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руководитель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сразу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уведомляет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назначивший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экспертизу,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указаниями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направляет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учреждение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возвращает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исполнения.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Какого-либо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оформления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возвращение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требует,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достаточно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сопроводительного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письма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39].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практике,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сообщение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дачи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поставленным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разрешение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частей: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вводной,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мотивировочной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заключительной.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Вводная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сообщения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дачи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аналогична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вводной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обычного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мотивировочной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обосновывает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причины,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представилось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Заключительная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констатирующая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вынесенных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разрешение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662].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Ввиду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того,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Республики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Беларусь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регламентирует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сообщение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дачи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целесообразно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дополнить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соответствующей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нормой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[32,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79].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Следователь,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дознаватель,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ознакомившись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сообщением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дачи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вправе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объяснение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возбуждения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разъяснения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изложить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собственноручно.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Протокол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соблюдением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требований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статей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193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194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237].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вызову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явиться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день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неявку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уважительных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причин,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подвергнут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денежному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взысканию.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Перед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необходимости)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удостоверяется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личности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компетентности,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разъясняет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цель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обязанности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Затем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ставятся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требующие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разъяснения,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дополнения,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уточнения.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выше,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фиксируется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протоколом,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где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дословно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воспроизводятся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них.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Протокол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прочитывается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зачитывается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следователем).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дополнение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протокола,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внесение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поправок.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Протокол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подписывается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(каждая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страница)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665].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объяснения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допускаются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237].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Критерием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разграничения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дополнительной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правило,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служит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дополнительных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исследований.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разъяснения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уточнения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требуется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666].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сообщение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дачи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объяснение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протокол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окончания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предварительного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предъявляются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подозреваемому,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обвиняемому,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потерпевшему,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свидетелю,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подвергшемуся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вправе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свои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объяснения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заявлять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ходатайства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237].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частичного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отказа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удовлетворении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ходатайства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дознаватель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выносят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мотивированное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постановление,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расписку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лицу,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заявившему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ходатайство.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ознакомлении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объяснением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протоколом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протокол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соблюдением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требований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УПК.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протоколе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отражаются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сделанные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заявления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ходатайства.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отметить,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порядок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предъявления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случаях,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привлечения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лица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качестве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обвиняемого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подозреваемым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потерпевшим,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случаях,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возбуждения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[2,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238].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неполноте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недостаточной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ясности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возникновения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новых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отношении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ранее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соответствии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239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назначаться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дополнительная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поручаемая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(экспертам).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Недостаточно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содержащее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исчерпывающих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Дополнительная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лишь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дачи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первичного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внести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ясность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восполнить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неполноту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представилось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путем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Обвиняемый,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потерпевший,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представители,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свидетель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вправе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знакомиться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постановлением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разрешения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дознавателя,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следователя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присутствовать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возникает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новых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обычном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порядке,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поручена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предстоящее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выходит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пределы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[15,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666].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необоснованности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наличия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сомнений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правильности,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допросом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разрешить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возникшие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совокупности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назначена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повторная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поручается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[5,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239].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Повторная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вопросам,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исходных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представлены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первичную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экспертизу.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рамках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повторной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могут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дополнительно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разрешаться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первичных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материалов.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вынося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решение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повторной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учитывать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наличие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обстоятельствам,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являющимся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предметом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практическую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повторную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(например,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утрате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существенном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изменении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исследуемых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[30,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20].</w:t>
      </w:r>
    </w:p>
    <w:p w:rsidR="003953D3" w:rsidRPr="00390115" w:rsidRDefault="003953D3" w:rsidP="003901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iCs/>
          <w:sz w:val="28"/>
          <w:szCs w:val="28"/>
        </w:rPr>
        <w:t>Стиль</w:t>
      </w:r>
      <w:r w:rsidR="00390115">
        <w:rPr>
          <w:iCs/>
          <w:sz w:val="28"/>
          <w:szCs w:val="28"/>
        </w:rPr>
        <w:t xml:space="preserve"> </w:t>
      </w:r>
      <w:r w:rsidRPr="00390115">
        <w:rPr>
          <w:iCs/>
          <w:sz w:val="28"/>
          <w:szCs w:val="28"/>
        </w:rPr>
        <w:t>и</w:t>
      </w:r>
      <w:r w:rsidR="00390115">
        <w:rPr>
          <w:iCs/>
          <w:sz w:val="28"/>
          <w:szCs w:val="28"/>
        </w:rPr>
        <w:t xml:space="preserve"> </w:t>
      </w:r>
      <w:r w:rsidRPr="00390115">
        <w:rPr>
          <w:iCs/>
          <w:sz w:val="28"/>
          <w:szCs w:val="28"/>
        </w:rPr>
        <w:t>язык</w:t>
      </w:r>
      <w:r w:rsidR="00390115">
        <w:rPr>
          <w:iCs/>
          <w:sz w:val="28"/>
          <w:szCs w:val="28"/>
        </w:rPr>
        <w:t xml:space="preserve"> </w:t>
      </w:r>
      <w:r w:rsidRPr="00390115">
        <w:rPr>
          <w:iCs/>
          <w:sz w:val="28"/>
          <w:szCs w:val="28"/>
        </w:rPr>
        <w:t>заключения.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Представляется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изложить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некоторые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рекомендации,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соблюдение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позволит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избежать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каких-либо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ошибок,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свидетельствующих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низкой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компетентности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описании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конфигурации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следообразующих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отображенных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терминологию,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применяемую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описания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геометрических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фигур: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круг,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квадрат,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овал,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трапеция,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треугольник,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пятиугольник,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ромб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сложных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прибегнуть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комбинации.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описании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размерных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характеристик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множества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однотипных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например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трасс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динамических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следах,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необходимо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указывать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предельные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диапазоне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находятся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размеры,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отказаться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безликих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формулировок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типа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«множество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трасс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различной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ширины».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увлекаться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наукообразным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изложением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обозначения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цвета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желательно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цвета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спектра,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дополняя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приставками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«темно-»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«светло-».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Описание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каждого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этапа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начинать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красной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строки.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Все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размерные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характеристики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обязательно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сопровождаться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единицы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измерения.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употреблять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обозначения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величин,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диаметр,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дуга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Соблюдение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правил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грамматики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русского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языка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(орфографии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пунктуации)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обязательным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требованием.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Каждая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страница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подписывается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фамилии.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Требования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оформлению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фототаблиц.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Фототаблица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когда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результаты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уже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известны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эксперту,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позволяет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достаточно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легко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определить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состав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объем.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руководствоваться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следующими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правилами: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Фотоснимки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фототаблице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располагаются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последовательности,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идет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описание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(общий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упакованном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упаковки,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детальные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снимки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иллюстрация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контрольные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снимки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д.).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Фототаблица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фотоснимки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проводилось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экспериментальных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следов.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фотоснимки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(кроме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микросъемки)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включать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изображение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масштабных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линеек.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Если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проводилось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применением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микроскопа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значительном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увеличении,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исключающем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масштабной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линейки,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подписях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фотоснимками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должен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указан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масштаб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увеличения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изображения.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Фотоснимки,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иллюстрирующие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способом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сопоставления,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сопровождаются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разметкой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совпадающих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виде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последовательного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цифрового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(числового)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ряда.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случаях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нанесения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разметки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фотоснимки,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иллюстрирующие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фототаблицу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следует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поместить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идентичные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контрольные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фотоснимки.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Записи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фотоснимками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должны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отражать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информацию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изображенных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фрагментах.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Фотоснимки,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иллюстрирующие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помещают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развороте,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фотоснимок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исследуемого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располагают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экспериментального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справа.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иллюстрации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сравнительного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способом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фотографического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совмещения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фотоснимки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выполняются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строго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одинаковом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масштабе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одинаковых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условиях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освещения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объектов.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совмещения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быть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прямой,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ломаной.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конце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фототаблицы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примечание,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котором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комментируют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разметку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признаков,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нанесенную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фотоснимки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[20,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11].</w:t>
      </w:r>
    </w:p>
    <w:p w:rsidR="003953D3" w:rsidRPr="00390115" w:rsidRDefault="003953D3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Таким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образом,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источников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процессе,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понимается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удостоверяющий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факт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ход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материалов,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представленных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органом,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ведущим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содержащий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мотивированные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ответы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поставленные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основанные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знаниях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области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техники,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искусства,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ремесла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сферах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деятельности.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имеет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никаких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преимуществ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другими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доказательствами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подлежит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обязательной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оценке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точки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зрения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относимости,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допустимости,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достоверности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достаточности.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УПК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Республики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Беларусь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оговорено,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что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обязательным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преследования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Структура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объективно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отражает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логику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нового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—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"логику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открытия",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присущую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любой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исследованию.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мере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формализовать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этот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требования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нему)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нельзя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ввиду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невозможности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создания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универсальной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логики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открытия.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Однако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возможность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построения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единой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методологии,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способной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служить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получения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новых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можно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считать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доказанной.</w:t>
      </w:r>
    </w:p>
    <w:p w:rsidR="00BC6665" w:rsidRPr="00E60321" w:rsidRDefault="004F7E80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E60321">
        <w:rPr>
          <w:b/>
          <w:color w:val="FFFFFF"/>
          <w:sz w:val="28"/>
          <w:szCs w:val="28"/>
        </w:rPr>
        <w:t>преступление эксперт исследование доказательство</w:t>
      </w:r>
    </w:p>
    <w:p w:rsidR="00BC6665" w:rsidRPr="00390115" w:rsidRDefault="002536DB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90115">
        <w:rPr>
          <w:sz w:val="28"/>
        </w:rPr>
        <w:br w:type="page"/>
      </w:r>
      <w:r w:rsidRPr="00390115">
        <w:rPr>
          <w:b/>
          <w:sz w:val="28"/>
          <w:szCs w:val="28"/>
        </w:rPr>
        <w:t>Список</w:t>
      </w:r>
      <w:r w:rsidR="00390115">
        <w:rPr>
          <w:b/>
          <w:sz w:val="28"/>
          <w:szCs w:val="28"/>
        </w:rPr>
        <w:t xml:space="preserve"> </w:t>
      </w:r>
      <w:r w:rsidRPr="00390115">
        <w:rPr>
          <w:b/>
          <w:sz w:val="28"/>
          <w:szCs w:val="28"/>
        </w:rPr>
        <w:t>использованных</w:t>
      </w:r>
      <w:r w:rsidR="00390115">
        <w:rPr>
          <w:b/>
          <w:sz w:val="28"/>
          <w:szCs w:val="28"/>
        </w:rPr>
        <w:t xml:space="preserve"> </w:t>
      </w:r>
      <w:r w:rsidRPr="00390115">
        <w:rPr>
          <w:b/>
          <w:sz w:val="28"/>
          <w:szCs w:val="28"/>
        </w:rPr>
        <w:t>источников</w:t>
      </w:r>
    </w:p>
    <w:p w:rsidR="002536DB" w:rsidRPr="00390115" w:rsidRDefault="002536DB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Криминалистика: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учебник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вузов/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Герасимов,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Друнин,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Ещенко;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общ.ред.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Герасимова.-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2-е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изд.,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перераб.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доп..-М.: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Высшая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школа,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2000.-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672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2.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Николайчик,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установленная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форма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использования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специальных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судопроизводстве//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Юстиция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Беларуси.-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2004.-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№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78.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3.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Яблоков,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Н.П.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Криминалистика: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учебник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Отв.редактор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Яблоков.-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из.перераб.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Юристъ,-2002.-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718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4.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Божьева,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учебник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для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вузов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ред.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В.П.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Божьева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«Спарк»,-1998.-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591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5.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Уголовный-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процессульный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кодекс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Республики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Беларусь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доп.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состоянию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21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ноября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2005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Офиц.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изд.-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Мн.: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Амалфея,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2005.-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320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6.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Борико,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учебник/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Борико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2-е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изд.-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Мн.: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Тесей,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2004.-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320с.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7.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Шляхов,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организация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проведение: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А.Р.Шляхов.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Юридическая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1979.-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164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8.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Палиашвили,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делам: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учебник/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.Палиашвили.-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Юридическая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1973.-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144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9.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Рыжакова,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Краткий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курс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процесса: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Рыжакова.-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Приор,2000.-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240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10.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Кукреш,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Л.И.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Кукреш.-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Мн.: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Тесей,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2005.-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352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11.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Петрухин,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средство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доказывания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советском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процессе: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учебник/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Петрухин.-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Юридическая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литература,1964.-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119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12.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Орлов,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оценка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делам):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К.Орлов.-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Юристъ,1995.-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64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13.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Селиванов,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Спорные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//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Социалистическая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законность.-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М.-1978.-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№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5.-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63.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14.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Белкин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Курс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советской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криминалистики.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криминалистические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теории: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Белкин.-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Академия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МВД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СССР,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1978.-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338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15.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Дятлов,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исследование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Дятлов,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Андреев,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Бочарова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др.;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ред.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Дятлова.-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Мн.: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Амалфея,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2003.-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736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16.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Галкин,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Средства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доказывания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процессе: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Галкин.-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1968.-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110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17.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Варфоломеева,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вещественных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Варфоломеева.-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Юридическая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1980.-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75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18.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Лукашов,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Является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источником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уголовному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делу/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Лукашов//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(Судебная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защита)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Беларуси.-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2003.-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№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7.-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85.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19.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Махов,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Участие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специалиста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следственных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действиях: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Махов.-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Юридическая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-1972.-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88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20.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Саенко,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Сборник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примерных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трасологической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экспертизе: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общ.ред.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Саенко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Волгоград,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МВД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России,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2003.-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56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21.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Борико,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Борико.-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Мн.: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Амалфея,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2000.-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384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22.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Сахнова,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учебник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/Т.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Сахнова.-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Городец,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2000.-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308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23.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Орлов,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источник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выводного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знания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доказывании: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Орлов.-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Юридическая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1985.-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54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24.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Орлов,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Производство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Орлов.-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М.ВЮЗИ,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1982.-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69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25.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Корухов,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Трасологическая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диагностика: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Корухов.-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ВНИИСЭ,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1983.-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76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26.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Эйсман,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(структура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научное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обоснование):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Эйсман.-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Юридическая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1967.-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152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27.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Фаткуллин,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проблемы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доказывания: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общ.ред.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Аврах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Я.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Юридическая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1973.-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176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28.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Притузова,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Заключение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как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доказательство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процессе: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Притузов.-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Юридическая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литература,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1959.-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162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29.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Давтян,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гражданском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процессе: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Давтян.-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Ереван,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1996.-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190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30.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уголовным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делам: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постановление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Пленума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Верховного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Республики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Беларусь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29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марта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2001.,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№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1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//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Национальный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центр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правовых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актов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Республики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Беларусь.-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2001.-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№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39.-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67-71.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31.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Арсеньев,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Основные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документы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экспертизы//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Вопросы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теории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судебной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экспертизы: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Сб.научн.тр.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Отв.ред.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Д.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Арсеньев.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Зерцало,1977.-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340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32.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Федоров,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Г.,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Процессуальные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обязанности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эксперта: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проблемные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аспекты/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Г.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Федоров//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Юстиция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Беларуси.-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2007.-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№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76.</w:t>
      </w:r>
    </w:p>
    <w:p w:rsidR="00F16E72" w:rsidRPr="00390115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33.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Шостак,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Уголовный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Особенная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часть: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учебное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пособие/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Шостак.-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Мн.: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Амалфея,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2006.-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560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F16E72" w:rsidRDefault="00F16E72" w:rsidP="0039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115">
        <w:rPr>
          <w:sz w:val="28"/>
          <w:szCs w:val="28"/>
        </w:rPr>
        <w:t>34.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Кобликов.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Учебник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уголовного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процесса: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учебник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/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под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общ.ред.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А.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Кобликова.-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М.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Фирма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«Спарк»,1995.-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382</w:t>
      </w:r>
      <w:r w:rsidR="00390115">
        <w:rPr>
          <w:sz w:val="28"/>
          <w:szCs w:val="28"/>
        </w:rPr>
        <w:t xml:space="preserve"> </w:t>
      </w:r>
      <w:r w:rsidRPr="00390115">
        <w:rPr>
          <w:sz w:val="28"/>
          <w:szCs w:val="28"/>
        </w:rPr>
        <w:t>с.</w:t>
      </w:r>
    </w:p>
    <w:p w:rsidR="001C3CFF" w:rsidRPr="001C3CFF" w:rsidRDefault="001C3CFF" w:rsidP="001C3CFF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1C3CFF" w:rsidRPr="001C3CFF" w:rsidSect="001C3CF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21" w:rsidRDefault="00E60321">
      <w:r>
        <w:separator/>
      </w:r>
    </w:p>
  </w:endnote>
  <w:endnote w:type="continuationSeparator" w:id="0">
    <w:p w:rsidR="00E60321" w:rsidRDefault="00E6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21" w:rsidRDefault="00E60321">
      <w:r>
        <w:separator/>
      </w:r>
    </w:p>
  </w:footnote>
  <w:footnote w:type="continuationSeparator" w:id="0">
    <w:p w:rsidR="00E60321" w:rsidRDefault="00E6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D3" w:rsidRDefault="003953D3" w:rsidP="00F728B4">
    <w:pPr>
      <w:pStyle w:val="a4"/>
      <w:framePr w:wrap="around" w:vAnchor="text" w:hAnchor="margin" w:xAlign="right" w:y="1"/>
      <w:rPr>
        <w:rStyle w:val="a6"/>
      </w:rPr>
    </w:pPr>
  </w:p>
  <w:p w:rsidR="003953D3" w:rsidRDefault="003953D3" w:rsidP="002536D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D3" w:rsidRPr="001C3CFF" w:rsidRDefault="003953D3" w:rsidP="001C3CFF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901928"/>
    <w:lvl w:ilvl="0">
      <w:numFmt w:val="bullet"/>
      <w:lvlText w:val="*"/>
      <w:lvlJc w:val="left"/>
    </w:lvl>
  </w:abstractNum>
  <w:abstractNum w:abstractNumId="1">
    <w:nsid w:val="01AE2C4E"/>
    <w:multiLevelType w:val="singleLevel"/>
    <w:tmpl w:val="E8FA7C44"/>
    <w:lvl w:ilvl="0">
      <w:start w:val="1"/>
      <w:numFmt w:val="decimal"/>
      <w:lvlText w:val="%1)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2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0D8444D7"/>
    <w:multiLevelType w:val="multilevel"/>
    <w:tmpl w:val="3C167E3A"/>
    <w:lvl w:ilvl="0">
      <w:start w:val="1"/>
      <w:numFmt w:val="decimal"/>
      <w:lvlText w:val="%1."/>
      <w:legacy w:legacy="1" w:legacySpace="0" w:legacyIndent="223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7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03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2160"/>
      </w:pPr>
      <w:rPr>
        <w:rFonts w:cs="Times New Roman" w:hint="default"/>
      </w:rPr>
    </w:lvl>
  </w:abstractNum>
  <w:abstractNum w:abstractNumId="4">
    <w:nsid w:val="0F78211F"/>
    <w:multiLevelType w:val="hybridMultilevel"/>
    <w:tmpl w:val="C8D8A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6">
    <w:nsid w:val="19A86FF4"/>
    <w:multiLevelType w:val="hybridMultilevel"/>
    <w:tmpl w:val="87567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F0366"/>
    <w:multiLevelType w:val="hybridMultilevel"/>
    <w:tmpl w:val="25B4B5EE"/>
    <w:lvl w:ilvl="0" w:tplc="0419000D">
      <w:start w:val="1"/>
      <w:numFmt w:val="bullet"/>
      <w:lvlText w:val=""/>
      <w:lvlJc w:val="left"/>
      <w:pPr>
        <w:ind w:left="19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8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9">
    <w:nsid w:val="26BD68CB"/>
    <w:multiLevelType w:val="hybridMultilevel"/>
    <w:tmpl w:val="1F08E4B4"/>
    <w:lvl w:ilvl="0" w:tplc="195E9E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1">
    <w:nsid w:val="2DAF4B62"/>
    <w:multiLevelType w:val="hybridMultilevel"/>
    <w:tmpl w:val="7B42FA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23610BD"/>
    <w:multiLevelType w:val="hybridMultilevel"/>
    <w:tmpl w:val="9D5EBB6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B568E"/>
    <w:multiLevelType w:val="hybridMultilevel"/>
    <w:tmpl w:val="ABDE0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C65262"/>
    <w:multiLevelType w:val="singleLevel"/>
    <w:tmpl w:val="6FF46102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5">
    <w:nsid w:val="40955B21"/>
    <w:multiLevelType w:val="singleLevel"/>
    <w:tmpl w:val="711EF45A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6">
    <w:nsid w:val="46A5655F"/>
    <w:multiLevelType w:val="hybridMultilevel"/>
    <w:tmpl w:val="95185BF0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7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8">
    <w:nsid w:val="4A3508A6"/>
    <w:multiLevelType w:val="hybridMultilevel"/>
    <w:tmpl w:val="3168C25E"/>
    <w:lvl w:ilvl="0" w:tplc="5DAADE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AAD22C6"/>
    <w:multiLevelType w:val="hybridMultilevel"/>
    <w:tmpl w:val="84EE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8F007B"/>
    <w:multiLevelType w:val="hybridMultilevel"/>
    <w:tmpl w:val="27D0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A13816"/>
    <w:multiLevelType w:val="singleLevel"/>
    <w:tmpl w:val="DF00C370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2">
    <w:nsid w:val="58B551F1"/>
    <w:multiLevelType w:val="singleLevel"/>
    <w:tmpl w:val="B1A6C52E"/>
    <w:lvl w:ilvl="0">
      <w:start w:val="5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3">
    <w:nsid w:val="605A1F92"/>
    <w:multiLevelType w:val="multilevel"/>
    <w:tmpl w:val="E5A8DC9A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46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2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2160"/>
      </w:pPr>
      <w:rPr>
        <w:rFonts w:cs="Times New Roman" w:hint="default"/>
      </w:rPr>
    </w:lvl>
  </w:abstractNum>
  <w:abstractNum w:abstractNumId="24">
    <w:nsid w:val="63701DE7"/>
    <w:multiLevelType w:val="hybridMultilevel"/>
    <w:tmpl w:val="5C988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B10B8D6">
      <w:start w:val="1"/>
      <w:numFmt w:val="decimal"/>
      <w:lvlText w:val="%2."/>
      <w:lvlJc w:val="left"/>
      <w:pPr>
        <w:ind w:left="1575" w:hanging="495"/>
      </w:pPr>
      <w:rPr>
        <w:rFonts w:cs="Times New Roman" w:hint="default"/>
        <w:color w:val="000000"/>
      </w:rPr>
    </w:lvl>
    <w:lvl w:ilvl="2" w:tplc="F2205116">
      <w:start w:val="1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A80E1C"/>
    <w:multiLevelType w:val="hybridMultilevel"/>
    <w:tmpl w:val="E78E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D7DF8"/>
    <w:multiLevelType w:val="hybridMultilevel"/>
    <w:tmpl w:val="D45EA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D4857"/>
    <w:multiLevelType w:val="hybridMultilevel"/>
    <w:tmpl w:val="4992BC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27543B4"/>
    <w:multiLevelType w:val="hybridMultilevel"/>
    <w:tmpl w:val="08DC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7A32DF"/>
    <w:multiLevelType w:val="singleLevel"/>
    <w:tmpl w:val="C7D25680"/>
    <w:lvl w:ilvl="0">
      <w:start w:val="5"/>
      <w:numFmt w:val="decimal"/>
      <w:lvlText w:val="%1)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31">
    <w:nsid w:val="7C4A67A6"/>
    <w:multiLevelType w:val="multilevel"/>
    <w:tmpl w:val="B428D3D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32">
    <w:nsid w:val="7FE70CA8"/>
    <w:multiLevelType w:val="singleLevel"/>
    <w:tmpl w:val="949E17AE"/>
    <w:lvl w:ilvl="0">
      <w:start w:val="3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7"/>
  </w:num>
  <w:num w:numId="5">
    <w:abstractNumId w:val="28"/>
  </w:num>
  <w:num w:numId="6">
    <w:abstractNumId w:val="10"/>
  </w:num>
  <w:num w:numId="7">
    <w:abstractNumId w:val="23"/>
  </w:num>
  <w:num w:numId="8">
    <w:abstractNumId w:val="13"/>
  </w:num>
  <w:num w:numId="9">
    <w:abstractNumId w:val="27"/>
  </w:num>
  <w:num w:numId="10">
    <w:abstractNumId w:val="24"/>
  </w:num>
  <w:num w:numId="11">
    <w:abstractNumId w:val="18"/>
  </w:num>
  <w:num w:numId="12">
    <w:abstractNumId w:val="3"/>
  </w:num>
  <w:num w:numId="13">
    <w:abstractNumId w:val="12"/>
  </w:num>
  <w:num w:numId="14">
    <w:abstractNumId w:val="31"/>
  </w:num>
  <w:num w:numId="15">
    <w:abstractNumId w:val="11"/>
  </w:num>
  <w:num w:numId="16">
    <w:abstractNumId w:val="26"/>
  </w:num>
  <w:num w:numId="17">
    <w:abstractNumId w:val="20"/>
  </w:num>
  <w:num w:numId="18">
    <w:abstractNumId w:val="4"/>
  </w:num>
  <w:num w:numId="19">
    <w:abstractNumId w:val="1"/>
    <w:lvlOverride w:ilvl="0">
      <w:startOverride w:val="1"/>
    </w:lvlOverride>
  </w:num>
  <w:num w:numId="20">
    <w:abstractNumId w:val="22"/>
    <w:lvlOverride w:ilvl="0">
      <w:startOverride w:val="5"/>
    </w:lvlOverride>
  </w:num>
  <w:num w:numId="21">
    <w:abstractNumId w:val="14"/>
    <w:lvlOverride w:ilvl="0">
      <w:startOverride w:val="1"/>
    </w:lvlOverride>
  </w:num>
  <w:num w:numId="22">
    <w:abstractNumId w:val="32"/>
    <w:lvlOverride w:ilvl="0">
      <w:startOverride w:val="3"/>
    </w:lvlOverride>
  </w:num>
  <w:num w:numId="23">
    <w:abstractNumId w:val="30"/>
    <w:lvlOverride w:ilvl="0">
      <w:startOverride w:val="5"/>
    </w:lvlOverride>
  </w:num>
  <w:num w:numId="24">
    <w:abstractNumId w:val="21"/>
  </w:num>
  <w:num w:numId="25">
    <w:abstractNumId w:val="15"/>
  </w:num>
  <w:num w:numId="26">
    <w:abstractNumId w:val="29"/>
  </w:num>
  <w:num w:numId="27">
    <w:abstractNumId w:val="16"/>
  </w:num>
  <w:num w:numId="28">
    <w:abstractNumId w:val="7"/>
  </w:num>
  <w:num w:numId="29">
    <w:abstractNumId w:val="9"/>
  </w:num>
  <w:num w:numId="30">
    <w:abstractNumId w:val="19"/>
  </w:num>
  <w:num w:numId="31">
    <w:abstractNumId w:val="25"/>
  </w:num>
  <w:num w:numId="32">
    <w:abstractNumId w:val="0"/>
    <w:lvlOverride w:ilvl="0">
      <w:lvl w:ilvl="0">
        <w:numFmt w:val="bullet"/>
        <w:lvlText w:val="•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1C3CFF"/>
    <w:rsid w:val="00207BF1"/>
    <w:rsid w:val="002536DB"/>
    <w:rsid w:val="00390115"/>
    <w:rsid w:val="003953D3"/>
    <w:rsid w:val="004F7E80"/>
    <w:rsid w:val="009F622A"/>
    <w:rsid w:val="00B268B5"/>
    <w:rsid w:val="00B97714"/>
    <w:rsid w:val="00BC6665"/>
    <w:rsid w:val="00D616F3"/>
    <w:rsid w:val="00E60321"/>
    <w:rsid w:val="00F16E72"/>
    <w:rsid w:val="00F46926"/>
    <w:rsid w:val="00F70161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6E1178-D75B-40EF-8879-048BB586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53D3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3953D3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953D3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paragraph" w:styleId="a7">
    <w:name w:val="No Spacing"/>
    <w:uiPriority w:val="1"/>
    <w:qFormat/>
    <w:rsid w:val="003953D3"/>
    <w:pPr>
      <w:jc w:val="both"/>
    </w:pPr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3953D3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395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Pr>
      <w:rFonts w:ascii="Courier New" w:hAnsi="Courier New" w:cs="Courier New"/>
    </w:rPr>
  </w:style>
  <w:style w:type="character" w:styleId="a9">
    <w:name w:val="Book Title"/>
    <w:uiPriority w:val="33"/>
    <w:qFormat/>
    <w:rsid w:val="003953D3"/>
    <w:rPr>
      <w:rFonts w:cs="Times New Roman"/>
      <w:b/>
      <w:bCs/>
      <w:smallCaps/>
      <w:spacing w:val="5"/>
    </w:rPr>
  </w:style>
  <w:style w:type="paragraph" w:styleId="aa">
    <w:name w:val="Normal (Web)"/>
    <w:basedOn w:val="a"/>
    <w:uiPriority w:val="99"/>
    <w:rsid w:val="003953D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1"/>
    <w:rsid w:val="003953D3"/>
  </w:style>
  <w:style w:type="paragraph" w:styleId="ab">
    <w:name w:val="footer"/>
    <w:basedOn w:val="a"/>
    <w:link w:val="ac"/>
    <w:uiPriority w:val="99"/>
    <w:semiHidden/>
    <w:unhideWhenUsed/>
    <w:rsid w:val="00390115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sid w:val="00390115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3CFF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locked/>
    <w:rsid w:val="001C3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11884</Words>
  <Characters>67741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79467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Irina</cp:lastModifiedBy>
  <cp:revision>2</cp:revision>
  <dcterms:created xsi:type="dcterms:W3CDTF">2014-09-12T13:50:00Z</dcterms:created>
  <dcterms:modified xsi:type="dcterms:W3CDTF">2014-09-12T13:50:00Z</dcterms:modified>
</cp:coreProperties>
</file>