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0E3" w:rsidRDefault="00252C80">
      <w:pPr>
        <w:pStyle w:val="Heading1"/>
        <w:jc w:val="center"/>
      </w:pPr>
      <w:r>
        <w:t>Финансирование инновационной деятельности на государственном уровне</w:t>
      </w:r>
    </w:p>
    <w:p w:rsidR="005F50E3" w:rsidRPr="00252C80" w:rsidRDefault="00252C80">
      <w:pPr>
        <w:pStyle w:val="NormalWeb"/>
        <w:jc w:val="center"/>
      </w:pPr>
      <w:r>
        <w:rPr>
          <w:b/>
          <w:bCs/>
        </w:rPr>
        <w:t>Российский Университет Дружбы Народов</w:t>
      </w:r>
    </w:p>
    <w:p w:rsidR="005F50E3" w:rsidRDefault="00252C80">
      <w:pPr>
        <w:pStyle w:val="NormalWeb"/>
      </w:pPr>
      <w:r>
        <w:rPr>
          <w:u w:val="single"/>
        </w:rPr>
        <w:t>ФАКУЛЬТЕТ</w:t>
      </w:r>
      <w:r>
        <w:t xml:space="preserve"> Экономический</w:t>
      </w:r>
    </w:p>
    <w:p w:rsidR="005F50E3" w:rsidRDefault="00252C80">
      <w:pPr>
        <w:pStyle w:val="NormalWeb"/>
      </w:pPr>
      <w:r>
        <w:rPr>
          <w:u w:val="single"/>
        </w:rPr>
        <w:t>КАФЕДРА</w:t>
      </w:r>
      <w:r>
        <w:t xml:space="preserve"> Экономико-математического моделирования</w:t>
      </w:r>
    </w:p>
    <w:p w:rsidR="005F50E3" w:rsidRDefault="00252C80">
      <w:pPr>
        <w:pStyle w:val="NormalWeb"/>
        <w:jc w:val="center"/>
      </w:pPr>
      <w:r>
        <w:t>Курсовая работа на тему:</w:t>
      </w:r>
    </w:p>
    <w:p w:rsidR="005F50E3" w:rsidRDefault="00252C80">
      <w:pPr>
        <w:pStyle w:val="NormalWeb"/>
        <w:jc w:val="center"/>
      </w:pPr>
      <w:r>
        <w:rPr>
          <w:b/>
          <w:bCs/>
        </w:rPr>
        <w:t>«</w:t>
      </w:r>
      <w:r>
        <w:t xml:space="preserve"> </w:t>
      </w:r>
      <w:r>
        <w:rPr>
          <w:b/>
          <w:bCs/>
        </w:rPr>
        <w:t>Финансирование инновационной деятельности на государственном уровне</w:t>
      </w:r>
      <w:r>
        <w:t xml:space="preserve"> </w:t>
      </w:r>
      <w:r>
        <w:rPr>
          <w:b/>
          <w:bCs/>
        </w:rPr>
        <w:t>»</w:t>
      </w:r>
    </w:p>
    <w:p w:rsidR="005F50E3" w:rsidRDefault="00252C80">
      <w:pPr>
        <w:pStyle w:val="NormalWeb"/>
      </w:pPr>
      <w:r>
        <w:rPr>
          <w:b/>
          <w:bCs/>
        </w:rPr>
        <w:t>Выполнил:</w:t>
      </w:r>
    </w:p>
    <w:p w:rsidR="005F50E3" w:rsidRDefault="00252C80">
      <w:pPr>
        <w:pStyle w:val="NormalWeb"/>
      </w:pPr>
      <w:r>
        <w:t>Студент группы ЭУМ-505</w:t>
      </w:r>
    </w:p>
    <w:p w:rsidR="005F50E3" w:rsidRDefault="00252C80">
      <w:pPr>
        <w:pStyle w:val="NormalWeb"/>
      </w:pPr>
      <w:r>
        <w:t>Барабаш Василий</w:t>
      </w:r>
    </w:p>
    <w:p w:rsidR="005F50E3" w:rsidRDefault="00252C80">
      <w:pPr>
        <w:pStyle w:val="NormalWeb"/>
      </w:pPr>
      <w:r>
        <w:rPr>
          <w:b/>
          <w:bCs/>
        </w:rPr>
        <w:t>Страна:</w:t>
      </w:r>
    </w:p>
    <w:p w:rsidR="005F50E3" w:rsidRDefault="00252C80">
      <w:pPr>
        <w:pStyle w:val="NormalWeb"/>
      </w:pPr>
      <w:r>
        <w:t>Россия</w:t>
      </w:r>
    </w:p>
    <w:p w:rsidR="005F50E3" w:rsidRDefault="00252C80">
      <w:pPr>
        <w:pStyle w:val="NormalWeb"/>
      </w:pPr>
      <w:r>
        <w:rPr>
          <w:b/>
          <w:bCs/>
        </w:rPr>
        <w:t>Преподаватель:</w:t>
      </w:r>
    </w:p>
    <w:p w:rsidR="005F50E3" w:rsidRDefault="00252C80">
      <w:pPr>
        <w:pStyle w:val="NormalWeb"/>
      </w:pPr>
      <w:r>
        <w:t>К.Э.Н., доцент, Лазанюк И.В.</w:t>
      </w:r>
    </w:p>
    <w:p w:rsidR="005F50E3" w:rsidRDefault="00252C80">
      <w:pPr>
        <w:pStyle w:val="NormalWeb"/>
        <w:jc w:val="center"/>
      </w:pPr>
      <w:r>
        <w:rPr>
          <w:b/>
          <w:bCs/>
        </w:rPr>
        <w:t>Москва 2010.</w:t>
      </w:r>
    </w:p>
    <w:p w:rsidR="005F50E3" w:rsidRDefault="00252C80">
      <w:pPr>
        <w:pStyle w:val="NormalWeb"/>
        <w:jc w:val="center"/>
      </w:pPr>
      <w:r>
        <w:rPr>
          <w:b/>
          <w:bCs/>
        </w:rPr>
        <w:t>Содержание</w:t>
      </w:r>
    </w:p>
    <w:p w:rsidR="005F50E3" w:rsidRDefault="00252C80">
      <w:pPr>
        <w:pStyle w:val="NormalWeb"/>
      </w:pPr>
      <w:r>
        <w:rPr>
          <w:b/>
          <w:bCs/>
        </w:rPr>
        <w:t xml:space="preserve">Введение </w:t>
      </w:r>
      <w:r>
        <w:t>…………………………………………………………………………..……………. 3</w:t>
      </w:r>
    </w:p>
    <w:p w:rsidR="005F50E3" w:rsidRDefault="00252C80">
      <w:pPr>
        <w:pStyle w:val="NormalWeb"/>
      </w:pPr>
      <w:r>
        <w:rPr>
          <w:b/>
          <w:bCs/>
        </w:rPr>
        <w:t>1. Источники финансирования инновационной деятельности государством</w:t>
      </w:r>
      <w:r>
        <w:t xml:space="preserve"> ………………………………………………………………………...…….…….5</w:t>
      </w:r>
    </w:p>
    <w:p w:rsidR="005F50E3" w:rsidRDefault="00252C80">
      <w:pPr>
        <w:pStyle w:val="NormalWeb"/>
      </w:pPr>
      <w:r>
        <w:t>1.1 Источники финансирования инновационной деятельности и их классификация……………………………………………………………………………5</w:t>
      </w:r>
    </w:p>
    <w:p w:rsidR="005F50E3" w:rsidRDefault="00252C80">
      <w:pPr>
        <w:pStyle w:val="NormalWeb"/>
      </w:pPr>
      <w:r>
        <w:t>1.1.1 Бюджетные ассигнования …………………………………….…………..8</w:t>
      </w:r>
    </w:p>
    <w:p w:rsidR="005F50E3" w:rsidRDefault="00252C80">
      <w:pPr>
        <w:pStyle w:val="NormalWeb"/>
      </w:pPr>
      <w:r>
        <w:t>1.1.2 Внебюджетные фонды и другие источники негосударственного финансирования …………………………………………………….………… 10</w:t>
      </w:r>
    </w:p>
    <w:p w:rsidR="005F50E3" w:rsidRDefault="00252C80">
      <w:pPr>
        <w:pStyle w:val="NormalWeb"/>
      </w:pPr>
      <w:r>
        <w:t>1.1.3 Финансовый лизинг …………………………………………………….. 12</w:t>
      </w:r>
    </w:p>
    <w:p w:rsidR="005F50E3" w:rsidRDefault="00252C80">
      <w:pPr>
        <w:pStyle w:val="NormalWeb"/>
      </w:pPr>
      <w:r>
        <w:t>1.2 Альтернативные подходы к классификации источников финансирования инновационной деятельности ………………………………………..………………. 14</w:t>
      </w:r>
    </w:p>
    <w:p w:rsidR="005F50E3" w:rsidRDefault="00252C80">
      <w:pPr>
        <w:pStyle w:val="NormalWeb"/>
      </w:pPr>
      <w:r>
        <w:t>1.3 Законодательные основы финансирования научно-исследовательской деятельности……………………………………………………….……………………16</w:t>
      </w:r>
    </w:p>
    <w:p w:rsidR="005F50E3" w:rsidRDefault="00252C80">
      <w:pPr>
        <w:pStyle w:val="NormalWeb"/>
      </w:pPr>
      <w:r>
        <w:rPr>
          <w:b/>
          <w:bCs/>
        </w:rPr>
        <w:lastRenderedPageBreak/>
        <w:t>2. Зарубежный опыт финансирования и организации инновационной деятельности……………………………………………………………………………….…..19</w:t>
      </w:r>
    </w:p>
    <w:p w:rsidR="005F50E3" w:rsidRDefault="00252C80">
      <w:pPr>
        <w:pStyle w:val="NormalWeb"/>
      </w:pPr>
      <w:r>
        <w:t>2.1 Основы развития финской инновационной модели экономики………………………………..……………………………………..…….…19</w:t>
      </w:r>
    </w:p>
    <w:p w:rsidR="005F50E3" w:rsidRDefault="00252C80">
      <w:pPr>
        <w:pStyle w:val="NormalWeb"/>
      </w:pPr>
      <w:r>
        <w:t>2.2 Формы организации стимулирования инновационной деятельности в Финляндии………………………………………………………………………………23</w:t>
      </w:r>
    </w:p>
    <w:p w:rsidR="005F50E3" w:rsidRDefault="00252C80">
      <w:pPr>
        <w:pStyle w:val="NormalWeb"/>
      </w:pPr>
      <w:r>
        <w:t>3. Роль государства в развитии и финансировании инновационного процесса в современны условиях…………………...……………………………………..32</w:t>
      </w:r>
    </w:p>
    <w:p w:rsidR="005F50E3" w:rsidRDefault="00252C80">
      <w:pPr>
        <w:pStyle w:val="NormalWeb"/>
      </w:pPr>
      <w:r>
        <w:t>3.1 Регулирование инновационной деятельности, основные виды и формы……...32</w:t>
      </w:r>
    </w:p>
    <w:p w:rsidR="005F50E3" w:rsidRDefault="00252C80">
      <w:pPr>
        <w:pStyle w:val="NormalWeb"/>
      </w:pPr>
      <w:r>
        <w:t>3.2 Стимулирование применения инноваций в промышленном производстве …...35</w:t>
      </w:r>
    </w:p>
    <w:p w:rsidR="005F50E3" w:rsidRDefault="00252C80">
      <w:pPr>
        <w:pStyle w:val="NormalWeb"/>
      </w:pPr>
      <w:r>
        <w:t>3.3 Анализ и оценка соотношения объема финансирования науки из средств федерального бюджета и внутренних затрат предприятий на научные исследования и разработки …………………………………………………………………..………. 39</w:t>
      </w:r>
    </w:p>
    <w:p w:rsidR="005F50E3" w:rsidRDefault="00252C80">
      <w:pPr>
        <w:pStyle w:val="NormalWeb"/>
      </w:pPr>
      <w:r>
        <w:t>3.3 Формы и пути совершенствования государственной поддержки малых инновационных предприятий …………………………………………...…………… 42</w:t>
      </w:r>
    </w:p>
    <w:p w:rsidR="005F50E3" w:rsidRDefault="00252C80">
      <w:pPr>
        <w:pStyle w:val="NormalWeb"/>
      </w:pPr>
      <w:r>
        <w:rPr>
          <w:b/>
          <w:bCs/>
        </w:rPr>
        <w:t xml:space="preserve">Выводы </w:t>
      </w:r>
      <w:r>
        <w:t>………………………………………………………………………………….……. 45</w:t>
      </w:r>
    </w:p>
    <w:p w:rsidR="005F50E3" w:rsidRDefault="00252C80">
      <w:pPr>
        <w:pStyle w:val="NormalWeb"/>
      </w:pPr>
      <w:r>
        <w:rPr>
          <w:b/>
          <w:bCs/>
        </w:rPr>
        <w:t>Список использованных источников</w:t>
      </w:r>
      <w:r>
        <w:t xml:space="preserve"> …...………………………………………..……….. 47</w:t>
      </w:r>
    </w:p>
    <w:p w:rsidR="005F50E3" w:rsidRDefault="00252C80">
      <w:pPr>
        <w:pStyle w:val="NormalWeb"/>
      </w:pPr>
      <w:r>
        <w:rPr>
          <w:b/>
          <w:bCs/>
        </w:rPr>
        <w:t>Введение</w:t>
      </w:r>
    </w:p>
    <w:p w:rsidR="005F50E3" w:rsidRDefault="00252C80">
      <w:pPr>
        <w:pStyle w:val="NormalWeb"/>
      </w:pPr>
      <w:r>
        <w:t>Актуальность данной работы не вызывает сомнения, так как инновационное развитие в целом является приоритетным и стратегически важным направлением для нашей страны. Если говорить конкретнее, то структура и методы финансирования научно-технических исследований и разработок – это основополагающие элементы всего механизма становления инновационной экономики, необходимый «материал» для создания конкурентоспособных и передовых технологий для бизнеса.</w:t>
      </w:r>
    </w:p>
    <w:p w:rsidR="005F50E3" w:rsidRDefault="00252C80">
      <w:pPr>
        <w:pStyle w:val="NormalWeb"/>
      </w:pPr>
      <w:r>
        <w:t>Предметом исследования в данном случае является система и инструменты финансовой поддержки инновационной деятельности, рассмотренный как в разрезе современных условий в России, так и с учетом мирового опыта, в частности – Финляндии.</w:t>
      </w:r>
    </w:p>
    <w:p w:rsidR="005F50E3" w:rsidRDefault="00252C80">
      <w:pPr>
        <w:pStyle w:val="NormalWeb"/>
      </w:pPr>
      <w:r>
        <w:t>В современной экономике система финансирования выполняет две очень важные функции — распределительную и контрольную. Смысл первой состоит прежде всего в том, чтобы обеспечивать каждого субъекта хозяйственной деятельности необходимыми ему финансовыми ресурсами. В качестве субъектов финансирования выступают самостоятельные предприятия, инвестиционные проекты, интегрированные финансово-промышленные структуры, территориальные органы управления, частные лица. Все они в той или иной мере участвуют в воспроизводственном процессе и формируют конечный общественный продукт. Распределительный процесс, осуществляемый с помощью финансов, характеризуется сложностью и многогранностью и непосредственно связан с действующим гражданским законодательством, налоговой системой, законодательством о банках и ценных бумагах, с другими нормативными документами, которые утверждаются на федеральном, территориальном и местном уровнях управления.</w:t>
      </w:r>
    </w:p>
    <w:p w:rsidR="005F50E3" w:rsidRDefault="00252C80">
      <w:pPr>
        <w:pStyle w:val="NormalWeb"/>
      </w:pPr>
      <w:r>
        <w:t>Контрольная функция финансов сводится к тому, чтобы сигнализировать о складывающихся пропорциях в распределении денежных средств. Важно, насколько эффективно они используются конкретным хозяйствующим субъектом. Анализ практики отечественных и зарубежных инвестиционных проектов показывает, что от своевременности и целевого характера распределения финансовых ресурсов во многом зависит конечный результат любой хозяйственной деятельности, в том числе и эффективность предпринимательства в инновационной сфере.</w:t>
      </w:r>
    </w:p>
    <w:p w:rsidR="005F50E3" w:rsidRDefault="00252C80">
      <w:pPr>
        <w:pStyle w:val="NormalWeb"/>
      </w:pPr>
      <w:r>
        <w:t>В первой главе данной работы будут освещены использующиеся и возможные механизмы и инструменты финансирования инноваций как напрямую государством, так и через коммерческие структуры.</w:t>
      </w:r>
    </w:p>
    <w:p w:rsidR="005F50E3" w:rsidRDefault="00252C80">
      <w:pPr>
        <w:pStyle w:val="NormalWeb"/>
      </w:pPr>
      <w:r>
        <w:t>Вторая глава посвящена опыту развития Финляндии, как страны ориентированной на инновации и высокотехнологичное производство. Примечательно, что условия для столь стремительного «экономического чуда» в этой стране во многом схожи с Российскими.</w:t>
      </w:r>
    </w:p>
    <w:p w:rsidR="005F50E3" w:rsidRDefault="00252C80">
      <w:pPr>
        <w:pStyle w:val="NormalWeb"/>
      </w:pPr>
      <w:r>
        <w:t>В третьей главе будет рассмотрена роль государства в качестве регулирующего и стимулирующего инновационную деятельность элемента народного хозяйства, будут приведены статистические материалы и отражены возможные пути улучшения политики по поддержанию исследований.</w:t>
      </w:r>
    </w:p>
    <w:p w:rsidR="005F50E3" w:rsidRDefault="00252C80">
      <w:pPr>
        <w:pStyle w:val="NormalWeb"/>
      </w:pPr>
      <w:r>
        <w:rPr>
          <w:b/>
          <w:bCs/>
        </w:rPr>
        <w:t>1. Источники финансирования инновационной деятельности государством</w:t>
      </w:r>
    </w:p>
    <w:p w:rsidR="005F50E3" w:rsidRDefault="00252C80">
      <w:pPr>
        <w:pStyle w:val="NormalWeb"/>
      </w:pPr>
      <w:r>
        <w:rPr>
          <w:b/>
          <w:bCs/>
        </w:rPr>
        <w:t xml:space="preserve">1.1 Источники финансирования инновационной деятельности и их классификация </w:t>
      </w:r>
    </w:p>
    <w:p w:rsidR="005F50E3" w:rsidRDefault="00252C80">
      <w:pPr>
        <w:pStyle w:val="NormalWeb"/>
      </w:pPr>
      <w:r>
        <w:t>Из средств госбюджетов различных уровней и специализированных государственных фондов финансируются направления инновационной деятельности, имеющие приоритетное значение. Предоставление бюджетных средств осуществляется в формах:</w:t>
      </w:r>
    </w:p>
    <w:p w:rsidR="005F50E3" w:rsidRDefault="00252C80">
      <w:pPr>
        <w:pStyle w:val="NormalWeb"/>
      </w:pPr>
      <w:r>
        <w:t>а) финансирования федеральных целевых инновационных программ;</w:t>
      </w:r>
      <w:r>
        <w:br/>
        <w:t>б) финансового обеспечения перспективных инновационных проектов на конкурсной основе.</w:t>
      </w:r>
    </w:p>
    <w:p w:rsidR="005F50E3" w:rsidRDefault="00252C80">
      <w:pPr>
        <w:pStyle w:val="NormalWeb"/>
      </w:pPr>
      <w:r>
        <w:t>К числу приоритетов государственной инновационной политики РФ относятся федеральные целевые программы: «Национальная технологическая база», «Развитие электронной техники в РФ», «Развитие гражданской авиационной техники», «Информатизация РФ», «Технологии двойного назначения», «Развитие промышленной биотехнологии», «Реструктуризация и конверсия оборонной промышленности» и пр.</w:t>
      </w:r>
      <w:bookmarkStart w:id="0" w:name="_ftnref1"/>
      <w:r>
        <w:fldChar w:fldCharType="begin"/>
      </w:r>
      <w:r>
        <w:instrText xml:space="preserve"> HYPERLINK "" \l "_ftn1" </w:instrText>
      </w:r>
      <w:r>
        <w:fldChar w:fldCharType="separate"/>
      </w:r>
      <w:r>
        <w:rPr>
          <w:rStyle w:val="Hyperlink"/>
        </w:rPr>
        <w:t>[1]</w:t>
      </w:r>
      <w:r>
        <w:fldChar w:fldCharType="end"/>
      </w:r>
      <w:bookmarkEnd w:id="0"/>
    </w:p>
    <w:p w:rsidR="005F50E3" w:rsidRDefault="00252C80">
      <w:pPr>
        <w:pStyle w:val="NormalWeb"/>
      </w:pPr>
      <w:r>
        <w:t>К инновационным программам, на осуществление которых предполагается получение государственной финансовой поддержки, предъявляются следующие требования:</w:t>
      </w:r>
    </w:p>
    <w:p w:rsidR="005F50E3" w:rsidRDefault="00252C80">
      <w:pPr>
        <w:numPr>
          <w:ilvl w:val="0"/>
          <w:numId w:val="1"/>
        </w:numPr>
        <w:spacing w:before="100" w:beforeAutospacing="1" w:after="100" w:afterAutospacing="1"/>
      </w:pPr>
      <w:r>
        <w:t>право на участие в конкурсном отборе имеют инновационные проекты, направленные на развитие перспективных (развивающихся) отраслей экономики, при условии их частичного финансирования (не менее 20% от суммы, необходимой для реализации проекта) из собственных средств компании;</w:t>
      </w:r>
    </w:p>
    <w:p w:rsidR="005F50E3" w:rsidRDefault="00252C80">
      <w:pPr>
        <w:numPr>
          <w:ilvl w:val="0"/>
          <w:numId w:val="1"/>
        </w:numPr>
        <w:spacing w:before="100" w:beforeAutospacing="1" w:after="100" w:afterAutospacing="1"/>
      </w:pPr>
      <w:r>
        <w:t>срок окупаемости не должен превышать установленных нормативов (как правило, 2 года);</w:t>
      </w:r>
    </w:p>
    <w:p w:rsidR="005F50E3" w:rsidRDefault="00252C80">
      <w:pPr>
        <w:numPr>
          <w:ilvl w:val="0"/>
          <w:numId w:val="1"/>
        </w:numPr>
        <w:spacing w:before="100" w:beforeAutospacing="1" w:after="100" w:afterAutospacing="1"/>
      </w:pPr>
      <w:r>
        <w:t>государственное финансирование инновационных программ, прошедших конкурсный отбор, может осуществляться за счет средств федерального бюджета, выделяемых на возвратной основе, либо на условиях предоставления части акций хозяйствующего субъекта в государственную собственность;</w:t>
      </w:r>
    </w:p>
    <w:p w:rsidR="005F50E3" w:rsidRDefault="00252C80">
      <w:pPr>
        <w:numPr>
          <w:ilvl w:val="0"/>
          <w:numId w:val="1"/>
        </w:numPr>
        <w:spacing w:before="100" w:beforeAutospacing="1" w:after="100" w:afterAutospacing="1"/>
      </w:pPr>
      <w:r>
        <w:t>инновационные программы, предоставляемые на конкурс, должны иметь положительные заключения государственной экологической экспертизы, государственной ведомственной или независимой экспертизы.</w:t>
      </w:r>
    </w:p>
    <w:p w:rsidR="005F50E3" w:rsidRPr="00252C80" w:rsidRDefault="00252C80">
      <w:pPr>
        <w:pStyle w:val="NormalWeb"/>
      </w:pPr>
      <w:r>
        <w:t>Система финансирования научно-технического развития представляет собой весьма сложный и постоянно развивающийся механизм. До 1991 г. он в основном базировался на бюджетных ассигнованиях, а также децентрализованных источниках целевого назначения, которые образовывались в структурах управления по соответствующим жестким нормативам. В 1990-1991 гг. в нашей стране начались реорганизационные мероприятия, связанные с финансированием НТП. Было отменено регламентированное распределение прибыли по фондам экономического стимулирования, ликвидировано большинство отраслевых централизованных фондов, заметно упрощена система контроля за оплатой труда, либерализованы цены. Естественно, что все эти перемены имели весьма важное значение. В настоящее время в качестве основных источников средств, используемых для финансирования инновационной деятельности, выступают</w:t>
      </w:r>
      <w:bookmarkStart w:id="1" w:name="_ftnref2"/>
      <w:r>
        <w:fldChar w:fldCharType="begin"/>
      </w:r>
      <w:r>
        <w:instrText xml:space="preserve"> HYPERLINK "" \l "_ftn2" </w:instrText>
      </w:r>
      <w:r>
        <w:fldChar w:fldCharType="separate"/>
      </w:r>
      <w:r>
        <w:rPr>
          <w:rStyle w:val="Hyperlink"/>
        </w:rPr>
        <w:t>[2]</w:t>
      </w:r>
      <w:r>
        <w:fldChar w:fldCharType="end"/>
      </w:r>
      <w:bookmarkEnd w:id="1"/>
      <w:r>
        <w:t xml:space="preserve"> :</w:t>
      </w:r>
    </w:p>
    <w:p w:rsidR="005F50E3" w:rsidRDefault="00252C80">
      <w:pPr>
        <w:pStyle w:val="NormalWeb"/>
      </w:pPr>
      <w:r>
        <w:t>• бюджетные ассигнования, выделяемые на федеральном и региональном уровнях;</w:t>
      </w:r>
    </w:p>
    <w:p w:rsidR="005F50E3" w:rsidRDefault="00252C80">
      <w:pPr>
        <w:pStyle w:val="NormalWeb"/>
      </w:pPr>
      <w:r>
        <w:t>• средства специальных внебюджетных фондов финансирования НИОКР, которые образуются министерствами, федеральными и региональными органами управления;</w:t>
      </w:r>
    </w:p>
    <w:p w:rsidR="005F50E3" w:rsidRDefault="00252C80">
      <w:pPr>
        <w:pStyle w:val="NormalWeb"/>
      </w:pPr>
      <w:r>
        <w:t>• собственные средства предприятий (промышленные инвестиции из прибыли и в составе издержек производства);</w:t>
      </w:r>
    </w:p>
    <w:p w:rsidR="005F50E3" w:rsidRDefault="00252C80">
      <w:pPr>
        <w:pStyle w:val="NormalWeb"/>
      </w:pPr>
      <w:r>
        <w:t>• денежные средства различных типов коммерческих финансовых структур (инвестиционных компаний, коммерческих банков, страховых обществ, ФПГ и т.п.);</w:t>
      </w:r>
    </w:p>
    <w:p w:rsidR="005F50E3" w:rsidRDefault="00252C80">
      <w:pPr>
        <w:pStyle w:val="NormalWeb"/>
      </w:pPr>
      <w:r>
        <w:t>• кредитные ресурсы специально уполномоченных правительством инвестиционных банков;</w:t>
      </w:r>
    </w:p>
    <w:p w:rsidR="005F50E3" w:rsidRDefault="00252C80">
      <w:pPr>
        <w:pStyle w:val="NormalWeb"/>
      </w:pPr>
      <w:r>
        <w:t>• иностранные инвестиции промышленных и коммерческих фирм и компаний;</w:t>
      </w:r>
    </w:p>
    <w:p w:rsidR="005F50E3" w:rsidRDefault="00252C80">
      <w:pPr>
        <w:pStyle w:val="NormalWeb"/>
      </w:pPr>
      <w:r>
        <w:t>• средства национальных и зарубежных научных фондов;</w:t>
      </w:r>
    </w:p>
    <w:p w:rsidR="005F50E3" w:rsidRDefault="00252C80">
      <w:pPr>
        <w:pStyle w:val="NormalWeb"/>
      </w:pPr>
      <w:r>
        <w:t>• частные накопления физических лиц.</w:t>
      </w:r>
    </w:p>
    <w:p w:rsidR="005F50E3" w:rsidRDefault="00252C80">
      <w:pPr>
        <w:pStyle w:val="NormalWeb"/>
      </w:pPr>
      <w:r>
        <w:t>рис 1. Группировка финансовых ресурсов ИП в зависимости от их вида и источников формирования</w:t>
      </w:r>
      <w:bookmarkStart w:id="2" w:name="_ftnref3"/>
      <w:r>
        <w:fldChar w:fldCharType="begin"/>
      </w:r>
      <w:r>
        <w:instrText xml:space="preserve"> HYPERLINK "" \l "_ftn3" </w:instrText>
      </w:r>
      <w:r>
        <w:fldChar w:fldCharType="separate"/>
      </w:r>
      <w:r>
        <w:rPr>
          <w:rStyle w:val="Hyperlink"/>
        </w:rPr>
        <w:t>[3]</w:t>
      </w:r>
      <w:r>
        <w:fldChar w:fldCharType="end"/>
      </w:r>
      <w:bookmarkEnd w:id="2"/>
    </w:p>
    <w:p w:rsidR="005F50E3" w:rsidRDefault="00252C80">
      <w:pPr>
        <w:pStyle w:val="NormalWeb"/>
      </w:pPr>
      <w:r>
        <w:t>Естественно, что порядок финансирования инновационных проектов в каждом конкретном случае имеет свою специфику и непосредственно связан с характером внедряемых инноваций.</w:t>
      </w:r>
    </w:p>
    <w:p w:rsidR="005F50E3" w:rsidRDefault="00252C80">
      <w:pPr>
        <w:pStyle w:val="NormalWeb"/>
        <w:jc w:val="center"/>
      </w:pPr>
      <w:r>
        <w:rPr>
          <w:b/>
          <w:bCs/>
        </w:rPr>
        <w:t>1.1.1 Бюджетные ассигнования</w:t>
      </w:r>
    </w:p>
    <w:p w:rsidR="005F50E3" w:rsidRDefault="00252C80">
      <w:pPr>
        <w:pStyle w:val="NormalWeb"/>
      </w:pPr>
      <w:r>
        <w:t>Важнейшим финансовым источником, обеспечивающим решение крупномасштабных научно-технических проблем, являются средства государственного бюджета. За счет бюджетных средств научной организации, которая имеет уникальное опытно – экспериментальное оборудование, располагает научными работниками и специалистами высокой квалификации и научно – техническая деятельность которой получила международное признание. Статус государственного научного центра означает отнесение организации к объектам науки федерального значения с особыми формами государственной поддержки и обеспечения их деятельности. Государственные научные центры РФ были созданы для сохранения в России ведущих научных школ мирового уровня, развития научно-инженерного, технологического потенциала страны в области фундаментальных, прикладных исследований и подготовки научных и инженерных кадров. Система ГНЦ - важнейший элемент национальной инновационной системы в области генерации знаний; перевода этих знаний в наукоемкий товар и подготовки научных и инженерных кадров. Ассоциация государственных научных центров объединяет 50 научных организаций России, которым Правительством Российской Федерации присвоен статус государственного научного центра Российской Федерации (ГНЦ). Научные центры представляют собой, крупные научно-инженерные и технологические комплексы, выполняющие полный цикл работ от фундаментальных и поисковых исследований до создания новых образцов техники и промышленных технологий в интересах экономики национальной безопасности и обороноспособности страны.</w:t>
      </w:r>
    </w:p>
    <w:p w:rsidR="005F50E3" w:rsidRDefault="00252C80">
      <w:pPr>
        <w:pStyle w:val="NormalWeb"/>
      </w:pPr>
      <w:r>
        <w:t>Российский фонд фундаментальных исследований предоставляет средства на безвозвратной основе и ставит своей главной задачей содействие развитию фундаментальных научных исследований и повышение научной квалификации ученых. Для этого фонд организует экспертизу и конкурсный отбор проектов научных исследований, предлагаемых научными учреждениями и отдельными творческими коллективами, осуществляет финансирование отобранных проектов и контроль за использованием выделенных для них средств. Фонд является некоммерческой организацией и не преследует цели извлечения прибыли. Средства фонда формируются в рублях и в иностранной валюте за счет государственных ассигнований (4-6% сумм, предназначенных в бюджете России на финансирование науки), добровольных взносов предприятий, учреждений, организаций и граждан (в том числе иностранных юридических и физических лиц), иных источников денежных средств.</w:t>
      </w:r>
    </w:p>
    <w:p w:rsidR="005F50E3" w:rsidRDefault="00252C80">
      <w:pPr>
        <w:pStyle w:val="NormalWeb"/>
      </w:pPr>
      <w:r>
        <w:t>Фонд содействия развитию малых форм предприятий в научно-технической сфере призван оказывать финансовую поддержку и способствовать созданию малых наукоемких фирм, инкубаторов бизнеса, инновационных инжиниринговых центров и других аналогичных ИП. Средства фонда могут расходоваться и на поощрение конкуренции в научно-технической сфере путем оказания финансовой поддержки высокоэффективным наукоемким проектам, которые разрабатываются малыми ИП. Основными источниками формирования средств этого фонда являются бюджетные ассигнования, добровольные взносы организаций и граждан, в том числе иностранных юридических и физических лиц, иные поступления от деятельности фонда.</w:t>
      </w:r>
    </w:p>
    <w:p w:rsidR="005F50E3" w:rsidRDefault="00252C80">
      <w:pPr>
        <w:pStyle w:val="NormalWeb"/>
      </w:pPr>
      <w:r>
        <w:t>В августе 1995 г. приступила к своей деятельности еще одна государственная структура — Федеральный фонд производственных инноваций. Этот фонд был создан постановлением Правительства РФ в целях государственной поддержки важнейших инновационных проектов по приоритетным направлениям НТП, освоения конкурентоспособных технологий и производств, а также мероприятий по освоению новых видов продукции. Основными задачами данного фонда являются:</w:t>
      </w:r>
    </w:p>
    <w:p w:rsidR="005F50E3" w:rsidRDefault="00252C80">
      <w:pPr>
        <w:pStyle w:val="NormalWeb"/>
      </w:pPr>
      <w:r>
        <w:t>• содействие государственной структурной, научно-технической и промышленной политике на основе поддержки инновационных проектов по приоритетным направлениям НТП;</w:t>
      </w:r>
    </w:p>
    <w:p w:rsidR="005F50E3" w:rsidRDefault="00252C80">
      <w:pPr>
        <w:pStyle w:val="NormalWeb"/>
      </w:pPr>
      <w:r>
        <w:t>• отбор и реализация инновационных проектов, направленных на структурную перестройку экономики России;</w:t>
      </w:r>
    </w:p>
    <w:p w:rsidR="005F50E3" w:rsidRDefault="00252C80">
      <w:pPr>
        <w:pStyle w:val="NormalWeb"/>
      </w:pPr>
      <w:r>
        <w:t>• поддержка инновационной деятельности, подготовки и освоения производства принципиально новых видов продукции и технологий путем финансирования строительства, реконструкции и технического перевооружения объектов, создания уникальных научно-исследовательских и испытательных установок;</w:t>
      </w:r>
    </w:p>
    <w:p w:rsidR="005F50E3" w:rsidRDefault="00252C80">
      <w:pPr>
        <w:pStyle w:val="NormalWeb"/>
      </w:pPr>
      <w:r>
        <w:t>• содействие строительству и реконструкции наукоемких производств.</w:t>
      </w:r>
    </w:p>
    <w:p w:rsidR="005F50E3" w:rsidRDefault="00252C80">
      <w:pPr>
        <w:pStyle w:val="NormalWeb"/>
      </w:pPr>
      <w:r>
        <w:t>В дополнении к вышеназванным государственным фондам можно также отнести Российский гуманитарный научный фонд (РГНФ). Российский гуманитарный научный фонд создан постановлением Правительства Российской Федерации от 8 сентября 1994 г. № 1023 "О Российском гуманитарном научном фонде". Фонд является государственной некоммерческой организацией в форме федерального учреждения, находящегося в ведении Правительства Российской Федерации. Основной целью Фонда является поддержка гуманитарных научных исследований и распространение гуманитарных научных знаний в обществе. Издательская программа РГНФ является крупнейшей в России в области научного книгоиздания. Книги, изданные при поддержке Фонда, имеют поистине общенациональное значение: они формируют новые представления в области политики, государственного управления, экономики, истории, социального устройства общества, служат сохранению и развитию культурного и духовного наследия народов России, их языков и народного творчества. Без освоения и переработки научного содержания этих изданий невозможно также создание нового поколения учебников.</w:t>
      </w:r>
    </w:p>
    <w:p w:rsidR="005F50E3" w:rsidRDefault="00252C80">
      <w:pPr>
        <w:pStyle w:val="NormalWeb"/>
      </w:pPr>
      <w:r>
        <w:t>В целях повышения эффективности системы присуждения грантов молодым ученым Российский гуманитарный научный фонд (РГНФ) подготовил в 2006 г. целевую программу поддержки молодых ученых. В рамках этой программы успешно проведены конкурсы проектов стажировок молодых ученых в крупных научных центрах и проектов командировок молодых ученых для работы в библиотеках и архивах; а также конкурс проектов участия молодых ученых в научных мероприятиях за рубежом (поддержано 102 проекта стажировок и командировок молодых ученых и 52 проекта участия молодых ученых в научных мероприятиях за рубежом)</w:t>
      </w:r>
      <w:bookmarkStart w:id="3" w:name="_ftnref4"/>
      <w:r>
        <w:fldChar w:fldCharType="begin"/>
      </w:r>
      <w:r>
        <w:instrText xml:space="preserve"> HYPERLINK "" \l "_ftn4" </w:instrText>
      </w:r>
      <w:r>
        <w:fldChar w:fldCharType="separate"/>
      </w:r>
      <w:r>
        <w:rPr>
          <w:rStyle w:val="Hyperlink"/>
        </w:rPr>
        <w:t>[4]</w:t>
      </w:r>
      <w:r>
        <w:fldChar w:fldCharType="end"/>
      </w:r>
      <w:bookmarkEnd w:id="3"/>
      <w:r>
        <w:t xml:space="preserve"> .</w:t>
      </w:r>
    </w:p>
    <w:p w:rsidR="005F50E3" w:rsidRDefault="00252C80">
      <w:pPr>
        <w:pStyle w:val="NormalWeb"/>
      </w:pPr>
      <w:r>
        <w:t>РГНФ ежегодно организует несколько видов конкурсов: исследовательских проектов, издательских проектов, проектов развития научных телекоммуникаций и материально-технической базы гуманитарных научных исследований, проектов организации российских и международных научных мероприятий на территории РФ, проектов участия российских ученых в научных мероприятиях за рубежом, проектов организации экспедиций, полевых, экспериментально-лабораторных исследований и научно-реставрационных работ, проектов создания информационных систем.</w:t>
      </w:r>
    </w:p>
    <w:p w:rsidR="005F50E3" w:rsidRDefault="00252C80">
      <w:pPr>
        <w:pStyle w:val="NormalWeb"/>
      </w:pPr>
      <w:r>
        <w:rPr>
          <w:b/>
          <w:bCs/>
        </w:rPr>
        <w:t xml:space="preserve">1.1.2 Внебюджетные фонды </w:t>
      </w:r>
    </w:p>
    <w:p w:rsidR="005F50E3" w:rsidRDefault="00252C80">
      <w:pPr>
        <w:pStyle w:val="NormalWeb"/>
      </w:pPr>
      <w:r>
        <w:t>В целях обеспечения финансирования общеотраслевых, межотраслевых и региональных научно-технических проблем, а также мероприятий по освоению новых видов промышленной продукции в настоящее время допускается создание внебюджетных фондов финансирования НИОКР и поддержки инноваций. Такие фонды могут создаваться в министерствах, в крупных городах и регионах, а также в рамках концернов, холдингов, ФПГ.</w:t>
      </w:r>
    </w:p>
    <w:p w:rsidR="005F50E3" w:rsidRDefault="00252C80">
      <w:pPr>
        <w:pStyle w:val="NormalWeb"/>
      </w:pPr>
      <w:r>
        <w:t>В качестве примера внебюджетного фонда финансирования НИОКР мы можем привести Российский фонд технологического развития. РФТР образован в соответствии с Указом Президента Российской Федерации от 27 апреля 1992 г. № 426 «О неотложных мерах по сохранению научно-технического потенциала Российской Федерации. РФТР оказывает финансовую поддержку прикладным научно-исследовательским и опытно-конструкторским работам (далее - НИОКР), соответствующим приоритетным направлениям развития науки и техники, перечню критических технологий федерального уровня и ориентированным на внедрение и реализацию конкретных конечных результатов.</w:t>
      </w:r>
    </w:p>
    <w:p w:rsidR="005F50E3" w:rsidRDefault="00252C80">
      <w:pPr>
        <w:pStyle w:val="NormalWeb"/>
      </w:pPr>
      <w:r>
        <w:t>Средства РФТР направляются на научные исследования и экспериментальные разработки различной отраслевой направленности в областях:</w:t>
      </w:r>
    </w:p>
    <w:p w:rsidR="005F50E3" w:rsidRDefault="00252C80">
      <w:pPr>
        <w:pStyle w:val="NormalWeb"/>
      </w:pPr>
      <w:r>
        <w:t>- создания новых видов наукоемкой продукции;</w:t>
      </w:r>
    </w:p>
    <w:p w:rsidR="005F50E3" w:rsidRDefault="00252C80">
      <w:pPr>
        <w:pStyle w:val="NormalWeb"/>
      </w:pPr>
      <w:r>
        <w:t>- создание новых видов сырья и материалов;</w:t>
      </w:r>
    </w:p>
    <w:p w:rsidR="005F50E3" w:rsidRDefault="00252C80">
      <w:pPr>
        <w:pStyle w:val="NormalWeb"/>
      </w:pPr>
      <w:r>
        <w:t>- разработки новых и совершенствования применяемых технологий;</w:t>
      </w:r>
    </w:p>
    <w:p w:rsidR="005F50E3" w:rsidRDefault="00252C80">
      <w:pPr>
        <w:pStyle w:val="NormalWeb"/>
      </w:pPr>
      <w:r>
        <w:t>- повышения технического уровня продукции;</w:t>
      </w:r>
    </w:p>
    <w:p w:rsidR="005F50E3" w:rsidRDefault="00252C80">
      <w:pPr>
        <w:pStyle w:val="NormalWeb"/>
      </w:pPr>
      <w:r>
        <w:t>Средства РФТР не являются бюджетными и формируются за счет добровольных отчислений российских предприятий и организаций. Средства РФТР предоставляются организациям в форме беспроцентного целевого займа на срок, необходимый для проведения НИОКР и внедрения полученных результатов.</w:t>
      </w:r>
    </w:p>
    <w:p w:rsidR="005F50E3" w:rsidRDefault="00252C80">
      <w:pPr>
        <w:pStyle w:val="NormalWeb"/>
      </w:pPr>
      <w:r>
        <w:t>Важнейшими источниками негосударственной системы финансирования инновационных проектов в настоящее время выступают:</w:t>
      </w:r>
    </w:p>
    <w:p w:rsidR="005F50E3" w:rsidRDefault="00252C80">
      <w:pPr>
        <w:pStyle w:val="NormalWeb"/>
      </w:pPr>
      <w:r>
        <w:t>• собственные средства ИП;</w:t>
      </w:r>
    </w:p>
    <w:p w:rsidR="005F50E3" w:rsidRDefault="00252C80">
      <w:pPr>
        <w:pStyle w:val="NormalWeb"/>
      </w:pPr>
      <w:r>
        <w:t>• средства, мобилизуемые путем эмиссии ценных бумаг;</w:t>
      </w:r>
    </w:p>
    <w:p w:rsidR="005F50E3" w:rsidRDefault="00252C80">
      <w:pPr>
        <w:pStyle w:val="NormalWeb"/>
      </w:pPr>
      <w:r>
        <w:t>• кредиты коммерческих банков;</w:t>
      </w:r>
    </w:p>
    <w:p w:rsidR="005F50E3" w:rsidRDefault="00252C80">
      <w:pPr>
        <w:pStyle w:val="NormalWeb"/>
      </w:pPr>
      <w:r>
        <w:t>• средства специализированных и благотворительных фондов;</w:t>
      </w:r>
    </w:p>
    <w:p w:rsidR="005F50E3" w:rsidRDefault="00252C80">
      <w:pPr>
        <w:pStyle w:val="NormalWeb"/>
      </w:pPr>
      <w:r>
        <w:t>• средства инвестиционных компаний, других ИП, заинтересованных в скорейшем выпуске новой продукции.</w:t>
      </w:r>
    </w:p>
    <w:p w:rsidR="005F50E3" w:rsidRDefault="00252C80">
      <w:pPr>
        <w:pStyle w:val="NormalWeb"/>
      </w:pPr>
      <w:r>
        <w:t>В целом ряде случаев (особенно если речь идет о крупных ИП) внедрение конструктивных и технологических новинок осуществляется за счет собственных средств предприятия (нераспределенной прибыли, направляемой на развитие производства, и фонда амортизационных отчислений). Эти средства могут использоваться на обновление и расширение производства, осуществление научно-исследовательских, опытно-конструкторских и технологических проектов и программ освоения новых видов конкурентоспособной продукции, увеличение собственных оборотных средств, а также на</w:t>
      </w:r>
    </w:p>
    <w:p w:rsidR="005F50E3" w:rsidRDefault="00252C80">
      <w:pPr>
        <w:pStyle w:val="NormalWeb"/>
      </w:pPr>
      <w:r>
        <w:t>другие цели, содействующие укреплению материально-технической базы предприятия. Если собственных средств ИП недостаточно, а в потенциале ИП имеется солидный научно-технический задел, можно прибегнуть к дополнительной эмиссии ценных бумаг (дополнительному выпуску акций или облигаций). Естественно, что этот путь доступен лишь предприятиям, которые организованы в форме закрытых или открытых акционерных обществ.</w:t>
      </w:r>
    </w:p>
    <w:p w:rsidR="005F50E3" w:rsidRDefault="00252C80">
      <w:pPr>
        <w:pStyle w:val="NormalWeb"/>
      </w:pPr>
      <w:r>
        <w:t>Весьма важное место в финансовом обеспечении работы ИП отводится сегодня и коммерческому кредиту. Этот вид экономических отношений постоянно развивается и все шире использует новые, нетрадиционные формы.</w:t>
      </w:r>
    </w:p>
    <w:p w:rsidR="005F50E3" w:rsidRDefault="00252C80">
      <w:pPr>
        <w:pStyle w:val="NormalWeb"/>
      </w:pPr>
      <w:r>
        <w:t>Речь в данном случае идет о порядке выдачи кредита, способах его погашения, организации банковского контроля за соблюдением договорных условий. Организация долгосрочного кредитования, как правило, базируется на трех основополагающих принципах: обеспеченности, срочности, платности. Сегодня предприятию-клиенту предоставлено право открывать ссудные счета не в одном, а в нескольких банках. Важным признаком современной системы кредитования деятельности ИП является ее договорная основа. Все вопросы, возникающие по поводу кредитования, решаются непосредственно между банком и предприятием-заемщиком (субъектом кредитования). При решении вопроса о выдаче долгосрочного инновационного кредита банк анализирует перспективы экономического роста кредитуемого ИП, возможности реализации продукции и ожидаемый рост доходов. Эта информация содержится в бизнес-планах, которые подготавливаются по каждому инновационному проекту. Как правило, коммерческий банк кредитует только такие мероприятия, которые имеют реальные сроки окупаемости и наличие источников возврата кредита, обеспечивают окупаемость финансируемых вложений в более короткие сроки, чем среднеотраслевые сроки окупаемости. Практика показывает, что банковский кредит в отличие от бюджетного финансирования позволяет повысить эффективность инвестиционных мероприятий и в целом ряде случаев может оказаться более приемлемым и удобным методом мобилизации денежных средств на длительные сроки, чем выпуск корпоративных акций или размещение облигационных займов.</w:t>
      </w:r>
    </w:p>
    <w:p w:rsidR="005F50E3" w:rsidRDefault="00252C80">
      <w:pPr>
        <w:pStyle w:val="NormalWeb"/>
      </w:pPr>
      <w:r>
        <w:rPr>
          <w:b/>
          <w:bCs/>
        </w:rPr>
        <w:t>1.1.3 Финансовый лизинг</w:t>
      </w:r>
    </w:p>
    <w:p w:rsidR="005F50E3" w:rsidRDefault="00252C80">
      <w:pPr>
        <w:pStyle w:val="NormalWeb"/>
      </w:pPr>
      <w:r>
        <w:t>Этот вид финансовых операций находит применение прежде всего тогда, когда решается задача быстрого промышленного освоения крупных технических инноваций, требующих приобретения дорогостоящих станков, оборудования, уникальной контрольно-измерительной техники, ЭВМ, энергетических установок, транспортных средств и т.п. Именно здесь получили развитие принципиально новые виды связи между производителем и потребителем сложной продукции, основанные на долгосрочной аренде или лизинге.</w:t>
      </w:r>
    </w:p>
    <w:p w:rsidR="005F50E3" w:rsidRDefault="00252C80">
      <w:pPr>
        <w:pStyle w:val="NormalWeb"/>
      </w:pPr>
      <w:r>
        <w:t>Современный рынок лизинговых услуг — один из наиболее динамичных и постоянно развивающихся. В США, например, на долю лизинга приходится примерно 25-30% в общей сумме капитальных вложений в машины и оборудование. В современной хозяйственной практике под лизингом понимается «совокупность экономических и правовых отношений, возникающих в процессе инвестиционной деятельности в связи с реализацией договоров особого рода — договоров лизинга». По указанному договору лизингодатель обязуется приобрести в собственность указанное лизингополучателем имущество у определенного им продавца и предоставить лизингополучателю это имущество за плату во временное владение и пользование.</w:t>
      </w:r>
    </w:p>
    <w:p w:rsidR="005F50E3" w:rsidRDefault="00252C80">
      <w:pPr>
        <w:pStyle w:val="NormalWeb"/>
      </w:pPr>
      <w:r>
        <w:t>С экономической точки зрения операция лизинга во многом схожа с долгосрочным кредитованием на закупку оборудования и других видов основных производственных фондов. Важно подчеркнуть, что для финансового лизинга (в отличие от других его форм) характерно то, что срок аренды, как правило, очень близок к сроку службы оборудования. Главное преимущество лизинга состоит в том, что при наличии рентабельного проекта предприниматель (ИП) имеет возможность получить оборудование и начать новое производство без крупных единовременных затрат. Это особенно актуально для малых и средних предпринимателей. По истечении срока лизингового договора (периода лиза) и выплаты арендаторам полной стоимости имущества и оговоренных процентов это имущество становится его собственностью или, если это оговорено условиями договора, возвращается лизингодателю. Современные лизинговые фирмы предоставляют арендатору право выбора поставщика необходимого ему оборудования, размещения заказа и приемки объекта сделки. Техническое обслуживание и ремонт поставленного оборудования осуществляет либо предприятие-изготовитель, либо сам арендатор (лизингополучатель). Важнейшими факторами, на основе которых устанавливаются конкретные сроки лизинговых договоров, чаще всего выступают:</w:t>
      </w:r>
    </w:p>
    <w:p w:rsidR="005F50E3" w:rsidRDefault="00252C80">
      <w:pPr>
        <w:pStyle w:val="NormalWeb"/>
      </w:pPr>
      <w:r>
        <w:t>• срок службы оборудования, определяемый его технико-экономическими характеристиками;</w:t>
      </w:r>
    </w:p>
    <w:p w:rsidR="005F50E3" w:rsidRDefault="00252C80">
      <w:pPr>
        <w:pStyle w:val="NormalWeb"/>
      </w:pPr>
      <w:r>
        <w:t>• нормы амортизационных отчислений, а также порядок их индексации, устанавливаемые на правительственном уровне;</w:t>
      </w:r>
    </w:p>
    <w:p w:rsidR="005F50E3" w:rsidRDefault="00252C80">
      <w:pPr>
        <w:pStyle w:val="NormalWeb"/>
      </w:pPr>
      <w:r>
        <w:t>• ожидаемые сроки появления более производительной техники;</w:t>
      </w:r>
    </w:p>
    <w:p w:rsidR="005F50E3" w:rsidRDefault="00252C80">
      <w:pPr>
        <w:pStyle w:val="NormalWeb"/>
      </w:pPr>
      <w:r>
        <w:t>• конъюнктура рынка ссудных капиталов и тенденции ее развития.</w:t>
      </w:r>
    </w:p>
    <w:p w:rsidR="005F50E3" w:rsidRDefault="00252C80">
      <w:pPr>
        <w:pStyle w:val="NormalWeb"/>
      </w:pPr>
      <w:r>
        <w:rPr>
          <w:b/>
          <w:bCs/>
        </w:rPr>
        <w:t>1.2 Коммерческие механизмы финансирования инновационной деятельности</w:t>
      </w:r>
    </w:p>
    <w:p w:rsidR="005F50E3" w:rsidRDefault="00252C80">
      <w:pPr>
        <w:pStyle w:val="NormalWeb"/>
      </w:pPr>
      <w:r>
        <w:t>Источниками финансирования инновационной деятельности являются:</w:t>
      </w:r>
    </w:p>
    <w:p w:rsidR="005F50E3" w:rsidRDefault="00252C80">
      <w:pPr>
        <w:numPr>
          <w:ilvl w:val="0"/>
          <w:numId w:val="2"/>
        </w:numPr>
        <w:spacing w:before="100" w:beforeAutospacing="1" w:after="100" w:afterAutospacing="1"/>
      </w:pPr>
      <w:r>
        <w:t>собственные средства предприятия (реинвестируемая часть прибыли, амортизационные отчисления, страховые суммы по возмещению убытков, средства от реализации нематериальных активов);</w:t>
      </w:r>
    </w:p>
    <w:p w:rsidR="005F50E3" w:rsidRDefault="00252C80">
      <w:pPr>
        <w:numPr>
          <w:ilvl w:val="0"/>
          <w:numId w:val="2"/>
        </w:numPr>
        <w:spacing w:before="100" w:beforeAutospacing="1" w:after="100" w:afterAutospacing="1"/>
      </w:pPr>
      <w:r>
        <w:t>привлеченные средства (выпуск акций и других ценных бумаг, взносы, пожертвования, средства, предоставляемые на безвозвратной основе);</w:t>
      </w:r>
    </w:p>
    <w:p w:rsidR="005F50E3" w:rsidRDefault="00252C80">
      <w:pPr>
        <w:numPr>
          <w:ilvl w:val="0"/>
          <w:numId w:val="2"/>
        </w:numPr>
        <w:spacing w:before="100" w:beforeAutospacing="1" w:after="100" w:afterAutospacing="1"/>
      </w:pPr>
      <w:r>
        <w:t>заемные средства (бюджетные, коммерческие, банковские кредиты).</w:t>
      </w:r>
    </w:p>
    <w:p w:rsidR="005F50E3" w:rsidRPr="00252C80" w:rsidRDefault="00252C80">
      <w:pPr>
        <w:pStyle w:val="NormalWeb"/>
      </w:pPr>
      <w:r>
        <w:t>Существуют следующие формы финансирования инновационной деятельности:</w:t>
      </w:r>
    </w:p>
    <w:p w:rsidR="005F50E3" w:rsidRDefault="00252C80">
      <w:pPr>
        <w:numPr>
          <w:ilvl w:val="0"/>
          <w:numId w:val="3"/>
        </w:numPr>
        <w:spacing w:before="100" w:beforeAutospacing="1" w:after="100" w:afterAutospacing="1"/>
      </w:pPr>
      <w:r>
        <w:t>Акционерное финансирование.</w:t>
      </w:r>
    </w:p>
    <w:p w:rsidR="005F50E3" w:rsidRDefault="00252C80">
      <w:pPr>
        <w:numPr>
          <w:ilvl w:val="0"/>
          <w:numId w:val="3"/>
        </w:numPr>
        <w:spacing w:before="100" w:beforeAutospacing="1" w:after="100" w:afterAutospacing="1"/>
      </w:pPr>
      <w:r>
        <w:t>Банковские кредиты.</w:t>
      </w:r>
    </w:p>
    <w:p w:rsidR="005F50E3" w:rsidRDefault="00252C80">
      <w:pPr>
        <w:numPr>
          <w:ilvl w:val="0"/>
          <w:numId w:val="3"/>
        </w:numPr>
        <w:spacing w:before="100" w:beforeAutospacing="1" w:after="100" w:afterAutospacing="1"/>
      </w:pPr>
      <w:r>
        <w:t>Венчурное финансирование.</w:t>
      </w:r>
    </w:p>
    <w:p w:rsidR="005F50E3" w:rsidRDefault="00252C80">
      <w:pPr>
        <w:numPr>
          <w:ilvl w:val="0"/>
          <w:numId w:val="3"/>
        </w:numPr>
        <w:spacing w:before="100" w:beforeAutospacing="1" w:after="100" w:afterAutospacing="1"/>
      </w:pPr>
      <w:r>
        <w:t>Лизинг.</w:t>
      </w:r>
    </w:p>
    <w:p w:rsidR="005F50E3" w:rsidRDefault="00252C80">
      <w:pPr>
        <w:numPr>
          <w:ilvl w:val="0"/>
          <w:numId w:val="3"/>
        </w:numPr>
        <w:spacing w:before="100" w:beforeAutospacing="1" w:after="100" w:afterAutospacing="1"/>
      </w:pPr>
      <w:r>
        <w:t>Форфейтинг.</w:t>
      </w:r>
    </w:p>
    <w:p w:rsidR="005F50E3" w:rsidRDefault="00252C80">
      <w:pPr>
        <w:numPr>
          <w:ilvl w:val="0"/>
          <w:numId w:val="3"/>
        </w:numPr>
        <w:spacing w:before="100" w:beforeAutospacing="1" w:after="100" w:afterAutospacing="1"/>
      </w:pPr>
      <w:r>
        <w:t>Смешанное финансирование.</w:t>
      </w:r>
    </w:p>
    <w:p w:rsidR="005F50E3" w:rsidRPr="00252C80" w:rsidRDefault="00252C80">
      <w:pPr>
        <w:pStyle w:val="NormalWeb"/>
      </w:pPr>
      <w:r>
        <w:rPr>
          <w:i/>
          <w:iCs/>
        </w:rPr>
        <w:t>Акционерное финансирование</w:t>
      </w:r>
    </w:p>
    <w:p w:rsidR="005F50E3" w:rsidRDefault="00252C80">
      <w:pPr>
        <w:pStyle w:val="NormalWeb"/>
      </w:pPr>
      <w:r>
        <w:t>Данная форма доступна для предприятий, организованных в форме закрытого или открытого акционерного общества; позволяет аккумулировать крупные финансовые ресурсы путем размещения акций среди неограниченного круга инвесторов (заем денег у покупателей акций на неопределенное время) для осуществления перспективных инновационных проектов. Посредством эмиссии ценных бумаг производится замена инвестиционного кредита рыночными долговыми обязательствами, что способствует оптимизации структуры финансовых ресурсов, инвестируемых в инновационный проект.</w:t>
      </w:r>
    </w:p>
    <w:p w:rsidR="005F50E3" w:rsidRDefault="00252C80">
      <w:pPr>
        <w:pStyle w:val="NormalWeb"/>
      </w:pPr>
      <w:r>
        <w:t>Для определения номинальной суммы эмиссии ценных бумаг используют следующие показатели:</w:t>
      </w:r>
    </w:p>
    <w:p w:rsidR="005F50E3" w:rsidRDefault="00252C80">
      <w:pPr>
        <w:numPr>
          <w:ilvl w:val="0"/>
          <w:numId w:val="4"/>
        </w:numPr>
        <w:spacing w:before="100" w:beforeAutospacing="1" w:after="100" w:afterAutospacing="1"/>
      </w:pPr>
      <w:r>
        <w:t>объем финансовых ресурсов, необходимых для реализации</w:t>
      </w:r>
    </w:p>
    <w:p w:rsidR="005F50E3" w:rsidRDefault="00252C80">
      <w:pPr>
        <w:numPr>
          <w:ilvl w:val="0"/>
          <w:numId w:val="4"/>
        </w:numPr>
        <w:spacing w:before="100" w:beforeAutospacing="1" w:after="100" w:afterAutospacing="1"/>
      </w:pPr>
      <w:r>
        <w:t>инновационного проекта;</w:t>
      </w:r>
    </w:p>
    <w:p w:rsidR="005F50E3" w:rsidRDefault="00252C80">
      <w:pPr>
        <w:numPr>
          <w:ilvl w:val="0"/>
          <w:numId w:val="4"/>
        </w:numPr>
        <w:spacing w:before="100" w:beforeAutospacing="1" w:after="100" w:afterAutospacing="1"/>
      </w:pPr>
      <w:r>
        <w:t>ожидаемый прирост капитала и размер дивидендов по акциям;</w:t>
      </w:r>
    </w:p>
    <w:p w:rsidR="005F50E3" w:rsidRDefault="00252C80">
      <w:pPr>
        <w:numPr>
          <w:ilvl w:val="0"/>
          <w:numId w:val="4"/>
        </w:numPr>
        <w:spacing w:before="100" w:beforeAutospacing="1" w:after="100" w:afterAutospacing="1"/>
      </w:pPr>
      <w:r>
        <w:t>величина денежных поступлений, которую рассчитывает получить эмитент при размещении акций.</w:t>
      </w:r>
    </w:p>
    <w:p w:rsidR="005F50E3" w:rsidRPr="00252C80" w:rsidRDefault="00252C80">
      <w:pPr>
        <w:pStyle w:val="NormalWeb"/>
      </w:pPr>
      <w:r>
        <w:rPr>
          <w:i/>
          <w:iCs/>
        </w:rPr>
        <w:t>Банковские кредиты</w:t>
      </w:r>
    </w:p>
    <w:p w:rsidR="005F50E3" w:rsidRDefault="00252C80">
      <w:pPr>
        <w:pStyle w:val="NormalWeb"/>
      </w:pPr>
      <w:r>
        <w:t>Коммерческие банки финансируют инновационные проекты, обладающие реальными сроками окупаемости (срок окупаемости меньше срока реализации проекта), имеющими источники возврата предоставляемых финансовых средств, обеспечивающие значительный прирост инвестируемого капитала.</w:t>
      </w:r>
    </w:p>
    <w:p w:rsidR="005F50E3" w:rsidRDefault="00252C80">
      <w:pPr>
        <w:pStyle w:val="NormalWeb"/>
      </w:pPr>
      <w:r>
        <w:t>Банковский кредит предоставляется на определенный срок под проценты, размер которых зависит от срока займа, величины риска по проекту, характеристик заемщика и пр.</w:t>
      </w:r>
    </w:p>
    <w:p w:rsidR="005F50E3" w:rsidRDefault="00252C80">
      <w:pPr>
        <w:pStyle w:val="NormalWeb"/>
      </w:pPr>
      <w:r>
        <w:rPr>
          <w:i/>
          <w:iCs/>
        </w:rPr>
        <w:t>Венчурное финансирование</w:t>
      </w:r>
    </w:p>
    <w:p w:rsidR="005F50E3" w:rsidRDefault="00252C80">
      <w:pPr>
        <w:pStyle w:val="NormalWeb"/>
      </w:pPr>
      <w:r>
        <w:t>Венчурное финансирование осуществляется фондами рискокапитала путем предоставления денежных ресурсов на беспроцентной основе без гарантий их возврата.</w:t>
      </w:r>
    </w:p>
    <w:p w:rsidR="005F50E3" w:rsidRDefault="00252C80">
      <w:pPr>
        <w:pStyle w:val="NormalWeb"/>
      </w:pPr>
      <w:r>
        <w:t>Деятельность венчурных фондов по финансированию инновационных проектов обладает рядом характерных особенностей, что отличает их от традиционных инвестиционных фондов:</w:t>
      </w:r>
    </w:p>
    <w:p w:rsidR="005F50E3" w:rsidRDefault="00252C80">
      <w:pPr>
        <w:numPr>
          <w:ilvl w:val="0"/>
          <w:numId w:val="5"/>
        </w:numPr>
        <w:spacing w:before="100" w:beforeAutospacing="1" w:after="100" w:afterAutospacing="1"/>
      </w:pPr>
      <w:r>
        <w:t>риско-инвесторы готовы к потере своего капитала (не требуют залоговых гарантий возврата предоставленных средств);</w:t>
      </w:r>
    </w:p>
    <w:p w:rsidR="005F50E3" w:rsidRDefault="00252C80">
      <w:pPr>
        <w:numPr>
          <w:ilvl w:val="0"/>
          <w:numId w:val="5"/>
        </w:numPr>
        <w:spacing w:before="100" w:beforeAutospacing="1" w:after="100" w:afterAutospacing="1"/>
      </w:pPr>
      <w:r>
        <w:t>«риско-капитал» предоставляется на длительный срок (5—7 лет) без права его изъятия;</w:t>
      </w:r>
    </w:p>
    <w:p w:rsidR="005F50E3" w:rsidRDefault="00252C80">
      <w:pPr>
        <w:numPr>
          <w:ilvl w:val="0"/>
          <w:numId w:val="5"/>
        </w:numPr>
        <w:spacing w:before="100" w:beforeAutospacing="1" w:after="100" w:afterAutospacing="1"/>
      </w:pPr>
      <w:r>
        <w:t>«риско-капитал» размещается только в форме акционерного капитала.</w:t>
      </w:r>
    </w:p>
    <w:p w:rsidR="005F50E3" w:rsidRPr="00252C80" w:rsidRDefault="00252C80">
      <w:pPr>
        <w:pStyle w:val="NormalWeb"/>
      </w:pPr>
      <w:r>
        <w:t>Риск венчурных инвесторов велик, однако в случае удачи он компенсируется сверхприбылью. Статистика показывает, что в 15% случаев венчурный капитал полностью теряется, в 25% — риско-фирмы терпят убытки в течение большего срока, чем планировалось, в 30% — получают умеренные прибыли и в 30% — сверхприбыли (превышение «риско-капитала» в 30—200 раз)</w:t>
      </w:r>
      <w:bookmarkStart w:id="4" w:name="_ftnref5"/>
      <w:r>
        <w:fldChar w:fldCharType="begin"/>
      </w:r>
      <w:r>
        <w:instrText xml:space="preserve"> HYPERLINK "" \l "_ftn5" </w:instrText>
      </w:r>
      <w:r>
        <w:fldChar w:fldCharType="separate"/>
      </w:r>
      <w:r>
        <w:rPr>
          <w:rStyle w:val="Hyperlink"/>
        </w:rPr>
        <w:t>[5]</w:t>
      </w:r>
      <w:r>
        <w:fldChar w:fldCharType="end"/>
      </w:r>
      <w:bookmarkEnd w:id="4"/>
      <w:r>
        <w:t xml:space="preserve"> . Снижения рисков при осуществлении венчурного финансирования удается достичь при тщательном отборе проектов, а также за счет одновременного вложения средств в несколько инновационных проектов, находящихся на разных стадиях реализации.</w:t>
      </w:r>
    </w:p>
    <w:p w:rsidR="005F50E3" w:rsidRDefault="00252C80">
      <w:pPr>
        <w:pStyle w:val="NormalWeb"/>
      </w:pPr>
      <w:r>
        <w:rPr>
          <w:i/>
          <w:iCs/>
        </w:rPr>
        <w:t>Финансовый лизинг</w:t>
      </w:r>
    </w:p>
    <w:p w:rsidR="005F50E3" w:rsidRDefault="00252C80">
      <w:pPr>
        <w:pStyle w:val="NormalWeb"/>
      </w:pPr>
      <w:r>
        <w:t>Финансовый лизинг — процедура привлечения заемных средств в виде долгосрочного кредита, предоставляемого в натуральной форме и погашаемого в рассрочку.</w:t>
      </w:r>
    </w:p>
    <w:p w:rsidR="005F50E3" w:rsidRDefault="00252C80">
      <w:pPr>
        <w:pStyle w:val="NormalWeb"/>
      </w:pPr>
      <w:r>
        <w:t>При осуществлении финансового лизинга лизингодатель обязуется приобрести указанное лизингополучателем имущество у определенного продавца и передать его лизингополучателю на определенный срок во временное владение и пользование. Срок действия договора по финансовому лизингу больше или равен сроку полной амортизации предмета лизинга. После завершения срока действия договора предмет лизинга может быть передан в собственность лизингополучателю при условии полной выплаты сумм по договору лизинга.</w:t>
      </w:r>
    </w:p>
    <w:p w:rsidR="005F50E3" w:rsidRDefault="00252C80">
      <w:pPr>
        <w:pStyle w:val="NormalWeb"/>
      </w:pPr>
      <w:r>
        <w:t>Данная процедура позволяет, с одной стороны, осуществлять реализацию дорогостоящего оборудования большему количеству пользователей, с другой стороны, сократить единовременные затраты арендополучателей, связанных с приобретением капиталоемкой продукции.</w:t>
      </w:r>
    </w:p>
    <w:p w:rsidR="005F50E3" w:rsidRDefault="00252C80">
      <w:pPr>
        <w:pStyle w:val="NormalWeb"/>
      </w:pPr>
      <w:r>
        <w:rPr>
          <w:i/>
          <w:iCs/>
        </w:rPr>
        <w:t>Форфейтинг</w:t>
      </w:r>
    </w:p>
    <w:p w:rsidR="005F50E3" w:rsidRDefault="00252C80">
      <w:pPr>
        <w:pStyle w:val="NormalWeb"/>
      </w:pPr>
      <w:r>
        <w:t>Форфейтинг является операцией по трансформации коммерческого кредита в банковский. Суть операции заключается в следующем.</w:t>
      </w:r>
    </w:p>
    <w:p w:rsidR="005F50E3" w:rsidRDefault="00252C80">
      <w:pPr>
        <w:pStyle w:val="NormalWeb"/>
      </w:pPr>
      <w:r>
        <w:t>Покупатель, не располагающий на момент заключения сделки требуемой суммой финансовых ресурсов, выписывает продавцу комплект векселей на сумму, равную стоимости объекта сделки и процентов за отсрочку платежа, т. е. за предоставление коммерческого кредита.</w:t>
      </w:r>
    </w:p>
    <w:p w:rsidR="005F50E3" w:rsidRDefault="00252C80">
      <w:pPr>
        <w:pStyle w:val="NormalWeb"/>
      </w:pPr>
      <w:r>
        <w:t>Продавец учитывает полученные векселя в банке с формулировкой «без права оборота на себя», что освобождает его от имущественной ответственности в случае неплатежеспособности векселедателя. По учтенным платежам продавец получает деньги в банке. В результате коммерческий кредит предоставляет не продавец, а банк, согласившийся учесть векселя и принявший на себя кредитный риск, т. е. коммерческий кредит трансформируется в банковский. Величина кредитного риска, зависящая от надежности векселедателя, влияет на ставку дисконта, по которой учитываются векселя банком.</w:t>
      </w:r>
    </w:p>
    <w:p w:rsidR="005F50E3" w:rsidRDefault="00252C80">
      <w:pPr>
        <w:pStyle w:val="NormalWeb"/>
      </w:pPr>
      <w:r>
        <w:t>Кредитование по схеме форфейтинга является среднедолгосрочным (от 1 года до 7 лет).</w:t>
      </w:r>
    </w:p>
    <w:p w:rsidR="005F50E3" w:rsidRDefault="00252C80">
      <w:pPr>
        <w:pStyle w:val="NormalWeb"/>
      </w:pPr>
      <w:r>
        <w:rPr>
          <w:i/>
          <w:iCs/>
        </w:rPr>
        <w:t>Смешанное финансирование</w:t>
      </w:r>
    </w:p>
    <w:p w:rsidR="005F50E3" w:rsidRDefault="00252C80">
      <w:pPr>
        <w:pStyle w:val="NormalWeb"/>
      </w:pPr>
      <w:r>
        <w:t>Осуществляется путем привлечения финансовых средств, необходимых для реализации инновационных проектов, из различных источников.</w:t>
      </w:r>
    </w:p>
    <w:p w:rsidR="005F50E3" w:rsidRDefault="00252C80">
      <w:pPr>
        <w:pStyle w:val="NormalWeb"/>
      </w:pPr>
      <w:r>
        <w:rPr>
          <w:b/>
          <w:bCs/>
        </w:rPr>
        <w:t>1.3 Законодательные основы финансирования научно-исследовательской деятельности</w:t>
      </w:r>
    </w:p>
    <w:p w:rsidR="005F50E3" w:rsidRDefault="00252C80">
      <w:pPr>
        <w:pStyle w:val="NormalWeb"/>
      </w:pPr>
      <w:r>
        <w:rPr>
          <w:b/>
          <w:bCs/>
        </w:rPr>
        <w:t>Финансирование научной деятельности, исходя из ФЗ №127</w:t>
      </w:r>
    </w:p>
    <w:p w:rsidR="005F50E3" w:rsidRDefault="00252C80">
      <w:pPr>
        <w:pStyle w:val="NormalWeb"/>
      </w:pPr>
      <w:r>
        <w:t>В соответствии со статьей 15 («Финансирование научной и (или) научно-технической деятельности») Федерального Закона № 127 (23 августа 1996 года) РФ «О науке и государственной научно-технической политике» финансирование инновационной деятельности осуществляется в следующем виде:</w:t>
      </w:r>
    </w:p>
    <w:p w:rsidR="005F50E3" w:rsidRDefault="00252C80">
      <w:pPr>
        <w:pStyle w:val="NormalWeb"/>
      </w:pPr>
      <w:r>
        <w:t>«Фундаментальные научные исследования финансируются преимущественно за счет средств федерального бюджета. В целях содействия инициативным проектам научных исследований, отбираемым на конкурсной основе Правительством Российской Федерации, создаются федеральные фонды поддержки научной и (или) научно-технической деятельности в соответствии с законодательством Российской Федерации.</w:t>
      </w:r>
    </w:p>
    <w:p w:rsidR="005F50E3" w:rsidRDefault="00252C80">
      <w:pPr>
        <w:pStyle w:val="NormalWeb"/>
      </w:pPr>
      <w:r>
        <w:t>Указанные фонды создаются в форме учреждений, деятельность которых финансируется за счет средств федерального бюджета и иных источников, не запрещенных законодательством Российской Федерации.</w:t>
      </w:r>
    </w:p>
    <w:p w:rsidR="005F50E3" w:rsidRDefault="00252C80">
      <w:pPr>
        <w:pStyle w:val="NormalWeb"/>
      </w:pPr>
      <w:r>
        <w:t>Органы государственной власти субъектов Российской Федерации вправе в соответствии с законами субъектов Российской Федерации финансировать осуществление региональных научных, научно-технических и инновационных программ и проектов, в том числе создание и деятельность государственных научных организаций субъектов Российской Федерации.</w:t>
      </w:r>
    </w:p>
    <w:p w:rsidR="005F50E3" w:rsidRDefault="00252C80">
      <w:pPr>
        <w:pStyle w:val="NormalWeb"/>
      </w:pPr>
      <w:r>
        <w:t>В Российской Федерации действуют государственные, негосударственные и международные фонды поддержки научной и (или) научно-технической деятельности.</w:t>
      </w:r>
    </w:p>
    <w:p w:rsidR="005F50E3" w:rsidRDefault="00252C80">
      <w:pPr>
        <w:pStyle w:val="NormalWeb"/>
      </w:pPr>
      <w:r>
        <w:t>В федеральных органах исполнительной власти и коммерческих организациях могут создаваться внебюджетные отраслевые и межотраслевые фонды финансирования научно-исследовательских и опытно-конструкторских работ.</w:t>
      </w:r>
    </w:p>
    <w:p w:rsidR="005F50E3" w:rsidRDefault="00252C80">
      <w:pPr>
        <w:pStyle w:val="NormalWeb"/>
      </w:pPr>
      <w:r>
        <w:t>Научная и (или) научно-техническая деятельность может осуществляться за счет грантов. Гранты передаются научным работникам, научным организациям, образовательным учреждениям высшего профессионального образования, другим юридическим лицам и гражданам. Получатели грантов распоряжаются ими в соответствии с законодательством Российской Федерации или в случае их использования на территории иностранного государства в соответствии с законодательством этого государства, а также на условиях, на которых эти гранты выделяются.»</w:t>
      </w:r>
      <w:bookmarkStart w:id="5" w:name="_ftnref6"/>
      <w:r>
        <w:fldChar w:fldCharType="begin"/>
      </w:r>
      <w:r>
        <w:instrText xml:space="preserve"> HYPERLINK "" \l "_ftn6" </w:instrText>
      </w:r>
      <w:r>
        <w:fldChar w:fldCharType="separate"/>
      </w:r>
      <w:r>
        <w:rPr>
          <w:rStyle w:val="Hyperlink"/>
        </w:rPr>
        <w:t>[6]</w:t>
      </w:r>
      <w:r>
        <w:fldChar w:fldCharType="end"/>
      </w:r>
      <w:bookmarkEnd w:id="5"/>
    </w:p>
    <w:p w:rsidR="005F50E3" w:rsidRDefault="00252C80">
      <w:pPr>
        <w:pStyle w:val="NormalWeb"/>
      </w:pPr>
      <w:r>
        <w:rPr>
          <w:b/>
          <w:bCs/>
        </w:rPr>
        <w:t>Источники финансирования инновационной деятельности в проекте ФЗ РФ «О государственной инновационной политике» И.Д. Грачева</w:t>
      </w:r>
    </w:p>
    <w:p w:rsidR="005F50E3" w:rsidRDefault="00252C80">
      <w:pPr>
        <w:pStyle w:val="NormalWeb"/>
      </w:pPr>
      <w:r>
        <w:t>Источниками финансирования инновационной деятельности являются:</w:t>
      </w:r>
    </w:p>
    <w:p w:rsidR="005F50E3" w:rsidRDefault="00252C80">
      <w:pPr>
        <w:pStyle w:val="NormalWeb"/>
      </w:pPr>
      <w:r>
        <w:t>- собственные средства субъектов инновационной деятельности;</w:t>
      </w:r>
    </w:p>
    <w:p w:rsidR="005F50E3" w:rsidRDefault="00252C80">
      <w:pPr>
        <w:pStyle w:val="NormalWeb"/>
      </w:pPr>
      <w:r>
        <w:t>- средства федерального, региональных и местных бюджетов;</w:t>
      </w:r>
    </w:p>
    <w:p w:rsidR="005F50E3" w:rsidRDefault="00252C80">
      <w:pPr>
        <w:pStyle w:val="NormalWeb"/>
      </w:pPr>
      <w:r>
        <w:t>- целевые средства;</w:t>
      </w:r>
    </w:p>
    <w:p w:rsidR="005F50E3" w:rsidRDefault="00252C80">
      <w:pPr>
        <w:pStyle w:val="NormalWeb"/>
      </w:pPr>
      <w:r>
        <w:t>- внебюджетные источники, в том числе федеральные и другие фонды;</w:t>
      </w:r>
    </w:p>
    <w:p w:rsidR="005F50E3" w:rsidRDefault="00252C80">
      <w:pPr>
        <w:pStyle w:val="NormalWeb"/>
      </w:pPr>
      <w:r>
        <w:t>- иностранные инвестиции;</w:t>
      </w:r>
    </w:p>
    <w:p w:rsidR="005F50E3" w:rsidRDefault="00252C80">
      <w:pPr>
        <w:pStyle w:val="NormalWeb"/>
      </w:pPr>
      <w:r>
        <w:t>- другие не запрещенные законодательством источники.</w:t>
      </w:r>
    </w:p>
    <w:p w:rsidR="005F50E3" w:rsidRDefault="00252C80">
      <w:pPr>
        <w:pStyle w:val="NormalWeb"/>
      </w:pPr>
      <w:r>
        <w:t>Финансовые ресурсы из средств бюджетов на осуществление инновационной деятельности предусматриваются при формировании бюджетов на очередной финансовый год в соответствии с целевыми инновационными программами.</w:t>
      </w:r>
    </w:p>
    <w:p w:rsidR="005F50E3" w:rsidRDefault="00252C80">
      <w:pPr>
        <w:pStyle w:val="NormalWeb"/>
      </w:pPr>
      <w:r>
        <w:t>Органы государственной власти субъектов Российской Федерации и местного самоуправления вправе самостоятельно определять условия и порядок финансирования инновационной деятельности из средств региональных и местных бюджетов.</w:t>
      </w:r>
    </w:p>
    <w:p w:rsidR="005F50E3" w:rsidRDefault="00252C80">
      <w:pPr>
        <w:pStyle w:val="NormalWeb"/>
      </w:pPr>
      <w:r>
        <w:t>Предоставление денежных средств на инновационную деятельность из внебюджетных источников может осуществляться как на безвозвратной основе (пожертвования, благотворительная деятельность), так и на возвратной основе.</w:t>
      </w:r>
    </w:p>
    <w:p w:rsidR="005F50E3" w:rsidRDefault="00252C80">
      <w:pPr>
        <w:pStyle w:val="NormalWeb"/>
      </w:pPr>
      <w:r>
        <w:t>Финансирование инновационной деятельности из федеральных и других фондов осуществляется в порядке и на условиях, установленных этими фондами.</w:t>
      </w:r>
    </w:p>
    <w:p w:rsidR="005F50E3" w:rsidRDefault="00252C80">
      <w:pPr>
        <w:pStyle w:val="NormalWeb"/>
      </w:pPr>
      <w:r>
        <w:t>Убытки, причиненные субъектам инновационной деятельности в результате незаконных действий (бездействия) органов государственной власти, органов местного самоуправления или должностных лиц этих органов, в том числе издания не соответствующих федеральным законам нормативных правовых актов государственных органов и органов местного самоуправления, подлежат возмещению из бюджетов.</w:t>
      </w:r>
    </w:p>
    <w:p w:rsidR="005F50E3" w:rsidRDefault="00252C80">
      <w:pPr>
        <w:pStyle w:val="NormalWeb"/>
      </w:pPr>
      <w:r>
        <w:rPr>
          <w:b/>
          <w:bCs/>
        </w:rPr>
        <w:t>2 Зарубежный опыт и возможность его использование при финансировании инновационной деятельности предприятий РФ (На примере Финляндии)</w:t>
      </w:r>
    </w:p>
    <w:p w:rsidR="005F50E3" w:rsidRDefault="00252C80">
      <w:pPr>
        <w:pStyle w:val="NormalWeb"/>
      </w:pPr>
      <w:r>
        <w:rPr>
          <w:b/>
          <w:bCs/>
        </w:rPr>
        <w:t>2.1 Основы развития финской инновационной модели экономики</w:t>
      </w:r>
    </w:p>
    <w:p w:rsidR="005F50E3" w:rsidRDefault="00252C80">
      <w:pPr>
        <w:pStyle w:val="NormalWeb"/>
      </w:pPr>
      <w:r>
        <w:t>Говоря об опыте данной страны в этом направлении, необходимо отметить, что развитие и становление инновационной составляющей экономики произошли на глазах одного поколения. В конце 70-х в Финляндии все было примерно так же, как сейчас в России: чиновные ученые полагали, что контакты с промышленностью унижают "высокую" науку, а бизнес считал ученых лишь нахлебниками государства. Когда политическая элита осознала, что единственный надежный ресурс для долгосрочного развития страны - это технологии, первое, что она сделала, - организовала диалог с бизнесом: в 1979 году был собран Национальный технологический комитет, в который вошли представители всех отраслей промышленности, имевшихся на тот момент в стране. Встреча носила вполне конкретный характер и требовала от бизнеса однозначного ответа на вопрос, какие технологии ему необходимы. Второй шаг государства - в 1983 году было создано национальное технологическое агентство TEKES. Как только эта организация появилась, случилось почти что невероятное: ученым стало выгодно делать то, что было востребовано бизнесом, а бизнесу - идти к ученым, чтобы в их лабораториях черпать ресурсы для своего развития.</w:t>
      </w:r>
    </w:p>
    <w:p w:rsidR="005F50E3" w:rsidRDefault="00252C80">
      <w:pPr>
        <w:pStyle w:val="NormalWeb"/>
      </w:pPr>
      <w:r>
        <w:t>За последние двадцать лет в Финляндии реализована комплексная программа перехода от полуиндустриальной к наукоемкой экономике. Этот переход стал возможным благодаря следующему</w:t>
      </w:r>
      <w:bookmarkStart w:id="6" w:name="_ftnref7"/>
      <w:r>
        <w:fldChar w:fldCharType="begin"/>
      </w:r>
      <w:r>
        <w:instrText xml:space="preserve"> HYPERLINK "" \l "_ftn7" </w:instrText>
      </w:r>
      <w:r>
        <w:fldChar w:fldCharType="separate"/>
      </w:r>
      <w:r>
        <w:rPr>
          <w:rStyle w:val="Hyperlink"/>
        </w:rPr>
        <w:t>[7]</w:t>
      </w:r>
      <w:r>
        <w:fldChar w:fldCharType="end"/>
      </w:r>
      <w:bookmarkEnd w:id="6"/>
      <w:r>
        <w:t xml:space="preserve"> :</w:t>
      </w:r>
    </w:p>
    <w:p w:rsidR="005F50E3" w:rsidRDefault="00252C80">
      <w:pPr>
        <w:pStyle w:val="NormalWeb"/>
      </w:pPr>
      <w:r>
        <w:noBreakHyphen/>
        <w:t xml:space="preserve"> созданию благоприятной инновационной среды;</w:t>
      </w:r>
    </w:p>
    <w:p w:rsidR="005F50E3" w:rsidRDefault="00252C80">
      <w:pPr>
        <w:pStyle w:val="NormalWeb"/>
      </w:pPr>
      <w:r>
        <w:noBreakHyphen/>
        <w:t xml:space="preserve"> увеличению расходов на научные исследования, технологии и разработки;</w:t>
      </w:r>
    </w:p>
    <w:p w:rsidR="005F50E3" w:rsidRDefault="00252C80">
      <w:pPr>
        <w:pStyle w:val="NormalWeb"/>
      </w:pPr>
      <w:r>
        <w:noBreakHyphen/>
        <w:t xml:space="preserve"> подготовке компетентного персонала;</w:t>
      </w:r>
    </w:p>
    <w:p w:rsidR="005F50E3" w:rsidRDefault="00252C80">
      <w:pPr>
        <w:pStyle w:val="NormalWeb"/>
      </w:pPr>
      <w:r>
        <w:noBreakHyphen/>
        <w:t xml:space="preserve"> распространению наукоемких разработок в регионах.</w:t>
      </w:r>
    </w:p>
    <w:p w:rsidR="005F50E3" w:rsidRDefault="00252C80">
      <w:pPr>
        <w:pStyle w:val="NormalWeb"/>
      </w:pPr>
      <w:r>
        <w:t>Таким образом финская наука и финская промышленность стали расти вместе, подпитывая друг друга. Компании постепенно освоили способ "дешевого роста" за счет "домашних" технологий и поддержки государства, а у государства появились средства и возможности поддерживать и другие, пока еще слабо востребованные научные направления.</w:t>
      </w:r>
    </w:p>
    <w:p w:rsidR="005F50E3" w:rsidRDefault="00252C80">
      <w:pPr>
        <w:pStyle w:val="NormalWeb"/>
      </w:pPr>
      <w:r>
        <w:t>Финляндия стала первой страной, принявшей концепцию национальной инновационной системы как основного элемента политики в сфере науки и технологии. На практике это означало увеличение количества предприятий, в основе деятельности которых лежали инновации и ноу-хау, а также укрепление организаций, занимающихся исследовательской деятельностью.</w:t>
      </w:r>
    </w:p>
    <w:p w:rsidR="005F50E3" w:rsidRDefault="00252C80">
      <w:pPr>
        <w:pStyle w:val="NormalWeb"/>
      </w:pPr>
      <w:r>
        <w:t>Сегодня финская национальная модель производства и использования новых знаний признана одной из наиболее эффективных в мире. В формуле финского успеха три классических слагаемых: высокий уровень образования, конкурсный принцип распределения средств на науку и развитая инновационная инфраструктура.</w:t>
      </w:r>
    </w:p>
    <w:p w:rsidR="005F50E3" w:rsidRDefault="00252C80">
      <w:pPr>
        <w:pStyle w:val="NormalWeb"/>
      </w:pPr>
      <w:r>
        <w:t xml:space="preserve">На основе системного подхода в Финляндии была разработана концепция «национальной инновационной системы», в которой учтены действующие элементы, выполняемые функции и различные аспекты инноваций. Концепция «инновационной системы» оказывает влияние на научно-техническую политику регионального, национального и европейского уровней. Данная концепция трактует термин «система» как инструмент формирования среды для анализа действующих в ней элементов. Особенностью такой методики является то, что действующие элементы – компании, регионы, нации </w:t>
      </w:r>
      <w:r>
        <w:noBreakHyphen/>
        <w:t xml:space="preserve"> анализируются с точки зрения их составляющих, отношений между этими составляющими и их взаимодействия с внешней средой.</w:t>
      </w:r>
    </w:p>
    <w:p w:rsidR="005F50E3" w:rsidRDefault="00252C80">
      <w:pPr>
        <w:pStyle w:val="NormalWeb"/>
      </w:pPr>
      <w:r>
        <w:t>Для того, чтобы избежать концептуальной проблемы в определении границ инновационной системы, предлагается выделить следующие функции:</w:t>
      </w:r>
    </w:p>
    <w:p w:rsidR="005F50E3" w:rsidRDefault="00252C80">
      <w:pPr>
        <w:pStyle w:val="NormalWeb"/>
      </w:pPr>
      <w:r>
        <w:noBreakHyphen/>
        <w:t xml:space="preserve"> создание знаний;</w:t>
      </w:r>
    </w:p>
    <w:p w:rsidR="005F50E3" w:rsidRDefault="00252C80">
      <w:pPr>
        <w:pStyle w:val="NormalWeb"/>
      </w:pPr>
      <w:r>
        <w:noBreakHyphen/>
        <w:t xml:space="preserve"> получение знаний;</w:t>
      </w:r>
    </w:p>
    <w:p w:rsidR="005F50E3" w:rsidRDefault="00252C80">
      <w:pPr>
        <w:pStyle w:val="NormalWeb"/>
      </w:pPr>
      <w:r>
        <w:noBreakHyphen/>
        <w:t xml:space="preserve"> распространение знаний;</w:t>
      </w:r>
    </w:p>
    <w:p w:rsidR="005F50E3" w:rsidRDefault="00252C80">
      <w:pPr>
        <w:pStyle w:val="NormalWeb"/>
      </w:pPr>
      <w:r>
        <w:noBreakHyphen/>
        <w:t xml:space="preserve"> регулирование и стандартизация знаний;</w:t>
      </w:r>
    </w:p>
    <w:p w:rsidR="005F50E3" w:rsidRDefault="00252C80">
      <w:pPr>
        <w:pStyle w:val="NormalWeb"/>
      </w:pPr>
      <w:r>
        <w:noBreakHyphen/>
        <w:t xml:space="preserve"> осуществление прикладных исследований;</w:t>
      </w:r>
    </w:p>
    <w:p w:rsidR="005F50E3" w:rsidRDefault="00252C80">
      <w:pPr>
        <w:pStyle w:val="NormalWeb"/>
      </w:pPr>
      <w:r>
        <w:noBreakHyphen/>
        <w:t xml:space="preserve"> использование знаний.</w:t>
      </w:r>
    </w:p>
    <w:p w:rsidR="005F50E3" w:rsidRDefault="00252C80">
      <w:pPr>
        <w:pStyle w:val="NormalWeb"/>
      </w:pPr>
      <w:r>
        <w:t>Одна из основных целей социальной политики Финляндии – гарантия качественного и доступного для всех образования. По результатам Программы международной оценки образовательных достижений учащихся (Programme for International Student Assessment – PISA) финские школьники демонстрируют лучшие в странах ОЭСР (Организация экономического сотрудничества и развития) результаты по математике и естествознанию, имеют самые высокие показатели грамотности. Интерес к учёбе не ослабевает и у старшего поколения. Более половины работоспособного населения страны ежегодно участвует в программах обучения «для взрослых».</w:t>
      </w:r>
    </w:p>
    <w:p w:rsidR="005F50E3" w:rsidRDefault="00252C80">
      <w:pPr>
        <w:pStyle w:val="NormalWeb"/>
      </w:pPr>
      <w:r>
        <w:t>Далеко не последнюю роль играет доступность образования в Финляндии. Во многих странах университеты рассматривают иностранных студентов, прежде всего, как источник дополнительного дохода, а финские вузы финансируются государством и стремятся заработать не на обучении, а на эффективном применении выпускниками полученных знаний и на развитии международных исследовательских проектов.</w:t>
      </w:r>
    </w:p>
    <w:p w:rsidR="005F50E3" w:rsidRDefault="00252C80">
      <w:pPr>
        <w:pStyle w:val="NormalWeb"/>
      </w:pPr>
      <w:r>
        <w:t>Сегодня в систему высшего образования Финляндии входят 20 университетов и 28 политеков (высших профессиональных школ). Университеты ведут научные исследования, дают базовое и последипломное образование. Политеки представляют собой многоотраслевые региональные вузы и ориентируются в основном на прикладные исследования.</w:t>
      </w:r>
    </w:p>
    <w:p w:rsidR="005F50E3" w:rsidRDefault="00252C80">
      <w:pPr>
        <w:pStyle w:val="NormalWeb"/>
      </w:pPr>
      <w:r>
        <w:t>Качество финского образования и высокий уровень научных исследований - это две стороны одной медали. Финская высшая школа тесно связана с наукой: именно в университетах проводится львиная доля всех фундаментальных исследований и часть прикладных. Студенты и аспиранты имеют свободный доступ ко всем авторитетным мировым изданиям научного и научно-технического профиля; здесь же, в университетских лабораториях, в их распоряжении самое современное оборудование, самые "продвинутые" и дорогостоящие исследовательские установки. Прийти в лабораторию и ставить свои эксперименты можно в любое время дня и ночи: никаких допусков, пропусков, засовов и сторожей; достаточно вставить студенческую карточку в прорезь электронного замка и - делай науку. И когда мы в десятом часу вечера пришли в BioMag Laboratory в госпитале Хельсинкского университета, то встретили там аспиранта из России - он изучал реакцию мозга на визуальные и слуховые раздражители с помощью многоканального магнитного энцефаллографа, который стоит больше миллиона долларов. Эту уникальную установку создали в Хельсинкском технологическом университете, а производит ее компания Elekta NeuroMag, которая в свое время выделилась из научной лаборатории и которой Финляндия гордится не меньше, чем корпорацией Nokia</w:t>
      </w:r>
      <w:bookmarkStart w:id="7" w:name="_ftnref8"/>
      <w:r>
        <w:fldChar w:fldCharType="begin"/>
      </w:r>
      <w:r>
        <w:instrText xml:space="preserve"> HYPERLINK "" \l "_ftn8" </w:instrText>
      </w:r>
      <w:r>
        <w:fldChar w:fldCharType="separate"/>
      </w:r>
      <w:r>
        <w:rPr>
          <w:rStyle w:val="Hyperlink"/>
        </w:rPr>
        <w:t>[8]</w:t>
      </w:r>
      <w:r>
        <w:fldChar w:fldCharType="end"/>
      </w:r>
      <w:bookmarkEnd w:id="7"/>
      <w:r>
        <w:t xml:space="preserve"> .</w:t>
      </w:r>
    </w:p>
    <w:p w:rsidR="005F50E3" w:rsidRDefault="00252C80">
      <w:pPr>
        <w:pStyle w:val="NormalWeb"/>
      </w:pPr>
      <w:r>
        <w:t>Университеты в Финляндии - не просто образовательные центры, но и производители новых знаний. Все научные исследования в Финляндии, все без исключения, финансируются только на конкурсной основе, поддержку от государства получают только те ученые, которые делают качественные, действительно перспективные исследования. Средства, которые государство выделяет на фундаментальные исследования, в Финляндии распределяет Академия. В саму систему производства и использования новых знаний заложены жесткие стимулы работать на мировом уровне, точнее, быть лучшими.</w:t>
      </w:r>
    </w:p>
    <w:p w:rsidR="005F50E3" w:rsidRDefault="00252C80">
      <w:pPr>
        <w:pStyle w:val="NormalWeb"/>
      </w:pPr>
      <w:r>
        <w:t>Никогда не будут профинансированы проекты на уровне «впервые в Финляндии» или неконкурентные, абстрактные исследования именитых и авторитетных деятелей по принципу их бывших заслуг. И вот что любопытно: куда направить финские деньги, предназначенные для финской науки, фактически решают иностранцы - для экспертизы всех заявок, которые поступают от ученых, Академия привлекает зарубежных специалистов. И как финская наука эти деньги использует - контролируют тоже иностранцы. Таким образом финское государство постоянно сверяет уровень национальных исследований с мировым.</w:t>
      </w:r>
    </w:p>
    <w:p w:rsidR="005F50E3" w:rsidRDefault="00252C80">
      <w:pPr>
        <w:pStyle w:val="NormalWeb"/>
      </w:pPr>
      <w:r>
        <w:t>В структуру Академии входят четыре исследовательских совета, членами которых являются сами ученые - университетские профессора, специалисты из исследовательских институтов, а также представители исследовательских подразделений промышленных компаний. Через эти советы Академия пропускает все требующие финансирования заявки, идеи и предложения, откуда бы они ни исходили - "снизу", от научного сообщества, или "сверху", от государства. Каждый совет подбирает в своей области знаний пул экспертов, которые пользуются авторитетом в мире, и отправляет им на рецензию все поступающие в Академию заявки. На основании отзывов экспертов эти советы принимают решения о финансировании проектов. В этом году бюджет Академии - 214,6 млн евро, что составляет 14% всех государственных отчислений на научно-технологическую сферу. Около четверти своего бюджета Академия направляет на финансирование научных проектов в рамках исследовательских программ, которые она запускает, чтобы активизировать исследования в тех научных областях, которые либо развиты слабо, либо являются новыми. Что явно отличает финскую систему финансирования науки от российской - там никто не накачивает бюджетными средствами институты или лаборатории лишь под предлогом "государственных приоритетов".</w:t>
      </w:r>
    </w:p>
    <w:p w:rsidR="005F50E3" w:rsidRDefault="00252C80">
      <w:pPr>
        <w:pStyle w:val="NormalWeb"/>
      </w:pPr>
      <w:r>
        <w:t>Рис 2. Расходы на исследования и развитие науки</w:t>
      </w:r>
      <w:bookmarkStart w:id="8" w:name="_ftnref9"/>
      <w:r>
        <w:fldChar w:fldCharType="begin"/>
      </w:r>
      <w:r>
        <w:instrText xml:space="preserve"> HYPERLINK "" \l "_ftn9" </w:instrText>
      </w:r>
      <w:r>
        <w:fldChar w:fldCharType="separate"/>
      </w:r>
      <w:r>
        <w:rPr>
          <w:rStyle w:val="Hyperlink"/>
        </w:rPr>
        <w:t>[9]</w:t>
      </w:r>
      <w:r>
        <w:fldChar w:fldCharType="end"/>
      </w:r>
      <w:bookmarkEnd w:id="8"/>
    </w:p>
    <w:p w:rsidR="005F50E3" w:rsidRDefault="00252C80">
      <w:pPr>
        <w:pStyle w:val="NormalWeb"/>
      </w:pPr>
      <w:r>
        <w:rPr>
          <w:b/>
          <w:bCs/>
        </w:rPr>
        <w:t>2.2 Формы организации стимулирования инновационной деятельности в Финляндии</w:t>
      </w:r>
    </w:p>
    <w:p w:rsidR="005F50E3" w:rsidRDefault="00252C80">
      <w:pPr>
        <w:pStyle w:val="NormalWeb"/>
      </w:pPr>
      <w:r>
        <w:t>Политику страны в сфере науки, инноватики и технологий формирует Совет по науке и технологической политике Финляндии. В частности, одно из главных направлений госполитики связано с усилением взаимодействия науки и общества.</w:t>
      </w:r>
    </w:p>
    <w:p w:rsidR="005F50E3" w:rsidRDefault="00252C80">
      <w:pPr>
        <w:pStyle w:val="NormalWeb"/>
      </w:pPr>
      <w:r>
        <w:t>В 1995 году Академия запустила программу Centers of Excellence (Центры превосходных). Эти центры представляют собой мини-сети, своего рода ассоциации самых сильных и самых успешных в научном плане лабораторий и исследовательских подразделений Финляндии в каждой области знаний. Этих самых-самых отбирают по итогам очень строгого конкурса, и здесь тоже решающий голос имеют ученые-иностранцы.</w:t>
      </w:r>
    </w:p>
    <w:p w:rsidR="005F50E3" w:rsidRDefault="00252C80">
      <w:pPr>
        <w:pStyle w:val="NormalWeb"/>
      </w:pPr>
      <w:r>
        <w:t>Лабораториям, которые прошли этот отбор, на пять лет дается статус "Центр превосходных", очень престижный в Финляндии, и предоставляется дополнительное финансирование. Эти деньги, по словам Аннели Паули, "дают ученым возможность рисковать" - проверять самые сумасбродные и самые фантастические свои идеи, и часто случается так, что именно они дают начало новым перспективным исследованиям.</w:t>
      </w:r>
    </w:p>
    <w:p w:rsidR="005F50E3" w:rsidRDefault="00252C80">
      <w:pPr>
        <w:pStyle w:val="NormalWeb"/>
      </w:pPr>
      <w:r>
        <w:t>Спрос с "превосходных" тоже особый. Например, Лаборатория промышленной химии университета Аbo Akademi (г. Турку) вошла в один из Центров превосходных в 2000 году, и теперь каждый год сюда приезжают делегации зарубежных экспертов, которые оценивают, что сделано за год и соответствуют ли результаты статусу "превосходности". Как правило, эти эксперты советуют, какие направления исследований стоит закрыть в силу их бесперспективности, а на каких, наоборот, сосредоточить усилия.</w:t>
      </w:r>
    </w:p>
    <w:p w:rsidR="005F50E3" w:rsidRDefault="00252C80">
      <w:pPr>
        <w:pStyle w:val="NormalWeb"/>
      </w:pPr>
      <w:r>
        <w:t>Академия стремится максимально расширить кооперацию ученых и индустрии. Например, при том Центре превосходных, в который входит Лаборатория промышленной химии, был создан своего рода наблюдательный совет, который состоит из представителей крупнейших химических, лесопромышленных и бумагоделательных компаний Финляндии. И в ближайшее время Лаборатория промышленной химии начнет изучать возможные пути получения химикатов не из нефти, а из возобновляемых источников - например, из древесины. Эту важную для развития химической промышленности задачу подсказала лаборатории компания Raisio - производитель пищевых добавок и химикатов для бумажной промышленности.</w:t>
      </w:r>
    </w:p>
    <w:p w:rsidR="005F50E3" w:rsidRDefault="00252C80">
      <w:pPr>
        <w:pStyle w:val="NormalWeb"/>
      </w:pPr>
      <w:r>
        <w:t>На программу "Центры превосходных" Академия тратит около 15% своего бюджета. Сейчас в стране 42 таких центра, их специализация - от физики низких температур до теологии. Каждые пять лет объявляется новый конкурс.</w:t>
      </w:r>
    </w:p>
    <w:p w:rsidR="005F50E3" w:rsidRDefault="00252C80">
      <w:pPr>
        <w:pStyle w:val="NormalWeb"/>
      </w:pPr>
      <w:r>
        <w:t>Еще одно звено финской инновационной системы, которое обеспечивает связь между наукой и реальным сектором, - технический исследовательский центр VTT (Valtion teknillinen tutkimuskeskus, аналог советских отраслевых НИИ). "Наша роль в том, чтобы помогать технологическим компаниям Финляндии решать те задачи и проблемы, с которыми они сталкиваются в процессе своего развития, за счет новейших технологий, то есть применять лучшее из того, что может предложить современная наука", - так определил миссию этого исследовательского центра Энти Мустранта, советник VTT по международным делам. Часто центр участвует в кооперации университетских лабораторий и промышленных компаний - помогает им развить лабораторную технологию до такого уровня, чтобы ее можно было применять в промышленных масштабах.</w:t>
      </w:r>
    </w:p>
    <w:p w:rsidR="005F50E3" w:rsidRDefault="00252C80">
      <w:pPr>
        <w:pStyle w:val="NormalWeb"/>
      </w:pPr>
      <w:r>
        <w:t>VTT проводит прикладные исследования по всем современным направлениям - от информационных технологий и оптоэлектроники до методов управления промышленными процессами. Исходные идеи для своих исследований и "пробирочные" технологии, имеющие коммерческую перспективу, центр черпает не только в финских университетах, специалисты VTT мониторят все мировое научное поле. Довести новые знания до уровня новых продуктов и процессов, а также совершенствовать уже имеющиеся технологии центру позволяет его солидная исследовательская база - почти 30 крупных исследовательских кампусов по всей стране и около 3 тыс. сотрудников. Сегодня VTT - один из наиболее сильных в Европе. Его годовой бюджет - 200-220 млн евро. Из них около 30% - государственные средства, остальные 70% - деньги частного сектора.</w:t>
      </w:r>
    </w:p>
    <w:p w:rsidR="005F50E3" w:rsidRDefault="00252C80">
      <w:pPr>
        <w:pStyle w:val="NormalWeb"/>
      </w:pPr>
      <w:r>
        <w:t>Но сколь бы ни был высок уровень научных исследований, как бы заботливо государство ни поддерживало своих ученых, система не работала бы, если бы не существовало национального технологического агентства TEKES. TEKES - ключевое звено финской инновационной инфраструктуры, это агентство при министерстве промышленности и торговли распределяет большую часть средств, выделяемых государством на прикладные исследования.</w:t>
      </w:r>
    </w:p>
    <w:p w:rsidR="005F50E3" w:rsidRDefault="00252C80">
      <w:pPr>
        <w:pStyle w:val="NormalWeb"/>
      </w:pPr>
      <w:r>
        <w:t>TEKES - отнюдь не касса, которая просто выдает деньги. Основная функция этой организации - подталкивать исследовательские подразделения компаний к совместной работе с университетами и научными институтами, чтобы в такой кооперации создавать новые продукты и процессы. Обычно TEKES дает 35.80% суммы, необходимой для реализации заявленного проекта, остальную часть инвестирует сама компания. Это ключевой момент: финское государство позволяет себе тратить деньги налогоплательщиков только на те разработки, которые действительно необходимы индустриальному сектору.</w:t>
      </w:r>
    </w:p>
    <w:p w:rsidR="005F50E3" w:rsidRDefault="00252C80">
      <w:pPr>
        <w:pStyle w:val="NormalWeb"/>
      </w:pPr>
      <w:r>
        <w:t>Кооперация выгодна и компаниям, и науке. В бюджет VTT, например, совместные с компаниями проекты, поддержанные агентством TEKES и другими министерствами, приносят 44% средств. Бизнес же, кооперируясь с наукой и получая при этом поддержку государства через TEKES, минимизирует затраты на собственное развитие. Кстати, TEKES особо поощряет, а иногда даже требует создавать разветвленные коллаборации - чем больше университетов, исследовательских институтов и компаний заявлено в списке участников данного проекта, тем больше у такого проекта шансов получить поддержку. Это вторая функция TEKES. Тем самым государство добивается, чтобы новые знания и новые технологии, на которые были потрачены бюджетные средства, не "запирались" в какой-либо одной компании или лаборатории, а использовались в экономике страны как можно шире.</w:t>
      </w:r>
    </w:p>
    <w:p w:rsidR="005F50E3" w:rsidRDefault="00252C80">
      <w:pPr>
        <w:pStyle w:val="NormalWeb"/>
      </w:pPr>
      <w:r>
        <w:t>В 2003 году государство предоставило в распоряжение TEKES 407,2 млн евро. На эти средства по грантовому принципу было профинансировано 2196 исследовательских проектов. В этом году TEKES распоряжается 432,4 млн (это более 28% всех расходов государства на научно-технологическую сферу). Половину своего бюджета агентство направляет на финансирование любых интересных, перспективных проектов, другую половину - на национальные технологические программы, так называются приоритетные направления, которые определяют эксперты TEKES, исходя из потребностей национальной экономики и технологических трендов мировой индустрии. И здесь мы снова сталкиваемся с вездесущими в Финляндии иностранными "ревизорами": в середине срока действия каждой программы, а они, как правило, рассчитаны на 3-5 лет, приглашают иностранных специалистов, чтобы те оценили то, что уже сделано, - так финны стараются убедиться, что исследования движутся не в тупиковом направлении. Когда программа завершена, иностранцев приглашают снова - обсудить, какие получены результаты и как их эффективнее использовать. Свои приоритеты TEKES пересматривает и корректирует каждые три года, обсуждают их обязательно вместе с представителями промышленности, исследовательских институтов, университетов и министерств.</w:t>
      </w:r>
    </w:p>
    <w:p w:rsidR="005F50E3" w:rsidRDefault="00252C80">
      <w:pPr>
        <w:pStyle w:val="NormalWeb"/>
      </w:pPr>
      <w:r>
        <w:t>Обычно Tekes предоставляет третью часть суммы необходимой для реализации заявленного институтами проекта, остальную часть инвестирует компания-партнёр. Кроме того, со стороны фондового агентства предусмотрены и другие формы поддержки науки: гранты и инвестиционные кредиты, предназначенные для создания стартапов и проведение компаниями научно-исследовательских разработок компаний. Для бизнеса подобное сотрудничество весьма выгодно: объединяясь с наукой, он получает поддержку государства в лице Tekes на собственное развитие.</w:t>
      </w:r>
    </w:p>
    <w:p w:rsidR="005F50E3" w:rsidRDefault="00252C80">
      <w:pPr>
        <w:pStyle w:val="NormalWeb"/>
      </w:pPr>
      <w:r>
        <w:t>В 2006 году вклад Tekes в научно-исследовательские проекты и разработки фирм, университетов и научно-исследовательских институтов составил 465 миллионов евро. Благодаря выделенным средствам удалось реализовать почти 2 000 проектов. По их завершению было подано около 750 заявок на патенты, подготовлено 2 400 публикаций, а также около 950 дипломных и диссертационных работ.</w:t>
      </w:r>
    </w:p>
    <w:p w:rsidR="005F50E3" w:rsidRDefault="00252C80">
      <w:pPr>
        <w:pStyle w:val="NormalWeb"/>
      </w:pPr>
      <w:r>
        <w:t>Рис. 3 Распределение средств TEKES в 2006 г</w:t>
      </w:r>
    </w:p>
    <w:p w:rsidR="005F50E3" w:rsidRDefault="00252C80">
      <w:pPr>
        <w:pStyle w:val="NormalWeb"/>
      </w:pPr>
      <w:r>
        <w:t>У агентства есть собственные представительства за рубежом - два в США, одно в Японии. А недавно было открыто новое представительство TEKES - в Китае. "Сейчас в Китай устремились огромные иностранные инвестиции. В прошлом году это государство стало третьим в мире после США и Японии по абсолютной величине вложений в научно-технологическую сферу, оттеснив с этой позиции Германию. Когда я попросила г-на директора рассказать какую-нибудь success story, он пришел в некоторое замешательство, а я осознала свою оплошность: это в России воспринимается как счастливое исключение, если разработке удалось пройти путь от научной идеи до хайтечного продукта, в Финляндии же такие случаи - повседневная рутина. TEKES, собственно, и был создан для того, чтобы производить истории успеха серийно.</w:t>
      </w:r>
    </w:p>
    <w:p w:rsidR="005F50E3" w:rsidRDefault="00252C80">
      <w:pPr>
        <w:pStyle w:val="NormalWeb"/>
      </w:pPr>
      <w:r>
        <w:t>Отметим, что сейчас, когда маховик инновационного развития экономики уже раскручен, и университеты, и VTT часто работают с индустрией напрямую, без участия TEKES. "Частный бизнес в Финляндии сегодня заинтересован в сотрудничестве с университетами. Для него это очень выгодно, - объясняет Дмитрий Мурзин, профессор Лаборатории промышленной химии университета Abo Akademi. - Содержание одного сотрудника со степенью в собственном научно-исследовательском подразделении обходится компании примерно в 500 тысяч евро в год. А если компания заказывает исследования в университете, то оплачивает работу одного аспиранта - это примерно 20 тысяч евро в год, старшие сотрудники лаборатории помогают ему, как правило, бесплатно. Кроме того, в процессе совместной работы над проектом компания получает еще и консультации профессоров и научных сотрудников лаборатории - высококвалифицированных специалистов, которые лучше, чем кто бы то ни был, знают, какими возможностями располагает на сегодняшний день мировая наука в данной конкретной области".</w:t>
      </w:r>
    </w:p>
    <w:p w:rsidR="005F50E3" w:rsidRDefault="00252C80">
      <w:pPr>
        <w:pStyle w:val="NormalWeb"/>
      </w:pPr>
      <w:r>
        <w:t>Если какое-либо технологическое направление в стране развито слабо или вовсе отсутствует и ученые, решившие развивать перспективную идею, не могут найти в стране потенциальных потребителей своей разработки, TEKES финансирует проект до завершения разработки, а затем, как правило, советует ученым создать собственную компанию и самим вывести свое детище на рынок. Именно по такому пути пошел доктор технических наук Ристо Илмониеми, который вместе с коллегами кардинальным образом усовершенствовал транскриниальный магнитный стимулятор.</w:t>
      </w:r>
    </w:p>
    <w:p w:rsidR="005F50E3" w:rsidRDefault="00252C80">
      <w:pPr>
        <w:pStyle w:val="NormalWeb"/>
      </w:pPr>
      <w:r>
        <w:t>В 2000 году ученые по рекомендации TEKES решили создать малую фирму Nexstim, и в этот момент команде ученых стал помогать государственный фонд SITRA. Это еще одно звено инновационной инфраструктуры Финляндии, его основная миссия - поддерживать технологические стартапы компании.</w:t>
      </w:r>
    </w:p>
    <w:p w:rsidR="005F50E3" w:rsidRDefault="00252C80">
      <w:pPr>
        <w:pStyle w:val="NormalWeb"/>
      </w:pPr>
      <w:r>
        <w:t>SITRA функционирует под эгидой парламента страны как самостоятельная структура, цель которой - получать прибыль. С молодыми инновационными компаниями SITRA работает как обычный венчурный фонд - вкладывает в них 1-2 млн евро в обмен на 30.40% их акций. SITRA зачастую "подхватывает" у TEKES ученых еще до образования компании - на так называемой предпосевной стадии. На этой стадии специалисты SITRA делают анализ рыночного потенциала продукта, привлекают экспертов из промышленности, помогают найти оптимальные пути выхода на рынок. SITRA финансирует и разработку бизнес-плана, представляет его частным инвесторам, которые "подхватят" молодую компанию у SITRA, когда она докажет свою жизнеспособность, или даже разделят с государством риски на ранней стадии.</w:t>
      </w:r>
    </w:p>
    <w:p w:rsidR="005F50E3" w:rsidRDefault="00252C80">
      <w:pPr>
        <w:pStyle w:val="NormalWeb"/>
      </w:pPr>
      <w:r>
        <w:t>Сейчас в портфеле SITRA около ста стартапов. Обычно фонд входит в компанию на 3-5 лет и продает свои акции сразу, как только другие инвесторы изъявят готовность в нее вложиться. "Мы не конкурируем с другими инвесторами за перспективные компании, наоборот, мы стараемся кооперироваться с бизнес-ангелами и частными фондами с момента образования новой компании, поскольку наша цель - не вести компанию до тех пор, пока она разрастется до масштабов Nokia, а быстрее вернуть свои вложения и поддержать другие молодые компании, причем как можно больше", - разъясняет тактику фонда Кари Толванен, вице-президент SITRA. Кстати, в Финляндии масса частных венчурных инвесторов - и в этом тоже заслуга SITRA: в конце 80-х государство поставило перед этой организацией задачу сформировать в стране венчурный рынок, и сейчас, спустя пятнадцать лет активной деятельности SITRA на самом рискованном этапе жизни молодых инновационных компаний, венчурная индустрия в Финляндии процветает. Так, по данным Финской ассоциации венчурного капитала, в 2002 году было поддержано 259 компаний, при этом общий объем инвестиций составил 391 млн евро. В 2003 году в 252 компании было вложено 328 млн евро.</w:t>
      </w:r>
    </w:p>
    <w:p w:rsidR="005F50E3" w:rsidRDefault="00252C80">
      <w:pPr>
        <w:pStyle w:val="NormalWeb"/>
      </w:pPr>
      <w:r>
        <w:t>Рис 4. Инновационная система Финляндии</w:t>
      </w:r>
      <w:bookmarkStart w:id="9" w:name="_ftnref10"/>
      <w:r>
        <w:fldChar w:fldCharType="begin"/>
      </w:r>
      <w:r>
        <w:instrText xml:space="preserve"> HYPERLINK "" \l "_ftn10" </w:instrText>
      </w:r>
      <w:r>
        <w:fldChar w:fldCharType="separate"/>
      </w:r>
      <w:r>
        <w:rPr>
          <w:rStyle w:val="Hyperlink"/>
        </w:rPr>
        <w:t>[10]</w:t>
      </w:r>
      <w:r>
        <w:fldChar w:fldCharType="end"/>
      </w:r>
      <w:bookmarkEnd w:id="9"/>
    </w:p>
    <w:p w:rsidR="005F50E3" w:rsidRDefault="00252C80">
      <w:pPr>
        <w:pStyle w:val="NormalWeb"/>
      </w:pPr>
      <w:r>
        <w:t>По объёму инвестиций в научные исследования Финляндия относится к числу ведущих стран мира.</w:t>
      </w:r>
    </w:p>
    <w:p w:rsidR="005F50E3" w:rsidRDefault="00252C80">
      <w:pPr>
        <w:pStyle w:val="NormalWeb"/>
      </w:pPr>
      <w:r>
        <w:t>В 2006 году на науку государство выделило 1,6 миллиардов евро. Около 80% средств распределяют министерство торговли и промышленности и министерство просвещения Финляндии. В частности, финансирование вузовской науки (основная доля фундаментальных исследований страны и часть прикладных) идёт через Академию Финляндии – контролируемый министерством просвещения центральный научный административный орган. В состав Академии входят комитет по науке и шесть комиссий: по естественным, медицинским, сельскохозяйственным, техническим, общественным и гуманитарным наукам.</w:t>
      </w:r>
    </w:p>
    <w:p w:rsidR="005F50E3" w:rsidRDefault="00252C80">
      <w:pPr>
        <w:pStyle w:val="NormalWeb"/>
      </w:pPr>
      <w:r>
        <w:t>В среднем за год в Академию поступают заявки с общим объёмом финансирования 1,2 миллиарда евро. При этом положительные решения обычно выносятся на сумму около 250 миллионов евро. Большая часть бюджетных средств направляется университетам. В 2006 году по линии Академии Финляндии им было выделено 257 миллионов евро, что составило 15% от общих затрат государства на науку. В выполнении научных проектов вузов было задействовано около трёх тысяч исследователей.</w:t>
      </w:r>
    </w:p>
    <w:p w:rsidR="005F50E3" w:rsidRDefault="00252C80">
      <w:pPr>
        <w:pStyle w:val="NormalWeb"/>
      </w:pPr>
      <w:r>
        <w:t>В последние годы одним из ведущих направлений научной политики Финляндии остаётся интернационализация исследовательской и инновационной деятельности. Большое значение для конкурентоспособности бизнеса и всей инновационной системы имеет налаживание связей с ведущими странами и регионами в области технологий.</w:t>
      </w:r>
    </w:p>
    <w:p w:rsidR="005F50E3" w:rsidRDefault="00252C80">
      <w:pPr>
        <w:pStyle w:val="NormalWeb"/>
      </w:pPr>
      <w:r>
        <w:rPr>
          <w:b/>
          <w:bCs/>
        </w:rPr>
        <w:t>3. Роль государства в развитии и финансировании инновационного процесса в современных условиях.</w:t>
      </w:r>
    </w:p>
    <w:p w:rsidR="005F50E3" w:rsidRDefault="00252C80">
      <w:pPr>
        <w:pStyle w:val="NormalWeb"/>
      </w:pPr>
      <w:r>
        <w:rPr>
          <w:b/>
          <w:bCs/>
        </w:rPr>
        <w:t>3.1 Регулирование инновационной деятельности, основные виды и формы.</w:t>
      </w:r>
    </w:p>
    <w:p w:rsidR="005F50E3" w:rsidRDefault="00252C80">
      <w:pPr>
        <w:pStyle w:val="NormalWeb"/>
      </w:pPr>
      <w:r>
        <w:t>Существенной движущей силой инновационных процессов во многих странах является государственное регулирование. Правительственная политика, законодательство могут значительно активизировать инновационные процессы, стимулировать организации различных форм собственности в различных отраслях и сферах, вкладывать средства в разработку инновационных продуктов, услуг и технологий.</w:t>
      </w:r>
    </w:p>
    <w:p w:rsidR="005F50E3" w:rsidRDefault="00252C80">
      <w:pPr>
        <w:pStyle w:val="NormalWeb"/>
      </w:pPr>
      <w:r>
        <w:t>Инновационная политика</w:t>
      </w:r>
      <w:r>
        <w:rPr>
          <w:i/>
          <w:iCs/>
        </w:rPr>
        <w:t xml:space="preserve"> — </w:t>
      </w:r>
      <w:r>
        <w:t>часть социально-экономической политики, определяющая цели и приоритеты инновационной стратегии и механизм ее реализации органами государственной власти Российской Федерации. Инновационная политика государства должна складываться из поиска оптимальных путей развития общества; выявления перспективных отраслей и производств, их финансовой поддержки; экономического регулирования инновационных процессов; организационного, правового и иного обеспечения скорейшего внедрения в сферу производства и услуг достижений науки и техники.</w:t>
      </w:r>
    </w:p>
    <w:p w:rsidR="005F50E3" w:rsidRDefault="00252C80">
      <w:pPr>
        <w:pStyle w:val="NormalWeb"/>
      </w:pPr>
      <w:r>
        <w:t>Цель государственной инновационной политики — развитие, рациональное размещение и эффективное использование научно-технического потенциала, формирование его структуры, увеличение вклада науки и техники в развитие экономики страны, реализация важнейших социальных задач в обеспечение структурных преобразований в сфере материального производства, повышение его эффективности и конкурентоспособности, укрепление обороноспособности страны и безопасности личности, общества и государства.</w:t>
      </w:r>
    </w:p>
    <w:p w:rsidR="005F50E3" w:rsidRDefault="00252C80">
      <w:pPr>
        <w:pStyle w:val="NormalWeb"/>
      </w:pPr>
      <w:r>
        <w:t>Регулирование инновационной деятельности осуществляется на различных уровнях: на уровне государства в целом, на региональном уровне, на уровне отдельного</w:t>
      </w:r>
    </w:p>
    <w:p w:rsidR="005F50E3" w:rsidRDefault="00252C80">
      <w:pPr>
        <w:pStyle w:val="NormalWeb"/>
      </w:pPr>
      <w:r>
        <w:t>предприятия, организации, учреждения. Основу управления инновационными проектами составляет государственное регулирование инновационной деятельности. Государство осуществляет все виды регулирования инновационной деятельности – организационное, экономическое, финансовое, нормативно-правовое. Регулирование осуществляется на базе</w:t>
      </w:r>
    </w:p>
    <w:p w:rsidR="005F50E3" w:rsidRDefault="00252C80">
      <w:pPr>
        <w:pStyle w:val="NormalWeb"/>
      </w:pPr>
      <w:r>
        <w:t>инновационных прогнозов, стратегий, государственных инновационных программ, инновационных проектов, инновационных фондов (инновационно-венчурных), страхования инновационных рисков.</w:t>
      </w:r>
    </w:p>
    <w:p w:rsidR="005F50E3" w:rsidRDefault="00252C80">
      <w:pPr>
        <w:pStyle w:val="NormalWeb"/>
      </w:pPr>
      <w:r>
        <w:t>На периоды 1998-2000 г.г., 2001-2005 г.г. в России были выработаны Концепции</w:t>
      </w:r>
    </w:p>
    <w:p w:rsidR="005F50E3" w:rsidRDefault="00252C80">
      <w:pPr>
        <w:pStyle w:val="NormalWeb"/>
      </w:pPr>
      <w:r>
        <w:t>инновационной политики и план действий Правительства РФ по их реализации. Был также разработан Федеральный закон «Об инновационной деятельности и государственной инновационной политике». В 1999г. принят также Федеральный закон «О статусе наукограда Российской Федерации», который актуален для регулирования инновационной деятельности.</w:t>
      </w:r>
    </w:p>
    <w:p w:rsidR="005F50E3" w:rsidRDefault="00252C80">
      <w:pPr>
        <w:pStyle w:val="NormalWeb"/>
      </w:pPr>
      <w:r>
        <w:t>Для управления процессами разработки и реализации инновационных проектов важную роль играют федеральные целевые программы (ФЦП). Эти программы концентрируют средства федерального бюджета и внебюджетных источников на финансировании как научных исследований и разработок, так и инновационной деятельности по использованию их результатов. К основным задачам ФЦП относится- развитие инфраструктурной деятельности, т.е. построение инновационной инфраструктуры в России. ФЦП обеспечивают поддержку высокоэффективных инновационных проектов на основе выделения приоритетных направлений развития науки и техники, перечня критических технологий федерального уровня, выделения важнейших проблем развития высокотехнологичных отраслей народного хозяйства.</w:t>
      </w:r>
    </w:p>
    <w:p w:rsidR="005F50E3" w:rsidRDefault="00252C80">
      <w:pPr>
        <w:pStyle w:val="NormalWeb"/>
      </w:pPr>
      <w:r>
        <w:t>Следующий уровень государственного регулирования инновационной деятельности реализуется в программах технологического развития (ПТР), которые формируются в рамках стратегий развития отраслей народного хозяйства. Основная часть инвестиций в этих программах обеспечивается участвующими в них предприятиями из собственных средств или кредитных источников, а участие государства заключается в основном в координации работ и поддержке тех этапов, которые сопряжены с повышенным коммерческим риском или по каким-то другим причинам не могут быть реализованы предприятиями. Участие государства в ПТР в этих случаях осуществляется в основном в форме гарантий и возвратного финансирования.</w:t>
      </w:r>
    </w:p>
    <w:p w:rsidR="005F50E3" w:rsidRDefault="00252C80">
      <w:pPr>
        <w:pStyle w:val="NormalWeb"/>
      </w:pPr>
      <w:r>
        <w:t>В современных условиях в России центральную роль в создании новой инновационной политики должно сыграть федеральное правительство. При этом государству следует реализовывать свою политику одновременно по трем направлениям</w:t>
      </w:r>
      <w:bookmarkStart w:id="10" w:name="_ftnref11"/>
      <w:r>
        <w:fldChar w:fldCharType="begin"/>
      </w:r>
      <w:r>
        <w:instrText xml:space="preserve"> HYPERLINK "" \l "_ftn11" </w:instrText>
      </w:r>
      <w:r>
        <w:fldChar w:fldCharType="separate"/>
      </w:r>
      <w:r>
        <w:rPr>
          <w:rStyle w:val="Hyperlink"/>
        </w:rPr>
        <w:t>[11]</w:t>
      </w:r>
      <w:r>
        <w:fldChar w:fldCharType="end"/>
      </w:r>
      <w:bookmarkEnd w:id="10"/>
      <w:r>
        <w:t xml:space="preserve"> :</w:t>
      </w:r>
    </w:p>
    <w:p w:rsidR="005F50E3" w:rsidRDefault="00252C80">
      <w:pPr>
        <w:pStyle w:val="NormalWeb"/>
      </w:pPr>
      <w:r>
        <w:t>•обеспечение инноваторов финансовыми ресурсами;</w:t>
      </w:r>
    </w:p>
    <w:p w:rsidR="005F50E3" w:rsidRDefault="00252C80">
      <w:pPr>
        <w:pStyle w:val="NormalWeb"/>
      </w:pPr>
      <w:r>
        <w:t>•создание обеспечивающих продвижение инновации систем маркетинговых, консалтинговых, инжиниринговых фирм, инвестиционных «рисковых» компаний и банков, бирж технологий, а также формирование благоприятной инфраструктуры рынка, включая государственные (федеральные и региональные) программы создания наукоградов (технополисов), технопарков, свободных экономических зон и т. д.;</w:t>
      </w:r>
    </w:p>
    <w:p w:rsidR="005F50E3" w:rsidRDefault="00252C80">
      <w:pPr>
        <w:pStyle w:val="NormalWeb"/>
      </w:pPr>
      <w:r>
        <w:t>• выработка единых цивилизованных правил и механизмов координации</w:t>
      </w:r>
    </w:p>
    <w:p w:rsidR="005F50E3" w:rsidRDefault="00252C80">
      <w:pPr>
        <w:pStyle w:val="NormalWeb"/>
      </w:pPr>
      <w:r>
        <w:t>деятельности всех субъектов рынка инноваций на взаимовыгодной основе</w:t>
      </w:r>
    </w:p>
    <w:p w:rsidR="005F50E3" w:rsidRDefault="00252C80">
      <w:pPr>
        <w:pStyle w:val="NormalWeb"/>
      </w:pPr>
      <w:r>
        <w:t>кооперирования «по интересам» на разных стадиях технологических циклов, обеспечивающих расширенное воспроизводство инноваций и распространение действия данного механизма на другие сферы жизнедеятельности</w:t>
      </w:r>
    </w:p>
    <w:p w:rsidR="005F50E3" w:rsidRDefault="00252C80">
      <w:pPr>
        <w:pStyle w:val="NormalWeb"/>
      </w:pPr>
      <w:r>
        <w:t>Государственное регулирование инновационной деятельности может проявляться и в форме поддержки отдельных инновационных высокоэффективных проектов большой степени коммерциализации. Для разработки и реализации инновационных проектов важным является то, что государство создает организационные, экономические и правовые условия для инновационной деятельности.</w:t>
      </w:r>
    </w:p>
    <w:p w:rsidR="005F50E3" w:rsidRDefault="00252C80">
      <w:pPr>
        <w:pStyle w:val="NormalWeb"/>
      </w:pPr>
      <w:r>
        <w:rPr>
          <w:i/>
          <w:iCs/>
        </w:rPr>
        <w:t>Экономическими факторами</w:t>
      </w:r>
      <w:r>
        <w:t xml:space="preserve"> государственного регулирования инновационной деятельности, способствующими созданию, освоению и распространению инноваций, являются такие, как развитие рыночных отношений, активизация предпринимательства, пресечение недобросовестной конкуренции, проведение налоговой политики и политики</w:t>
      </w:r>
    </w:p>
    <w:p w:rsidR="005F50E3" w:rsidRDefault="00252C80">
      <w:pPr>
        <w:pStyle w:val="NormalWeb"/>
      </w:pPr>
      <w:r>
        <w:t>ценообразования, способствующих росту предложения на рынке инноваций, создание выгодных налоговых условий для ведения инновационной деятельности всеми субъектами, развитие лизинга наукоемкой продукции, поддержка отечественной инновационной продукции на международном рынке.</w:t>
      </w:r>
    </w:p>
    <w:p w:rsidR="005F50E3" w:rsidRDefault="00252C80">
      <w:pPr>
        <w:pStyle w:val="NormalWeb"/>
      </w:pPr>
      <w:r>
        <w:rPr>
          <w:i/>
          <w:iCs/>
        </w:rPr>
        <w:t>Организационное регулирование</w:t>
      </w:r>
      <w:r>
        <w:t xml:space="preserve"> государством инновационной деятельности проявляется не только в поддержке инновационных проектов, включенных в федеральные</w:t>
      </w:r>
    </w:p>
    <w:p w:rsidR="005F50E3" w:rsidRDefault="00252C80">
      <w:pPr>
        <w:pStyle w:val="NormalWeb"/>
      </w:pPr>
      <w:r>
        <w:t>и региональные инновационные программы, а также отдельных значительных инновационных проектов, но и в государственном содействии развитию инновационной</w:t>
      </w:r>
    </w:p>
    <w:p w:rsidR="005F50E3" w:rsidRDefault="00252C80">
      <w:pPr>
        <w:pStyle w:val="NormalWeb"/>
      </w:pPr>
      <w:r>
        <w:t>инфраструктуры, кадровой поддержке инновационной деятельности, содействии подготовке, переподготовке и повышению квалификации кадров, осуществляющих инновационную деятельность. Государство также морально стимулирует инновационную</w:t>
      </w:r>
    </w:p>
    <w:p w:rsidR="005F50E3" w:rsidRDefault="00252C80">
      <w:pPr>
        <w:pStyle w:val="NormalWeb"/>
      </w:pPr>
      <w:r>
        <w:t>деятельность (например, присвоением звания Заслуженный новатор РФ Указом президента РФ). Важным фактором организационного регулирования инновационной деятельности является также информационная поддержка государством инновационной деятельности, например, обеспечение свободы доступа к информации о приоритетах государственной политики в инновационной сфере, к сведениям о завершенных научно-</w:t>
      </w:r>
    </w:p>
    <w:p w:rsidR="005F50E3" w:rsidRDefault="00252C80">
      <w:pPr>
        <w:pStyle w:val="NormalWeb"/>
      </w:pPr>
      <w:r>
        <w:t>технических исследованиях, которые могут стать основой для инновационной деятельности, к данным о выполняемых и завершенных инновационных проектах и программах и т.п. Государство также содействует интеграционным процессам в инновационной сфере, расширению взаимодействия субъектов РФ и развитию международного сотрудничества в этой сфере, защищает интересы российских субъектов инновационной деятельности в международных организациях.</w:t>
      </w:r>
    </w:p>
    <w:p w:rsidR="005F50E3" w:rsidRDefault="00252C80">
      <w:pPr>
        <w:pStyle w:val="NormalWeb"/>
      </w:pPr>
      <w:r>
        <w:rPr>
          <w:i/>
          <w:iCs/>
        </w:rPr>
        <w:t>Финансовое регулирование</w:t>
      </w:r>
      <w:r>
        <w:t xml:space="preserve"> государством инновационной деятельности основано на проведении бюджетной политики, обеспечивающей финансирование инновационной деятельности, направление в инновационную сферу государственных ресурсов, выделение</w:t>
      </w:r>
    </w:p>
    <w:p w:rsidR="005F50E3" w:rsidRDefault="00252C80">
      <w:pPr>
        <w:pStyle w:val="NormalWeb"/>
      </w:pPr>
      <w:r>
        <w:t>прямых государственных инвестиций для реализации инновационных программ и проектов, важных для общественного развития, но не привлекательных для частных инвесторов. Посредством предоставления дотаций, льготных кредитов, гарантий российским и иностранным инвесторам, принимающим участие в инновационной деятельности, снижения отчислений налогов в федеральный бюджет субъектами РФ в случае использования ими своих бюджетных средств для финансирования федеральных инновационных программ и проектов, а также посредством других форм государство влияет на создание благоприятного инвестиционного климата в инновационной сфере.</w:t>
      </w:r>
    </w:p>
    <w:p w:rsidR="005F50E3" w:rsidRDefault="00252C80">
      <w:pPr>
        <w:pStyle w:val="NormalWeb"/>
      </w:pPr>
      <w:r>
        <w:t>Государство создает законодательные условия для активизации инновационной деятельности, устанавливает правовые основы взаимоотношений ее субъектов, гарантирует охрану их прав и интересов, в частности, охраны таких наиболее существенных для развития инновационной деятельности прав, как права на объекты интеллектуальной собственности.</w:t>
      </w:r>
    </w:p>
    <w:p w:rsidR="005F50E3" w:rsidRDefault="00252C80">
      <w:pPr>
        <w:pStyle w:val="NormalWeb"/>
      </w:pPr>
      <w:r>
        <w:rPr>
          <w:b/>
          <w:bCs/>
        </w:rPr>
        <w:t>3.2 Стимулирование применения инноваций в промышленном производстве</w:t>
      </w:r>
    </w:p>
    <w:p w:rsidR="005F50E3" w:rsidRDefault="00252C80">
      <w:pPr>
        <w:pStyle w:val="NormalWeb"/>
      </w:pPr>
      <w:r>
        <w:t>Научная деятельность считается сферой активной государственной политики. Научные идеи не могут быть непосредственно использованы в хозяйственной деятельности, целью которой является прибыль. Поэтому организации сдержанно идут на прямое финансирование расследований, хотя испытывают большую потребность в их результатах. В современных условиях государство во многом берет на себя функцию обеспечения бизнеса одним из важнейших ресурсов инновационного процесса — научными знаниями и идеями. Государство призвано формировать цели и принципы инновационной политики и собственные приоритеты в этой области. Целями, как правило, являются увеличение вклада науки и техники в развитие экономики страны; обеспечение прогрессивных преобразований в сфере материального производства; повышение конкурентоспособности национального продукта на мировом рынке; укрепление безопасности и обороноспособности страны; улучшение экологической обстановки; сохранение и развитие сложившихся научных школ. Одновременно государство разрабатывает и принципы, на основании которых будет проводиться политика в науке и инновационной сфере, а также механизм реализации этой политики. Эти принципы зависят от сложившейся хозяйственной системы страны, глубины воздействия государственных институтов на экономическую деятельность.</w:t>
      </w:r>
    </w:p>
    <w:p w:rsidR="005F50E3" w:rsidRDefault="00252C80">
      <w:pPr>
        <w:pStyle w:val="NormalWeb"/>
      </w:pPr>
      <w:r>
        <w:t xml:space="preserve">В Российской Федерации государство осуществляет политику поддержки инновационной деятельности. </w:t>
      </w:r>
      <w:r>
        <w:rPr>
          <w:i/>
          <w:iCs/>
        </w:rPr>
        <w:t xml:space="preserve">Поддержка инновационной деятельности </w:t>
      </w:r>
      <w:r>
        <w:t>— система мер, осуществляемых органами государственной власти РФ, ее субъектов, органами местного самоуправления и направленных на поддержку развития инновационной деятельности.</w:t>
      </w:r>
    </w:p>
    <w:p w:rsidR="005F50E3" w:rsidRDefault="00252C80">
      <w:pPr>
        <w:pStyle w:val="NormalWeb"/>
      </w:pPr>
      <w:r>
        <w:rPr>
          <w:i/>
          <w:iCs/>
        </w:rPr>
        <w:t xml:space="preserve">Государственная инновационная политика </w:t>
      </w:r>
      <w:r>
        <w:t>ориентирована на стимулирование создания благоприятного климата для инновационных процессов и является связующим звеном между сферой научной и инновационной деятельности и производством.</w:t>
      </w:r>
    </w:p>
    <w:p w:rsidR="005F50E3" w:rsidRDefault="00252C80">
      <w:pPr>
        <w:pStyle w:val="NormalWeb"/>
      </w:pPr>
      <w:r>
        <w:t>Функции государства по поддержке инновационной деятельности</w:t>
      </w:r>
      <w:bookmarkStart w:id="11" w:name="_ftnref12"/>
      <w:r>
        <w:fldChar w:fldCharType="begin"/>
      </w:r>
      <w:r>
        <w:instrText xml:space="preserve"> HYPERLINK "" \l "_ftn12" </w:instrText>
      </w:r>
      <w:r>
        <w:fldChar w:fldCharType="separate"/>
      </w:r>
      <w:r>
        <w:rPr>
          <w:rStyle w:val="Hyperlink"/>
        </w:rPr>
        <w:t>[12]</w:t>
      </w:r>
      <w:r>
        <w:fldChar w:fldCharType="end"/>
      </w:r>
      <w:bookmarkEnd w:id="11"/>
      <w:r>
        <w:t xml:space="preserve"> :</w:t>
      </w:r>
    </w:p>
    <w:p w:rsidR="005F50E3" w:rsidRDefault="00252C80">
      <w:pPr>
        <w:pStyle w:val="NormalWeb"/>
      </w:pPr>
      <w:r>
        <w:t>• содействие развитию науки, подготовке научных кадров и малого инновационного предпринимательства;</w:t>
      </w:r>
    </w:p>
    <w:p w:rsidR="005F50E3" w:rsidRDefault="00252C80">
      <w:pPr>
        <w:pStyle w:val="NormalWeb"/>
      </w:pPr>
      <w:r>
        <w:t>• создание программ, направленных на повышение инновационной активности в сфере производства;</w:t>
      </w:r>
    </w:p>
    <w:p w:rsidR="005F50E3" w:rsidRDefault="00252C80">
      <w:pPr>
        <w:pStyle w:val="NormalWeb"/>
      </w:pPr>
      <w:r>
        <w:t>• формирование государственных заказов на НИОКР, обеспечивающих начальный спрос на инновации, которые затем получают распространение в экономике;</w:t>
      </w:r>
    </w:p>
    <w:p w:rsidR="005F50E3" w:rsidRDefault="00252C80">
      <w:pPr>
        <w:pStyle w:val="NormalWeb"/>
      </w:pPr>
      <w:r>
        <w:t>• введение налоговых и прочих инструментов государственного регулирования, формирующих активное воздействие на эффективность инновационных решений;</w:t>
      </w:r>
    </w:p>
    <w:p w:rsidR="005F50E3" w:rsidRDefault="00252C80">
      <w:pPr>
        <w:pStyle w:val="NormalWeb"/>
      </w:pPr>
      <w:r>
        <w:t>• посредничество во взаимодействии академической, вузовской и прикладной науки, стимулирующее кооперацию в области НИОКР.</w:t>
      </w:r>
    </w:p>
    <w:p w:rsidR="005F50E3" w:rsidRDefault="00252C80">
      <w:pPr>
        <w:pStyle w:val="NormalWeb"/>
      </w:pPr>
      <w:r>
        <w:t>Основные направления поддержки государственной инновационной политики в Российской Федерации:</w:t>
      </w:r>
    </w:p>
    <w:p w:rsidR="005F50E3" w:rsidRDefault="00252C80">
      <w:pPr>
        <w:pStyle w:val="NormalWeb"/>
      </w:pPr>
      <w:r>
        <w:t>• содействие повышению инновационной активности, обеспечивающей рост конкурентоспособности отечественной продукции на основе освоения научно-технических достижений и обновления производства;</w:t>
      </w:r>
    </w:p>
    <w:p w:rsidR="005F50E3" w:rsidRDefault="00252C80">
      <w:pPr>
        <w:pStyle w:val="NormalWeb"/>
      </w:pPr>
      <w:r>
        <w:t>• ориентация на всемерную поддержку базисных и улучшающих инноваций, составляющих основу современного технологического уклада;</w:t>
      </w:r>
    </w:p>
    <w:p w:rsidR="005F50E3" w:rsidRDefault="00252C80">
      <w:pPr>
        <w:pStyle w:val="NormalWeb"/>
      </w:pPr>
      <w:r>
        <w:t>• сочетание государственного регулирования инновационной деятельности с эффективным функционированием конкурентного рыночного инновационного механизма, защитой интеллектуальной собственности;</w:t>
      </w:r>
    </w:p>
    <w:p w:rsidR="005F50E3" w:rsidRDefault="00252C80">
      <w:pPr>
        <w:pStyle w:val="NormalWeb"/>
      </w:pPr>
      <w:r>
        <w:t>• содействие развитию инновационной деятельности в регионах России, межрегиональному и международному трансферту технологий, международному инвестиционному сотрудничеству, защита интересов национального инновационного предпринимательства.</w:t>
      </w:r>
    </w:p>
    <w:p w:rsidR="005F50E3" w:rsidRDefault="00252C80">
      <w:pPr>
        <w:pStyle w:val="NormalWeb"/>
      </w:pPr>
      <w:r>
        <w:t>Бюджетная политика государства должна быть ориентирована исключительно на поддержку базисных инноваций. При ее осуществлении требуется институт независимой экспертизы. Необходимо сместить акценты на приоритетах бюджетной политики в пользу экспортоориентированных предприятий, внедряющих базисные инновации, а также предприятий, осваивающих экологически щадящие технологии.</w:t>
      </w:r>
    </w:p>
    <w:p w:rsidR="005F50E3" w:rsidRDefault="00252C80">
      <w:pPr>
        <w:pStyle w:val="NormalWeb"/>
      </w:pPr>
      <w:r>
        <w:t>К основным принципам государственной политики в научной и инновационной деятельности относятся: свобода научного и научно-технического творчества; правовая охрана интеллектуальной собственности; интеграция научной, научно-технической деятельности и образования; поддержка конкуренции в сферах науки и техники; концентрация ресурсов на приоритетных направлениях научного развития; стимулирование деловой активности в научной, научно-технической и инновационной деятельности; развитие международного научного сотрудничества.</w:t>
      </w:r>
    </w:p>
    <w:p w:rsidR="005F50E3" w:rsidRDefault="00252C80">
      <w:pPr>
        <w:pStyle w:val="NormalWeb"/>
      </w:pPr>
      <w:r>
        <w:t>На рисунке 1 представлены основные формы государственной поддержки инновационной деятельности в развитых странах мира.</w:t>
      </w:r>
    </w:p>
    <w:p w:rsidR="005F50E3" w:rsidRDefault="00252C80">
      <w:pPr>
        <w:pStyle w:val="NormalWeb"/>
      </w:pPr>
      <w:r>
        <w:t>Рис.5 Формы государственной поддержки инновационной деятельности</w:t>
      </w:r>
    </w:p>
    <w:p w:rsidR="005F50E3" w:rsidRDefault="00252C80">
      <w:pPr>
        <w:pStyle w:val="NormalWeb"/>
      </w:pPr>
      <w:r>
        <w:t>К инновационным программам, на осуществление которых предполагается получение государственной финансовой поддержки, предъявляются следующие требования</w:t>
      </w:r>
      <w:bookmarkStart w:id="12" w:name="_ftnref13"/>
      <w:r>
        <w:fldChar w:fldCharType="begin"/>
      </w:r>
      <w:r>
        <w:instrText xml:space="preserve"> HYPERLINK "" \l "_ftn13" </w:instrText>
      </w:r>
      <w:r>
        <w:fldChar w:fldCharType="separate"/>
      </w:r>
      <w:r>
        <w:rPr>
          <w:rStyle w:val="Hyperlink"/>
        </w:rPr>
        <w:t>[13]</w:t>
      </w:r>
      <w:r>
        <w:fldChar w:fldCharType="end"/>
      </w:r>
      <w:bookmarkEnd w:id="12"/>
      <w:r>
        <w:t xml:space="preserve"> :</w:t>
      </w:r>
    </w:p>
    <w:p w:rsidR="005F50E3" w:rsidRDefault="00252C80">
      <w:pPr>
        <w:numPr>
          <w:ilvl w:val="0"/>
          <w:numId w:val="6"/>
        </w:numPr>
        <w:spacing w:before="100" w:beforeAutospacing="1" w:after="100" w:afterAutospacing="1"/>
      </w:pPr>
      <w:r>
        <w:t>право на участие в конкурсном отборе имеют инновационные проекты, направленные на развитие перспективных (развивающихся) отраслей экономики, при условии их частичного финансирования (не менее 20% от суммы, необходимой для реализации проекта) из собственных средств компании;</w:t>
      </w:r>
    </w:p>
    <w:p w:rsidR="005F50E3" w:rsidRDefault="00252C80">
      <w:pPr>
        <w:numPr>
          <w:ilvl w:val="0"/>
          <w:numId w:val="6"/>
        </w:numPr>
        <w:spacing w:before="100" w:beforeAutospacing="1" w:after="100" w:afterAutospacing="1"/>
      </w:pPr>
      <w:r>
        <w:t>срок окупаемости не должен превышать установленных нормативов (как правило, 2 года);</w:t>
      </w:r>
    </w:p>
    <w:p w:rsidR="005F50E3" w:rsidRDefault="00252C80">
      <w:pPr>
        <w:numPr>
          <w:ilvl w:val="0"/>
          <w:numId w:val="6"/>
        </w:numPr>
        <w:spacing w:before="100" w:beforeAutospacing="1" w:after="100" w:afterAutospacing="1"/>
      </w:pPr>
      <w:r>
        <w:t>государственное финансирование инновационных программ, прошедших конкурсный отбор, может осуществляться за счет средств федерального бюджета, выделяемых на возвратной основе, либо на условиях предоставления части акций хозяйствующего субъекта в государственную собственность;</w:t>
      </w:r>
    </w:p>
    <w:p w:rsidR="005F50E3" w:rsidRDefault="00252C80">
      <w:pPr>
        <w:numPr>
          <w:ilvl w:val="0"/>
          <w:numId w:val="6"/>
        </w:numPr>
        <w:spacing w:before="100" w:beforeAutospacing="1" w:after="100" w:afterAutospacing="1"/>
      </w:pPr>
      <w:r>
        <w:t>инновационные программы, предоставляемые на конкурс, должны иметь положительные заключения государственной экологической экспертизы, государственной ведомственной или независимой экспертизы.</w:t>
      </w:r>
    </w:p>
    <w:p w:rsidR="005F50E3" w:rsidRPr="00252C80" w:rsidRDefault="00252C80">
      <w:pPr>
        <w:pStyle w:val="NormalWeb"/>
      </w:pPr>
      <w:r>
        <w:rPr>
          <w:b/>
          <w:bCs/>
        </w:rPr>
        <w:t>3.3 Анализ и оценка соотношения объема финансирования науки из средств федерального бюджета и внутренних затрат предприятий на научные исследования и разработки</w:t>
      </w:r>
    </w:p>
    <w:p w:rsidR="005F50E3" w:rsidRDefault="00252C80">
      <w:pPr>
        <w:pStyle w:val="NormalWeb"/>
      </w:pPr>
      <w:r>
        <w:rPr>
          <w:b/>
          <w:bCs/>
        </w:rPr>
        <w:t>Таблица 1. Финансирование науки из средств федерального бюджета</w:t>
      </w:r>
      <w:bookmarkStart w:id="13" w:name="_ftnref14"/>
      <w:r>
        <w:rPr>
          <w:b/>
          <w:bCs/>
        </w:rPr>
        <w:fldChar w:fldCharType="begin"/>
      </w:r>
      <w:r>
        <w:rPr>
          <w:b/>
          <w:bCs/>
        </w:rPr>
        <w:instrText xml:space="preserve"> HYPERLINK "" \l "_ftn14" </w:instrText>
      </w:r>
      <w:r>
        <w:rPr>
          <w:b/>
          <w:bCs/>
        </w:rPr>
        <w:fldChar w:fldCharType="separate"/>
      </w:r>
      <w:r>
        <w:rPr>
          <w:rStyle w:val="Hyperlink"/>
          <w:b/>
          <w:bCs/>
        </w:rPr>
        <w:t xml:space="preserve">[14] </w:t>
      </w:r>
      <w:r>
        <w:rPr>
          <w:b/>
          <w:bCs/>
        </w:rPr>
        <w:fldChar w:fldCharType="end"/>
      </w:r>
      <w:bookmarkEnd w:id="13"/>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tblGrid>
      <w:tr w:rsidR="005F50E3">
        <w:trPr>
          <w:tblCellSpacing w:w="15" w:type="dxa"/>
        </w:trPr>
        <w:tc>
          <w:tcPr>
            <w:tcW w:w="0" w:type="auto"/>
            <w:vAlign w:val="center"/>
            <w:hideMark/>
          </w:tcPr>
          <w:p w:rsidR="005F50E3" w:rsidRPr="00252C80" w:rsidRDefault="00252C80">
            <w:pPr>
              <w:pStyle w:val="NormalWeb"/>
            </w:pPr>
            <w:r w:rsidRPr="00252C80">
              <w:t>Расходы на гражданскую науку из средств федерального бюджета - всего, млн. руб.</w:t>
            </w:r>
          </w:p>
        </w:tc>
        <w:tc>
          <w:tcPr>
            <w:tcW w:w="0" w:type="auto"/>
            <w:vAlign w:val="center"/>
            <w:hideMark/>
          </w:tcPr>
          <w:p w:rsidR="005F50E3" w:rsidRPr="00252C80" w:rsidRDefault="00252C80">
            <w:pPr>
              <w:pStyle w:val="NormalWeb"/>
            </w:pPr>
            <w:r w:rsidRPr="00252C80">
              <w:t>в том числе</w:t>
            </w:r>
          </w:p>
        </w:tc>
        <w:tc>
          <w:tcPr>
            <w:tcW w:w="0" w:type="auto"/>
            <w:vAlign w:val="center"/>
            <w:hideMark/>
          </w:tcPr>
          <w:p w:rsidR="005F50E3" w:rsidRPr="00252C80" w:rsidRDefault="00252C80">
            <w:pPr>
              <w:pStyle w:val="NormalWeb"/>
            </w:pPr>
            <w:r w:rsidRPr="00252C80">
              <w:t>В процентах</w:t>
            </w:r>
          </w:p>
        </w:tc>
      </w:tr>
    </w:tbl>
    <w:p w:rsidR="005F50E3" w:rsidRDefault="005F50E3">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5F50E3">
        <w:trPr>
          <w:tblCellSpacing w:w="15" w:type="dxa"/>
        </w:trPr>
        <w:tc>
          <w:tcPr>
            <w:tcW w:w="0" w:type="auto"/>
            <w:vAlign w:val="center"/>
            <w:hideMark/>
          </w:tcPr>
          <w:p w:rsidR="005F50E3" w:rsidRPr="00252C80" w:rsidRDefault="00252C80">
            <w:pPr>
              <w:pStyle w:val="NormalWeb"/>
            </w:pPr>
            <w:r w:rsidRPr="00252C80">
              <w:t>на фундаментальные исследования</w:t>
            </w:r>
          </w:p>
        </w:tc>
        <w:tc>
          <w:tcPr>
            <w:tcW w:w="0" w:type="auto"/>
            <w:vAlign w:val="center"/>
            <w:hideMark/>
          </w:tcPr>
          <w:p w:rsidR="005F50E3" w:rsidRPr="00252C80" w:rsidRDefault="00252C80">
            <w:pPr>
              <w:pStyle w:val="NormalWeb"/>
            </w:pPr>
            <w:r w:rsidRPr="00252C80">
              <w:t>на прикладные научные исследования</w:t>
            </w:r>
          </w:p>
        </w:tc>
        <w:tc>
          <w:tcPr>
            <w:tcW w:w="0" w:type="auto"/>
            <w:vAlign w:val="center"/>
            <w:hideMark/>
          </w:tcPr>
          <w:p w:rsidR="005F50E3" w:rsidRPr="00252C80" w:rsidRDefault="00252C80">
            <w:pPr>
              <w:pStyle w:val="NormalWeb"/>
            </w:pPr>
            <w:r w:rsidRPr="00252C80">
              <w:t>к расходам федерального бюджета</w:t>
            </w:r>
          </w:p>
        </w:tc>
        <w:tc>
          <w:tcPr>
            <w:tcW w:w="0" w:type="auto"/>
            <w:vAlign w:val="center"/>
            <w:hideMark/>
          </w:tcPr>
          <w:p w:rsidR="005F50E3" w:rsidRPr="00252C80" w:rsidRDefault="00252C80">
            <w:pPr>
              <w:pStyle w:val="NormalWeb"/>
            </w:pPr>
            <w:r w:rsidRPr="00252C80">
              <w:t>к валовому внутреннему продукту</w:t>
            </w:r>
          </w:p>
        </w:tc>
      </w:tr>
    </w:tbl>
    <w:p w:rsidR="005F50E3" w:rsidRDefault="005F50E3">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tblGrid>
      <w:tr w:rsidR="005F50E3">
        <w:trPr>
          <w:tblCellSpacing w:w="15" w:type="dxa"/>
        </w:trPr>
        <w:tc>
          <w:tcPr>
            <w:tcW w:w="0" w:type="auto"/>
            <w:vAlign w:val="center"/>
            <w:hideMark/>
          </w:tcPr>
          <w:p w:rsidR="005F50E3" w:rsidRPr="00252C80" w:rsidRDefault="00252C80">
            <w:pPr>
              <w:pStyle w:val="NormalWeb"/>
            </w:pPr>
            <w:r w:rsidRPr="00252C80">
              <w:t>2000</w:t>
            </w:r>
          </w:p>
        </w:tc>
        <w:tc>
          <w:tcPr>
            <w:tcW w:w="0" w:type="auto"/>
            <w:vAlign w:val="center"/>
            <w:hideMark/>
          </w:tcPr>
          <w:p w:rsidR="005F50E3" w:rsidRPr="00252C80" w:rsidRDefault="00252C80">
            <w:pPr>
              <w:pStyle w:val="NormalWeb"/>
            </w:pPr>
            <w:r w:rsidRPr="00252C80">
              <w:t>17396,4</w:t>
            </w:r>
          </w:p>
        </w:tc>
        <w:tc>
          <w:tcPr>
            <w:tcW w:w="0" w:type="auto"/>
            <w:vAlign w:val="center"/>
            <w:hideMark/>
          </w:tcPr>
          <w:p w:rsidR="005F50E3" w:rsidRPr="00252C80" w:rsidRDefault="00252C80">
            <w:pPr>
              <w:pStyle w:val="NormalWeb"/>
            </w:pPr>
            <w:r w:rsidRPr="00252C80">
              <w:t>8219,3</w:t>
            </w:r>
          </w:p>
        </w:tc>
        <w:tc>
          <w:tcPr>
            <w:tcW w:w="0" w:type="auto"/>
            <w:vAlign w:val="center"/>
            <w:hideMark/>
          </w:tcPr>
          <w:p w:rsidR="005F50E3" w:rsidRPr="00252C80" w:rsidRDefault="00252C80">
            <w:pPr>
              <w:pStyle w:val="NormalWeb"/>
            </w:pPr>
            <w:r w:rsidRPr="00252C80">
              <w:t>9177,1</w:t>
            </w:r>
          </w:p>
        </w:tc>
        <w:tc>
          <w:tcPr>
            <w:tcW w:w="0" w:type="auto"/>
            <w:vAlign w:val="center"/>
            <w:hideMark/>
          </w:tcPr>
          <w:p w:rsidR="005F50E3" w:rsidRPr="00252C80" w:rsidRDefault="00252C80">
            <w:pPr>
              <w:pStyle w:val="NormalWeb"/>
            </w:pPr>
            <w:r w:rsidRPr="00252C80">
              <w:t>1,69</w:t>
            </w:r>
          </w:p>
        </w:tc>
        <w:tc>
          <w:tcPr>
            <w:tcW w:w="0" w:type="auto"/>
            <w:vAlign w:val="center"/>
            <w:hideMark/>
          </w:tcPr>
          <w:p w:rsidR="005F50E3" w:rsidRPr="00252C80" w:rsidRDefault="00252C80">
            <w:pPr>
              <w:pStyle w:val="NormalWeb"/>
            </w:pPr>
            <w:r w:rsidRPr="00252C80">
              <w:t>0,24</w:t>
            </w:r>
          </w:p>
        </w:tc>
      </w:tr>
    </w:tbl>
    <w:p w:rsidR="005F50E3" w:rsidRDefault="005F50E3">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tblGrid>
      <w:tr w:rsidR="005F50E3">
        <w:trPr>
          <w:tblCellSpacing w:w="15" w:type="dxa"/>
        </w:trPr>
        <w:tc>
          <w:tcPr>
            <w:tcW w:w="0" w:type="auto"/>
            <w:vAlign w:val="center"/>
            <w:hideMark/>
          </w:tcPr>
          <w:p w:rsidR="005F50E3" w:rsidRPr="00252C80" w:rsidRDefault="00252C80">
            <w:pPr>
              <w:pStyle w:val="NormalWeb"/>
            </w:pPr>
            <w:r w:rsidRPr="00252C80">
              <w:t>2001</w:t>
            </w:r>
          </w:p>
        </w:tc>
        <w:tc>
          <w:tcPr>
            <w:tcW w:w="0" w:type="auto"/>
            <w:vAlign w:val="center"/>
            <w:hideMark/>
          </w:tcPr>
          <w:p w:rsidR="005F50E3" w:rsidRPr="00252C80" w:rsidRDefault="00252C80">
            <w:pPr>
              <w:pStyle w:val="NormalWeb"/>
            </w:pPr>
            <w:r w:rsidRPr="00252C80">
              <w:t>23687,7</w:t>
            </w:r>
          </w:p>
        </w:tc>
        <w:tc>
          <w:tcPr>
            <w:tcW w:w="0" w:type="auto"/>
            <w:vAlign w:val="center"/>
            <w:hideMark/>
          </w:tcPr>
          <w:p w:rsidR="005F50E3" w:rsidRPr="00252C80" w:rsidRDefault="00252C80">
            <w:pPr>
              <w:pStyle w:val="NormalWeb"/>
            </w:pPr>
            <w:r w:rsidRPr="00252C80">
              <w:t>11666,6</w:t>
            </w:r>
          </w:p>
        </w:tc>
        <w:tc>
          <w:tcPr>
            <w:tcW w:w="0" w:type="auto"/>
            <w:vAlign w:val="center"/>
            <w:hideMark/>
          </w:tcPr>
          <w:p w:rsidR="005F50E3" w:rsidRPr="00252C80" w:rsidRDefault="00252C80">
            <w:pPr>
              <w:pStyle w:val="NormalWeb"/>
            </w:pPr>
            <w:r w:rsidRPr="00252C80">
              <w:t>12021,1</w:t>
            </w:r>
          </w:p>
        </w:tc>
        <w:tc>
          <w:tcPr>
            <w:tcW w:w="0" w:type="auto"/>
            <w:vAlign w:val="center"/>
            <w:hideMark/>
          </w:tcPr>
          <w:p w:rsidR="005F50E3" w:rsidRPr="00252C80" w:rsidRDefault="00252C80">
            <w:pPr>
              <w:pStyle w:val="NormalWeb"/>
            </w:pPr>
            <w:r w:rsidRPr="00252C80">
              <w:t>1,79</w:t>
            </w:r>
          </w:p>
        </w:tc>
        <w:tc>
          <w:tcPr>
            <w:tcW w:w="0" w:type="auto"/>
            <w:vAlign w:val="center"/>
            <w:hideMark/>
          </w:tcPr>
          <w:p w:rsidR="005F50E3" w:rsidRPr="00252C80" w:rsidRDefault="00252C80">
            <w:pPr>
              <w:pStyle w:val="NormalWeb"/>
            </w:pPr>
            <w:r w:rsidRPr="00252C80">
              <w:t>0,26</w:t>
            </w:r>
          </w:p>
        </w:tc>
      </w:tr>
    </w:tbl>
    <w:p w:rsidR="005F50E3" w:rsidRDefault="005F50E3">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tblGrid>
      <w:tr w:rsidR="005F50E3">
        <w:trPr>
          <w:tblCellSpacing w:w="15" w:type="dxa"/>
        </w:trPr>
        <w:tc>
          <w:tcPr>
            <w:tcW w:w="0" w:type="auto"/>
            <w:vAlign w:val="center"/>
            <w:hideMark/>
          </w:tcPr>
          <w:p w:rsidR="005F50E3" w:rsidRPr="00252C80" w:rsidRDefault="00252C80">
            <w:pPr>
              <w:pStyle w:val="NormalWeb"/>
            </w:pPr>
            <w:r w:rsidRPr="00252C80">
              <w:t>2002</w:t>
            </w:r>
          </w:p>
        </w:tc>
        <w:tc>
          <w:tcPr>
            <w:tcW w:w="0" w:type="auto"/>
            <w:vAlign w:val="center"/>
            <w:hideMark/>
          </w:tcPr>
          <w:p w:rsidR="005F50E3" w:rsidRPr="00252C80" w:rsidRDefault="00252C80">
            <w:pPr>
              <w:pStyle w:val="NormalWeb"/>
            </w:pPr>
            <w:r w:rsidRPr="00252C80">
              <w:t>31055,8</w:t>
            </w:r>
          </w:p>
        </w:tc>
        <w:tc>
          <w:tcPr>
            <w:tcW w:w="0" w:type="auto"/>
            <w:vAlign w:val="center"/>
            <w:hideMark/>
          </w:tcPr>
          <w:p w:rsidR="005F50E3" w:rsidRPr="00252C80" w:rsidRDefault="00252C80">
            <w:pPr>
              <w:pStyle w:val="NormalWeb"/>
            </w:pPr>
            <w:r w:rsidRPr="00252C80">
              <w:t>16301,5</w:t>
            </w:r>
          </w:p>
        </w:tc>
        <w:tc>
          <w:tcPr>
            <w:tcW w:w="0" w:type="auto"/>
            <w:vAlign w:val="center"/>
            <w:hideMark/>
          </w:tcPr>
          <w:p w:rsidR="005F50E3" w:rsidRPr="00252C80" w:rsidRDefault="00252C80">
            <w:pPr>
              <w:pStyle w:val="NormalWeb"/>
            </w:pPr>
            <w:r w:rsidRPr="00252C80">
              <w:t>14754,4</w:t>
            </w:r>
          </w:p>
        </w:tc>
        <w:tc>
          <w:tcPr>
            <w:tcW w:w="0" w:type="auto"/>
            <w:vAlign w:val="center"/>
            <w:hideMark/>
          </w:tcPr>
          <w:p w:rsidR="005F50E3" w:rsidRPr="00252C80" w:rsidRDefault="00252C80">
            <w:pPr>
              <w:pStyle w:val="NormalWeb"/>
            </w:pPr>
            <w:r w:rsidRPr="00252C80">
              <w:t>1,51</w:t>
            </w:r>
          </w:p>
        </w:tc>
        <w:tc>
          <w:tcPr>
            <w:tcW w:w="0" w:type="auto"/>
            <w:vAlign w:val="center"/>
            <w:hideMark/>
          </w:tcPr>
          <w:p w:rsidR="005F50E3" w:rsidRPr="00252C80" w:rsidRDefault="00252C80">
            <w:pPr>
              <w:pStyle w:val="NormalWeb"/>
            </w:pPr>
            <w:r w:rsidRPr="00252C80">
              <w:t>0,29</w:t>
            </w:r>
          </w:p>
        </w:tc>
      </w:tr>
    </w:tbl>
    <w:p w:rsidR="005F50E3" w:rsidRDefault="005F50E3">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tblGrid>
      <w:tr w:rsidR="005F50E3">
        <w:trPr>
          <w:tblCellSpacing w:w="15" w:type="dxa"/>
        </w:trPr>
        <w:tc>
          <w:tcPr>
            <w:tcW w:w="0" w:type="auto"/>
            <w:vAlign w:val="center"/>
            <w:hideMark/>
          </w:tcPr>
          <w:p w:rsidR="005F50E3" w:rsidRPr="00252C80" w:rsidRDefault="00252C80">
            <w:pPr>
              <w:pStyle w:val="NormalWeb"/>
            </w:pPr>
            <w:r w:rsidRPr="00252C80">
              <w:t>2003</w:t>
            </w:r>
          </w:p>
        </w:tc>
        <w:tc>
          <w:tcPr>
            <w:tcW w:w="0" w:type="auto"/>
            <w:vAlign w:val="center"/>
            <w:hideMark/>
          </w:tcPr>
          <w:p w:rsidR="005F50E3" w:rsidRPr="00252C80" w:rsidRDefault="00252C80">
            <w:pPr>
              <w:pStyle w:val="NormalWeb"/>
            </w:pPr>
            <w:r w:rsidRPr="00252C80">
              <w:t>41576,3</w:t>
            </w:r>
          </w:p>
        </w:tc>
        <w:tc>
          <w:tcPr>
            <w:tcW w:w="0" w:type="auto"/>
            <w:vAlign w:val="center"/>
            <w:hideMark/>
          </w:tcPr>
          <w:p w:rsidR="005F50E3" w:rsidRPr="00252C80" w:rsidRDefault="00252C80">
            <w:pPr>
              <w:pStyle w:val="NormalWeb"/>
            </w:pPr>
            <w:r w:rsidRPr="00252C80">
              <w:t>21073,3</w:t>
            </w:r>
          </w:p>
        </w:tc>
        <w:tc>
          <w:tcPr>
            <w:tcW w:w="0" w:type="auto"/>
            <w:vAlign w:val="center"/>
            <w:hideMark/>
          </w:tcPr>
          <w:p w:rsidR="005F50E3" w:rsidRPr="00252C80" w:rsidRDefault="00252C80">
            <w:pPr>
              <w:pStyle w:val="NormalWeb"/>
            </w:pPr>
            <w:r w:rsidRPr="00252C80">
              <w:t>20503,0</w:t>
            </w:r>
          </w:p>
        </w:tc>
        <w:tc>
          <w:tcPr>
            <w:tcW w:w="0" w:type="auto"/>
            <w:vAlign w:val="center"/>
            <w:hideMark/>
          </w:tcPr>
          <w:p w:rsidR="005F50E3" w:rsidRPr="00252C80" w:rsidRDefault="00252C80">
            <w:pPr>
              <w:pStyle w:val="NormalWeb"/>
            </w:pPr>
            <w:r w:rsidRPr="00252C80">
              <w:t>1,76</w:t>
            </w:r>
          </w:p>
        </w:tc>
        <w:tc>
          <w:tcPr>
            <w:tcW w:w="0" w:type="auto"/>
            <w:vAlign w:val="center"/>
            <w:hideMark/>
          </w:tcPr>
          <w:p w:rsidR="005F50E3" w:rsidRPr="00252C80" w:rsidRDefault="00252C80">
            <w:pPr>
              <w:pStyle w:val="NormalWeb"/>
            </w:pPr>
            <w:r w:rsidRPr="00252C80">
              <w:t>0,31</w:t>
            </w:r>
          </w:p>
        </w:tc>
      </w:tr>
    </w:tbl>
    <w:p w:rsidR="005F50E3" w:rsidRDefault="005F50E3">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tblGrid>
      <w:tr w:rsidR="005F50E3">
        <w:trPr>
          <w:tblCellSpacing w:w="15" w:type="dxa"/>
        </w:trPr>
        <w:tc>
          <w:tcPr>
            <w:tcW w:w="0" w:type="auto"/>
            <w:vAlign w:val="center"/>
            <w:hideMark/>
          </w:tcPr>
          <w:p w:rsidR="005F50E3" w:rsidRPr="00252C80" w:rsidRDefault="00252C80">
            <w:pPr>
              <w:pStyle w:val="NormalWeb"/>
            </w:pPr>
            <w:r w:rsidRPr="00252C80">
              <w:t>2004</w:t>
            </w:r>
          </w:p>
        </w:tc>
        <w:tc>
          <w:tcPr>
            <w:tcW w:w="0" w:type="auto"/>
            <w:vAlign w:val="center"/>
            <w:hideMark/>
          </w:tcPr>
          <w:p w:rsidR="005F50E3" w:rsidRPr="00252C80" w:rsidRDefault="00252C80">
            <w:pPr>
              <w:pStyle w:val="NormalWeb"/>
            </w:pPr>
            <w:r w:rsidRPr="00252C80">
              <w:t>47478,1</w:t>
            </w:r>
          </w:p>
        </w:tc>
        <w:tc>
          <w:tcPr>
            <w:tcW w:w="0" w:type="auto"/>
            <w:vAlign w:val="center"/>
            <w:hideMark/>
          </w:tcPr>
          <w:p w:rsidR="005F50E3" w:rsidRPr="00252C80" w:rsidRDefault="00252C80">
            <w:pPr>
              <w:pStyle w:val="NormalWeb"/>
            </w:pPr>
            <w:r w:rsidRPr="00252C80">
              <w:t>24850,3</w:t>
            </w:r>
          </w:p>
        </w:tc>
        <w:tc>
          <w:tcPr>
            <w:tcW w:w="0" w:type="auto"/>
            <w:vAlign w:val="center"/>
            <w:hideMark/>
          </w:tcPr>
          <w:p w:rsidR="005F50E3" w:rsidRPr="00252C80" w:rsidRDefault="00252C80">
            <w:pPr>
              <w:pStyle w:val="NormalWeb"/>
            </w:pPr>
            <w:r w:rsidRPr="00252C80">
              <w:t>22627,8</w:t>
            </w:r>
          </w:p>
        </w:tc>
        <w:tc>
          <w:tcPr>
            <w:tcW w:w="0" w:type="auto"/>
            <w:vAlign w:val="center"/>
            <w:hideMark/>
          </w:tcPr>
          <w:p w:rsidR="005F50E3" w:rsidRPr="00252C80" w:rsidRDefault="00252C80">
            <w:pPr>
              <w:pStyle w:val="NormalWeb"/>
            </w:pPr>
            <w:r w:rsidRPr="00252C80">
              <w:t>1,76</w:t>
            </w:r>
          </w:p>
        </w:tc>
        <w:tc>
          <w:tcPr>
            <w:tcW w:w="0" w:type="auto"/>
            <w:vAlign w:val="center"/>
            <w:hideMark/>
          </w:tcPr>
          <w:p w:rsidR="005F50E3" w:rsidRPr="00252C80" w:rsidRDefault="00252C80">
            <w:pPr>
              <w:pStyle w:val="NormalWeb"/>
            </w:pPr>
            <w:r w:rsidRPr="00252C80">
              <w:t>0,28</w:t>
            </w:r>
          </w:p>
        </w:tc>
      </w:tr>
    </w:tbl>
    <w:p w:rsidR="005F50E3" w:rsidRDefault="005F50E3">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tblGrid>
      <w:tr w:rsidR="005F50E3">
        <w:trPr>
          <w:tblCellSpacing w:w="15" w:type="dxa"/>
        </w:trPr>
        <w:tc>
          <w:tcPr>
            <w:tcW w:w="0" w:type="auto"/>
            <w:vAlign w:val="center"/>
            <w:hideMark/>
          </w:tcPr>
          <w:p w:rsidR="005F50E3" w:rsidRPr="00252C80" w:rsidRDefault="00252C80">
            <w:pPr>
              <w:pStyle w:val="NormalWeb"/>
            </w:pPr>
            <w:r w:rsidRPr="00252C80">
              <w:t>2005</w:t>
            </w:r>
          </w:p>
        </w:tc>
        <w:tc>
          <w:tcPr>
            <w:tcW w:w="0" w:type="auto"/>
            <w:vAlign w:val="center"/>
            <w:hideMark/>
          </w:tcPr>
          <w:p w:rsidR="005F50E3" w:rsidRPr="00252C80" w:rsidRDefault="00252C80">
            <w:pPr>
              <w:pStyle w:val="NormalWeb"/>
            </w:pPr>
            <w:r w:rsidRPr="00252C80">
              <w:t>76909,3</w:t>
            </w:r>
          </w:p>
        </w:tc>
        <w:tc>
          <w:tcPr>
            <w:tcW w:w="0" w:type="auto"/>
            <w:vAlign w:val="center"/>
            <w:hideMark/>
          </w:tcPr>
          <w:p w:rsidR="005F50E3" w:rsidRPr="00252C80" w:rsidRDefault="00252C80">
            <w:pPr>
              <w:pStyle w:val="NormalWeb"/>
            </w:pPr>
            <w:r w:rsidRPr="00252C80">
              <w:t>32025,1</w:t>
            </w:r>
          </w:p>
        </w:tc>
        <w:tc>
          <w:tcPr>
            <w:tcW w:w="0" w:type="auto"/>
            <w:vAlign w:val="center"/>
            <w:hideMark/>
          </w:tcPr>
          <w:p w:rsidR="005F50E3" w:rsidRPr="00252C80" w:rsidRDefault="00252C80">
            <w:pPr>
              <w:pStyle w:val="NormalWeb"/>
            </w:pPr>
            <w:r w:rsidRPr="00252C80">
              <w:t>44884,2</w:t>
            </w:r>
          </w:p>
        </w:tc>
        <w:tc>
          <w:tcPr>
            <w:tcW w:w="0" w:type="auto"/>
            <w:vAlign w:val="center"/>
            <w:hideMark/>
          </w:tcPr>
          <w:p w:rsidR="005F50E3" w:rsidRPr="00252C80" w:rsidRDefault="00252C80">
            <w:pPr>
              <w:pStyle w:val="NormalWeb"/>
            </w:pPr>
            <w:r w:rsidRPr="00252C80">
              <w:t>2,19</w:t>
            </w:r>
          </w:p>
        </w:tc>
        <w:tc>
          <w:tcPr>
            <w:tcW w:w="0" w:type="auto"/>
            <w:vAlign w:val="center"/>
            <w:hideMark/>
          </w:tcPr>
          <w:p w:rsidR="005F50E3" w:rsidRPr="00252C80" w:rsidRDefault="00252C80">
            <w:pPr>
              <w:pStyle w:val="NormalWeb"/>
            </w:pPr>
            <w:r w:rsidRPr="00252C80">
              <w:t>0,36</w:t>
            </w:r>
          </w:p>
        </w:tc>
      </w:tr>
    </w:tbl>
    <w:p w:rsidR="005F50E3" w:rsidRDefault="005F50E3">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tblGrid>
      <w:tr w:rsidR="005F50E3">
        <w:trPr>
          <w:tblCellSpacing w:w="15" w:type="dxa"/>
        </w:trPr>
        <w:tc>
          <w:tcPr>
            <w:tcW w:w="0" w:type="auto"/>
            <w:vAlign w:val="center"/>
            <w:hideMark/>
          </w:tcPr>
          <w:p w:rsidR="005F50E3" w:rsidRPr="00252C80" w:rsidRDefault="00252C80">
            <w:pPr>
              <w:pStyle w:val="NormalWeb"/>
            </w:pPr>
            <w:r w:rsidRPr="00252C80">
              <w:t>2006</w:t>
            </w:r>
          </w:p>
        </w:tc>
        <w:tc>
          <w:tcPr>
            <w:tcW w:w="0" w:type="auto"/>
            <w:vAlign w:val="center"/>
            <w:hideMark/>
          </w:tcPr>
          <w:p w:rsidR="005F50E3" w:rsidRPr="00252C80" w:rsidRDefault="00252C80">
            <w:pPr>
              <w:pStyle w:val="NormalWeb"/>
            </w:pPr>
            <w:r w:rsidRPr="00252C80">
              <w:t>97363,2</w:t>
            </w:r>
          </w:p>
        </w:tc>
        <w:tc>
          <w:tcPr>
            <w:tcW w:w="0" w:type="auto"/>
            <w:vAlign w:val="center"/>
            <w:hideMark/>
          </w:tcPr>
          <w:p w:rsidR="005F50E3" w:rsidRPr="00252C80" w:rsidRDefault="00252C80">
            <w:pPr>
              <w:pStyle w:val="NormalWeb"/>
            </w:pPr>
            <w:r w:rsidRPr="00252C80">
              <w:t>42773,4</w:t>
            </w:r>
          </w:p>
        </w:tc>
        <w:tc>
          <w:tcPr>
            <w:tcW w:w="0" w:type="auto"/>
            <w:vAlign w:val="center"/>
            <w:hideMark/>
          </w:tcPr>
          <w:p w:rsidR="005F50E3" w:rsidRPr="00252C80" w:rsidRDefault="00252C80">
            <w:pPr>
              <w:pStyle w:val="NormalWeb"/>
            </w:pPr>
            <w:r w:rsidRPr="00252C80">
              <w:t>54589,8</w:t>
            </w:r>
          </w:p>
        </w:tc>
        <w:tc>
          <w:tcPr>
            <w:tcW w:w="0" w:type="auto"/>
            <w:vAlign w:val="center"/>
            <w:hideMark/>
          </w:tcPr>
          <w:p w:rsidR="005F50E3" w:rsidRPr="00252C80" w:rsidRDefault="00252C80">
            <w:pPr>
              <w:pStyle w:val="NormalWeb"/>
            </w:pPr>
            <w:r w:rsidRPr="00252C80">
              <w:t>2,27</w:t>
            </w:r>
          </w:p>
        </w:tc>
        <w:tc>
          <w:tcPr>
            <w:tcW w:w="0" w:type="auto"/>
            <w:vAlign w:val="center"/>
            <w:hideMark/>
          </w:tcPr>
          <w:p w:rsidR="005F50E3" w:rsidRPr="00252C80" w:rsidRDefault="00252C80">
            <w:pPr>
              <w:pStyle w:val="NormalWeb"/>
            </w:pPr>
            <w:r w:rsidRPr="00252C80">
              <w:t>0,36</w:t>
            </w:r>
          </w:p>
        </w:tc>
      </w:tr>
    </w:tbl>
    <w:p w:rsidR="005F50E3" w:rsidRDefault="005F50E3">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tblGrid>
      <w:tr w:rsidR="005F50E3">
        <w:trPr>
          <w:tblCellSpacing w:w="15" w:type="dxa"/>
        </w:trPr>
        <w:tc>
          <w:tcPr>
            <w:tcW w:w="0" w:type="auto"/>
            <w:vAlign w:val="center"/>
            <w:hideMark/>
          </w:tcPr>
          <w:p w:rsidR="005F50E3" w:rsidRPr="00252C80" w:rsidRDefault="00252C80">
            <w:pPr>
              <w:pStyle w:val="NormalWeb"/>
            </w:pPr>
            <w:r w:rsidRPr="00252C80">
              <w:t>2007</w:t>
            </w:r>
          </w:p>
        </w:tc>
        <w:tc>
          <w:tcPr>
            <w:tcW w:w="0" w:type="auto"/>
            <w:vAlign w:val="center"/>
            <w:hideMark/>
          </w:tcPr>
          <w:p w:rsidR="005F50E3" w:rsidRPr="00252C80" w:rsidRDefault="00252C80">
            <w:pPr>
              <w:pStyle w:val="NormalWeb"/>
            </w:pPr>
            <w:r w:rsidRPr="00252C80">
              <w:t>132703,4</w:t>
            </w:r>
          </w:p>
        </w:tc>
        <w:tc>
          <w:tcPr>
            <w:tcW w:w="0" w:type="auto"/>
            <w:vAlign w:val="center"/>
            <w:hideMark/>
          </w:tcPr>
          <w:p w:rsidR="005F50E3" w:rsidRPr="00252C80" w:rsidRDefault="00252C80">
            <w:pPr>
              <w:pStyle w:val="NormalWeb"/>
            </w:pPr>
            <w:r w:rsidRPr="00252C80">
              <w:t>54769,4</w:t>
            </w:r>
          </w:p>
        </w:tc>
        <w:tc>
          <w:tcPr>
            <w:tcW w:w="0" w:type="auto"/>
            <w:vAlign w:val="center"/>
            <w:hideMark/>
          </w:tcPr>
          <w:p w:rsidR="005F50E3" w:rsidRPr="00252C80" w:rsidRDefault="00252C80">
            <w:pPr>
              <w:pStyle w:val="NormalWeb"/>
            </w:pPr>
            <w:r w:rsidRPr="00252C80">
              <w:t>77934,0</w:t>
            </w:r>
          </w:p>
        </w:tc>
        <w:tc>
          <w:tcPr>
            <w:tcW w:w="0" w:type="auto"/>
            <w:vAlign w:val="center"/>
            <w:hideMark/>
          </w:tcPr>
          <w:p w:rsidR="005F50E3" w:rsidRPr="00252C80" w:rsidRDefault="00252C80">
            <w:pPr>
              <w:pStyle w:val="NormalWeb"/>
            </w:pPr>
            <w:r w:rsidRPr="00252C80">
              <w:t>2,22</w:t>
            </w:r>
          </w:p>
        </w:tc>
        <w:tc>
          <w:tcPr>
            <w:tcW w:w="0" w:type="auto"/>
            <w:vAlign w:val="center"/>
            <w:hideMark/>
          </w:tcPr>
          <w:p w:rsidR="005F50E3" w:rsidRPr="00252C80" w:rsidRDefault="00252C80">
            <w:pPr>
              <w:pStyle w:val="NormalWeb"/>
            </w:pPr>
            <w:r w:rsidRPr="00252C80">
              <w:t>0,40</w:t>
            </w:r>
          </w:p>
        </w:tc>
      </w:tr>
    </w:tbl>
    <w:p w:rsidR="005F50E3" w:rsidRDefault="005F50E3">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tblGrid>
      <w:tr w:rsidR="005F50E3">
        <w:trPr>
          <w:tblCellSpacing w:w="15" w:type="dxa"/>
        </w:trPr>
        <w:tc>
          <w:tcPr>
            <w:tcW w:w="0" w:type="auto"/>
            <w:vAlign w:val="center"/>
            <w:hideMark/>
          </w:tcPr>
          <w:p w:rsidR="005F50E3" w:rsidRPr="00252C80" w:rsidRDefault="00252C80">
            <w:pPr>
              <w:pStyle w:val="NormalWeb"/>
            </w:pPr>
            <w:r w:rsidRPr="00252C80">
              <w:t>2008</w:t>
            </w:r>
          </w:p>
        </w:tc>
        <w:tc>
          <w:tcPr>
            <w:tcW w:w="0" w:type="auto"/>
            <w:vAlign w:val="center"/>
            <w:hideMark/>
          </w:tcPr>
          <w:p w:rsidR="005F50E3" w:rsidRPr="00252C80" w:rsidRDefault="00252C80">
            <w:pPr>
              <w:pStyle w:val="NormalWeb"/>
            </w:pPr>
            <w:r w:rsidRPr="00252C80">
              <w:t>162115,9</w:t>
            </w:r>
          </w:p>
        </w:tc>
        <w:tc>
          <w:tcPr>
            <w:tcW w:w="0" w:type="auto"/>
            <w:vAlign w:val="center"/>
            <w:hideMark/>
          </w:tcPr>
          <w:p w:rsidR="005F50E3" w:rsidRPr="00252C80" w:rsidRDefault="00252C80">
            <w:pPr>
              <w:pStyle w:val="NormalWeb"/>
            </w:pPr>
            <w:r w:rsidRPr="00252C80">
              <w:t>69735,8</w:t>
            </w:r>
          </w:p>
        </w:tc>
        <w:tc>
          <w:tcPr>
            <w:tcW w:w="0" w:type="auto"/>
            <w:vAlign w:val="center"/>
            <w:hideMark/>
          </w:tcPr>
          <w:p w:rsidR="005F50E3" w:rsidRPr="00252C80" w:rsidRDefault="00252C80">
            <w:pPr>
              <w:pStyle w:val="NormalWeb"/>
            </w:pPr>
            <w:r w:rsidRPr="00252C80">
              <w:t>92380,1</w:t>
            </w:r>
          </w:p>
        </w:tc>
        <w:tc>
          <w:tcPr>
            <w:tcW w:w="0" w:type="auto"/>
            <w:vAlign w:val="center"/>
            <w:hideMark/>
          </w:tcPr>
          <w:p w:rsidR="005F50E3" w:rsidRPr="00252C80" w:rsidRDefault="00252C80">
            <w:pPr>
              <w:pStyle w:val="NormalWeb"/>
            </w:pPr>
            <w:r w:rsidRPr="00252C80">
              <w:t>2,14</w:t>
            </w:r>
          </w:p>
        </w:tc>
        <w:tc>
          <w:tcPr>
            <w:tcW w:w="0" w:type="auto"/>
            <w:vAlign w:val="center"/>
            <w:hideMark/>
          </w:tcPr>
          <w:p w:rsidR="005F50E3" w:rsidRPr="00252C80" w:rsidRDefault="00252C80">
            <w:pPr>
              <w:pStyle w:val="NormalWeb"/>
            </w:pPr>
            <w:r w:rsidRPr="00252C80">
              <w:t>0,39</w:t>
            </w:r>
          </w:p>
        </w:tc>
      </w:tr>
    </w:tbl>
    <w:p w:rsidR="005F50E3" w:rsidRPr="00252C80" w:rsidRDefault="00252C80">
      <w:pPr>
        <w:pStyle w:val="NormalWeb"/>
      </w:pPr>
      <w:r>
        <w:t>Рис 6. Финансирование науки из средств федерального бюджета</w:t>
      </w:r>
    </w:p>
    <w:p w:rsidR="005F50E3" w:rsidRDefault="00252C80">
      <w:pPr>
        <w:pStyle w:val="NormalWeb"/>
      </w:pPr>
      <w:r>
        <w:t>На данном графике, мы видим, что объем финансирования инновационной деятельности из средств федерального бюджета Российской Федерации неуклонно возрастал в период с 2000 по 2008 года. В абсолютном измерении этот прирост составил 144719,5 млн. руб., т.е. объем финансирования за 8 лет вырос более, чем в 9 раз. Причем финансирование инновационной деятельности заметно увеличилось с 2004 года. С 2000 по 2004 год финансирование фундаментальных и прикладных исследований осуществлялось примерно в равном объем. А с 2004 года финансирование затрат на прикладные исследования стало опережать аналогичное финансирование на фундаментальные. Что касается финансирования инновационной деятельности в процентном отношении к расходам федерального бюджета, то оно возросло с 1,69% до 2,14%. В целом прослеживается положительная динамика финансирования инновационной деятельности, что дает положительные прогнозы на поддержание такой же тенденции в будущем.</w:t>
      </w:r>
    </w:p>
    <w:p w:rsidR="005F50E3" w:rsidRDefault="00252C80">
      <w:pPr>
        <w:pStyle w:val="NormalWeb"/>
      </w:pPr>
      <w:r>
        <w:rPr>
          <w:b/>
          <w:bCs/>
        </w:rPr>
        <w:t>Таблица 2. Внутренние затраты на научные исследования и разработки</w:t>
      </w:r>
      <w:bookmarkStart w:id="14" w:name="_ftnref15"/>
      <w:r>
        <w:rPr>
          <w:b/>
          <w:bCs/>
        </w:rPr>
        <w:fldChar w:fldCharType="begin"/>
      </w:r>
      <w:r>
        <w:rPr>
          <w:b/>
          <w:bCs/>
        </w:rPr>
        <w:instrText xml:space="preserve"> HYPERLINK "" \l "_ftn15" </w:instrText>
      </w:r>
      <w:r>
        <w:rPr>
          <w:b/>
          <w:bCs/>
        </w:rPr>
        <w:fldChar w:fldCharType="separate"/>
      </w:r>
      <w:r>
        <w:rPr>
          <w:rStyle w:val="Hyperlink"/>
          <w:b/>
          <w:bCs/>
        </w:rPr>
        <w:t xml:space="preserve">[15] </w:t>
      </w:r>
      <w:r>
        <w:rPr>
          <w:b/>
          <w:bCs/>
        </w:rPr>
        <w:fldChar w:fldCharType="end"/>
      </w:r>
      <w:bookmarkEnd w:id="14"/>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0"/>
        <w:gridCol w:w="120"/>
        <w:gridCol w:w="120"/>
        <w:gridCol w:w="120"/>
        <w:gridCol w:w="120"/>
        <w:gridCol w:w="120"/>
        <w:gridCol w:w="120"/>
        <w:gridCol w:w="120"/>
      </w:tblGrid>
      <w:tr w:rsidR="005F50E3">
        <w:trPr>
          <w:tblCellSpacing w:w="15" w:type="dxa"/>
        </w:trPr>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5F50E3" w:rsidRPr="00252C80" w:rsidRDefault="00252C80">
            <w:pPr>
              <w:pStyle w:val="NormalWeb"/>
            </w:pPr>
            <w:r w:rsidRPr="00252C80">
              <w:rPr>
                <w:b/>
                <w:bCs/>
              </w:rPr>
              <w:t>Внутренние текущие затраты</w:t>
            </w:r>
          </w:p>
          <w:p w:rsidR="005F50E3" w:rsidRPr="00252C80" w:rsidRDefault="00252C80">
            <w:pPr>
              <w:pStyle w:val="NormalWeb"/>
            </w:pPr>
            <w:r w:rsidRPr="00252C80">
              <w:rPr>
                <w:b/>
                <w:bCs/>
              </w:rPr>
              <w:t>на исследования и разработки- всего, млн. руб.</w:t>
            </w:r>
          </w:p>
        </w:tc>
      </w:tr>
      <w:tr w:rsidR="005F50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F50E3" w:rsidRPr="00252C80" w:rsidRDefault="00252C80">
            <w:pPr>
              <w:pStyle w:val="NormalWeb"/>
            </w:pPr>
            <w:r w:rsidRPr="00252C80">
              <w:t>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5F50E3" w:rsidRPr="00252C80" w:rsidRDefault="00252C80">
            <w:pPr>
              <w:pStyle w:val="NormalWeb"/>
            </w:pPr>
            <w:r w:rsidRPr="00252C80">
              <w:t>в том числе по видам работ</w:t>
            </w:r>
          </w:p>
        </w:tc>
        <w:tc>
          <w:tcPr>
            <w:tcW w:w="0" w:type="auto"/>
            <w:vAlign w:val="center"/>
            <w:hideMark/>
          </w:tcPr>
          <w:p w:rsidR="005F50E3" w:rsidRDefault="005F50E3">
            <w:pPr>
              <w:rPr>
                <w:sz w:val="20"/>
                <w:szCs w:val="20"/>
              </w:rPr>
            </w:pPr>
          </w:p>
        </w:tc>
        <w:tc>
          <w:tcPr>
            <w:tcW w:w="0" w:type="auto"/>
            <w:vAlign w:val="center"/>
            <w:hideMark/>
          </w:tcPr>
          <w:p w:rsidR="005F50E3" w:rsidRDefault="005F50E3">
            <w:pPr>
              <w:rPr>
                <w:sz w:val="20"/>
                <w:szCs w:val="20"/>
              </w:rPr>
            </w:pPr>
          </w:p>
        </w:tc>
        <w:tc>
          <w:tcPr>
            <w:tcW w:w="0" w:type="auto"/>
            <w:vAlign w:val="center"/>
            <w:hideMark/>
          </w:tcPr>
          <w:p w:rsidR="005F50E3" w:rsidRDefault="005F50E3">
            <w:pPr>
              <w:rPr>
                <w:sz w:val="20"/>
                <w:szCs w:val="20"/>
              </w:rPr>
            </w:pPr>
          </w:p>
        </w:tc>
        <w:tc>
          <w:tcPr>
            <w:tcW w:w="0" w:type="auto"/>
            <w:vAlign w:val="center"/>
            <w:hideMark/>
          </w:tcPr>
          <w:p w:rsidR="005F50E3" w:rsidRDefault="005F50E3">
            <w:pPr>
              <w:rPr>
                <w:sz w:val="20"/>
                <w:szCs w:val="20"/>
              </w:rPr>
            </w:pPr>
          </w:p>
        </w:tc>
        <w:tc>
          <w:tcPr>
            <w:tcW w:w="0" w:type="auto"/>
            <w:vAlign w:val="center"/>
            <w:hideMark/>
          </w:tcPr>
          <w:p w:rsidR="005F50E3" w:rsidRDefault="005F50E3">
            <w:pPr>
              <w:rPr>
                <w:sz w:val="20"/>
                <w:szCs w:val="20"/>
              </w:rPr>
            </w:pPr>
          </w:p>
        </w:tc>
        <w:tc>
          <w:tcPr>
            <w:tcW w:w="0" w:type="auto"/>
            <w:vAlign w:val="center"/>
            <w:hideMark/>
          </w:tcPr>
          <w:p w:rsidR="005F50E3" w:rsidRDefault="005F50E3">
            <w:pPr>
              <w:rPr>
                <w:sz w:val="20"/>
                <w:szCs w:val="20"/>
              </w:rPr>
            </w:pPr>
          </w:p>
        </w:tc>
      </w:tr>
      <w:tr w:rsidR="005F50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F50E3" w:rsidRPr="00252C80" w:rsidRDefault="00252C80">
            <w:pPr>
              <w:pStyle w:val="NormalWeb"/>
            </w:pPr>
            <w:r w:rsidRPr="00252C80">
              <w:t>фундаментальные исследования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50E3" w:rsidRPr="00252C80" w:rsidRDefault="00252C80">
            <w:pPr>
              <w:pStyle w:val="NormalWeb"/>
            </w:pPr>
            <w:r w:rsidRPr="00252C80">
              <w:t>прикладные исследования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F50E3" w:rsidRPr="00252C80" w:rsidRDefault="00252C80">
            <w:pPr>
              <w:pStyle w:val="NormalWeb"/>
            </w:pPr>
            <w:r w:rsidRPr="00252C80">
              <w:t>разработки</w:t>
            </w:r>
          </w:p>
        </w:tc>
        <w:tc>
          <w:tcPr>
            <w:tcW w:w="0" w:type="auto"/>
            <w:vAlign w:val="center"/>
            <w:hideMark/>
          </w:tcPr>
          <w:p w:rsidR="005F50E3" w:rsidRDefault="005F50E3">
            <w:pPr>
              <w:rPr>
                <w:sz w:val="20"/>
                <w:szCs w:val="20"/>
              </w:rPr>
            </w:pPr>
          </w:p>
        </w:tc>
        <w:tc>
          <w:tcPr>
            <w:tcW w:w="0" w:type="auto"/>
            <w:vAlign w:val="center"/>
            <w:hideMark/>
          </w:tcPr>
          <w:p w:rsidR="005F50E3" w:rsidRDefault="005F50E3">
            <w:pPr>
              <w:rPr>
                <w:sz w:val="20"/>
                <w:szCs w:val="20"/>
              </w:rPr>
            </w:pPr>
          </w:p>
        </w:tc>
        <w:tc>
          <w:tcPr>
            <w:tcW w:w="0" w:type="auto"/>
            <w:vAlign w:val="center"/>
            <w:hideMark/>
          </w:tcPr>
          <w:p w:rsidR="005F50E3" w:rsidRDefault="005F50E3">
            <w:pPr>
              <w:rPr>
                <w:sz w:val="20"/>
                <w:szCs w:val="20"/>
              </w:rPr>
            </w:pPr>
          </w:p>
        </w:tc>
        <w:tc>
          <w:tcPr>
            <w:tcW w:w="0" w:type="auto"/>
            <w:vAlign w:val="center"/>
            <w:hideMark/>
          </w:tcPr>
          <w:p w:rsidR="005F50E3" w:rsidRDefault="005F50E3">
            <w:pPr>
              <w:rPr>
                <w:sz w:val="20"/>
                <w:szCs w:val="20"/>
              </w:rPr>
            </w:pPr>
          </w:p>
        </w:tc>
        <w:tc>
          <w:tcPr>
            <w:tcW w:w="0" w:type="auto"/>
            <w:vAlign w:val="center"/>
            <w:hideMark/>
          </w:tcPr>
          <w:p w:rsidR="005F50E3" w:rsidRDefault="005F50E3">
            <w:pPr>
              <w:rPr>
                <w:sz w:val="20"/>
                <w:szCs w:val="20"/>
              </w:rPr>
            </w:pPr>
          </w:p>
        </w:tc>
      </w:tr>
    </w:tbl>
    <w:p w:rsidR="005F50E3" w:rsidRDefault="005F50E3">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tblGrid>
      <w:tr w:rsidR="005F50E3">
        <w:trPr>
          <w:tblCellSpacing w:w="15" w:type="dxa"/>
        </w:trPr>
        <w:tc>
          <w:tcPr>
            <w:tcW w:w="0" w:type="auto"/>
            <w:vAlign w:val="center"/>
            <w:hideMark/>
          </w:tcPr>
          <w:p w:rsidR="005F50E3" w:rsidRPr="00252C80" w:rsidRDefault="00252C80">
            <w:pPr>
              <w:pStyle w:val="NormalWeb"/>
            </w:pPr>
            <w:r w:rsidRPr="00252C80">
              <w:t>2000</w:t>
            </w:r>
          </w:p>
        </w:tc>
        <w:tc>
          <w:tcPr>
            <w:tcW w:w="0" w:type="auto"/>
            <w:vAlign w:val="center"/>
            <w:hideMark/>
          </w:tcPr>
          <w:p w:rsidR="005F50E3" w:rsidRPr="00252C80" w:rsidRDefault="00252C80">
            <w:pPr>
              <w:pStyle w:val="NormalWeb"/>
            </w:pPr>
            <w:r w:rsidRPr="00252C80">
              <w:t>73873,3</w:t>
            </w:r>
          </w:p>
        </w:tc>
        <w:tc>
          <w:tcPr>
            <w:tcW w:w="0" w:type="auto"/>
            <w:vAlign w:val="center"/>
            <w:hideMark/>
          </w:tcPr>
          <w:p w:rsidR="005F50E3" w:rsidRPr="00252C80" w:rsidRDefault="00252C80">
            <w:pPr>
              <w:pStyle w:val="NormalWeb"/>
            </w:pPr>
            <w:r w:rsidRPr="00252C80">
              <w:t>9875,7</w:t>
            </w:r>
          </w:p>
        </w:tc>
        <w:tc>
          <w:tcPr>
            <w:tcW w:w="0" w:type="auto"/>
            <w:vAlign w:val="center"/>
            <w:hideMark/>
          </w:tcPr>
          <w:p w:rsidR="005F50E3" w:rsidRPr="00252C80" w:rsidRDefault="00252C80">
            <w:pPr>
              <w:pStyle w:val="NormalWeb"/>
            </w:pPr>
            <w:r w:rsidRPr="00252C80">
              <w:t>12117,5</w:t>
            </w:r>
          </w:p>
        </w:tc>
        <w:tc>
          <w:tcPr>
            <w:tcW w:w="0" w:type="auto"/>
            <w:vAlign w:val="center"/>
            <w:hideMark/>
          </w:tcPr>
          <w:p w:rsidR="005F50E3" w:rsidRPr="00252C80" w:rsidRDefault="00252C80">
            <w:pPr>
              <w:pStyle w:val="NormalWeb"/>
            </w:pPr>
            <w:r w:rsidRPr="00252C80">
              <w:t>51880,2</w:t>
            </w:r>
          </w:p>
        </w:tc>
      </w:tr>
    </w:tbl>
    <w:p w:rsidR="005F50E3" w:rsidRDefault="005F50E3">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tblGrid>
      <w:tr w:rsidR="005F50E3">
        <w:trPr>
          <w:tblCellSpacing w:w="15" w:type="dxa"/>
        </w:trPr>
        <w:tc>
          <w:tcPr>
            <w:tcW w:w="0" w:type="auto"/>
            <w:vAlign w:val="center"/>
            <w:hideMark/>
          </w:tcPr>
          <w:p w:rsidR="005F50E3" w:rsidRPr="00252C80" w:rsidRDefault="00252C80">
            <w:pPr>
              <w:pStyle w:val="NormalWeb"/>
            </w:pPr>
            <w:r w:rsidRPr="00252C80">
              <w:t>2001</w:t>
            </w:r>
          </w:p>
        </w:tc>
        <w:tc>
          <w:tcPr>
            <w:tcW w:w="0" w:type="auto"/>
            <w:vAlign w:val="center"/>
            <w:hideMark/>
          </w:tcPr>
          <w:p w:rsidR="005F50E3" w:rsidRPr="00252C80" w:rsidRDefault="00252C80">
            <w:pPr>
              <w:pStyle w:val="NormalWeb"/>
            </w:pPr>
            <w:r w:rsidRPr="00252C80">
              <w:t>100507,4</w:t>
            </w:r>
          </w:p>
        </w:tc>
        <w:tc>
          <w:tcPr>
            <w:tcW w:w="0" w:type="auto"/>
            <w:vAlign w:val="center"/>
            <w:hideMark/>
          </w:tcPr>
          <w:p w:rsidR="005F50E3" w:rsidRPr="00252C80" w:rsidRDefault="00252C80">
            <w:pPr>
              <w:pStyle w:val="NormalWeb"/>
            </w:pPr>
            <w:r w:rsidRPr="00252C80">
              <w:t>13940,8</w:t>
            </w:r>
          </w:p>
        </w:tc>
        <w:tc>
          <w:tcPr>
            <w:tcW w:w="0" w:type="auto"/>
            <w:vAlign w:val="center"/>
            <w:hideMark/>
          </w:tcPr>
          <w:p w:rsidR="005F50E3" w:rsidRPr="00252C80" w:rsidRDefault="00252C80">
            <w:pPr>
              <w:pStyle w:val="NormalWeb"/>
            </w:pPr>
            <w:r w:rsidRPr="00252C80">
              <w:t>16506,1</w:t>
            </w:r>
          </w:p>
        </w:tc>
        <w:tc>
          <w:tcPr>
            <w:tcW w:w="0" w:type="auto"/>
            <w:vAlign w:val="center"/>
            <w:hideMark/>
          </w:tcPr>
          <w:p w:rsidR="005F50E3" w:rsidRPr="00252C80" w:rsidRDefault="00252C80">
            <w:pPr>
              <w:pStyle w:val="NormalWeb"/>
            </w:pPr>
            <w:r w:rsidRPr="00252C80">
              <w:t>70060,5</w:t>
            </w:r>
          </w:p>
        </w:tc>
      </w:tr>
    </w:tbl>
    <w:p w:rsidR="005F50E3" w:rsidRDefault="005F50E3">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tblGrid>
      <w:tr w:rsidR="005F50E3">
        <w:trPr>
          <w:tblCellSpacing w:w="15" w:type="dxa"/>
        </w:trPr>
        <w:tc>
          <w:tcPr>
            <w:tcW w:w="0" w:type="auto"/>
            <w:vAlign w:val="center"/>
            <w:hideMark/>
          </w:tcPr>
          <w:p w:rsidR="005F50E3" w:rsidRPr="00252C80" w:rsidRDefault="00252C80">
            <w:pPr>
              <w:pStyle w:val="NormalWeb"/>
            </w:pPr>
            <w:r w:rsidRPr="00252C80">
              <w:t>2002</w:t>
            </w:r>
          </w:p>
        </w:tc>
        <w:tc>
          <w:tcPr>
            <w:tcW w:w="0" w:type="auto"/>
            <w:vAlign w:val="center"/>
            <w:hideMark/>
          </w:tcPr>
          <w:p w:rsidR="005F50E3" w:rsidRPr="00252C80" w:rsidRDefault="00252C80">
            <w:pPr>
              <w:pStyle w:val="NormalWeb"/>
            </w:pPr>
            <w:r w:rsidRPr="00252C80">
              <w:t>128243,3</w:t>
            </w:r>
          </w:p>
        </w:tc>
        <w:tc>
          <w:tcPr>
            <w:tcW w:w="0" w:type="auto"/>
            <w:vAlign w:val="center"/>
            <w:hideMark/>
          </w:tcPr>
          <w:p w:rsidR="005F50E3" w:rsidRPr="00252C80" w:rsidRDefault="00252C80">
            <w:pPr>
              <w:pStyle w:val="NormalWeb"/>
            </w:pPr>
            <w:r w:rsidRPr="00252C80">
              <w:t>18778,0</w:t>
            </w:r>
          </w:p>
        </w:tc>
        <w:tc>
          <w:tcPr>
            <w:tcW w:w="0" w:type="auto"/>
            <w:vAlign w:val="center"/>
            <w:hideMark/>
          </w:tcPr>
          <w:p w:rsidR="005F50E3" w:rsidRPr="00252C80" w:rsidRDefault="00252C80">
            <w:pPr>
              <w:pStyle w:val="NormalWeb"/>
            </w:pPr>
            <w:r w:rsidRPr="00252C80">
              <w:t>20454,3</w:t>
            </w:r>
          </w:p>
        </w:tc>
        <w:tc>
          <w:tcPr>
            <w:tcW w:w="0" w:type="auto"/>
            <w:vAlign w:val="center"/>
            <w:hideMark/>
          </w:tcPr>
          <w:p w:rsidR="005F50E3" w:rsidRPr="00252C80" w:rsidRDefault="00252C80">
            <w:pPr>
              <w:pStyle w:val="NormalWeb"/>
            </w:pPr>
            <w:r w:rsidRPr="00252C80">
              <w:t>89011,0</w:t>
            </w:r>
          </w:p>
        </w:tc>
      </w:tr>
    </w:tbl>
    <w:p w:rsidR="005F50E3" w:rsidRDefault="005F50E3">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tblGrid>
      <w:tr w:rsidR="005F50E3">
        <w:trPr>
          <w:tblCellSpacing w:w="15" w:type="dxa"/>
        </w:trPr>
        <w:tc>
          <w:tcPr>
            <w:tcW w:w="0" w:type="auto"/>
            <w:vAlign w:val="center"/>
            <w:hideMark/>
          </w:tcPr>
          <w:p w:rsidR="005F50E3" w:rsidRPr="00252C80" w:rsidRDefault="00252C80">
            <w:pPr>
              <w:pStyle w:val="NormalWeb"/>
            </w:pPr>
            <w:r w:rsidRPr="00252C80">
              <w:t>2003</w:t>
            </w:r>
          </w:p>
        </w:tc>
        <w:tc>
          <w:tcPr>
            <w:tcW w:w="0" w:type="auto"/>
            <w:vAlign w:val="center"/>
            <w:hideMark/>
          </w:tcPr>
          <w:p w:rsidR="005F50E3" w:rsidRPr="00252C80" w:rsidRDefault="00252C80">
            <w:pPr>
              <w:pStyle w:val="NormalWeb"/>
            </w:pPr>
            <w:r w:rsidRPr="00252C80">
              <w:t>161202,7</w:t>
            </w:r>
          </w:p>
        </w:tc>
        <w:tc>
          <w:tcPr>
            <w:tcW w:w="0" w:type="auto"/>
            <w:vAlign w:val="center"/>
            <w:hideMark/>
          </w:tcPr>
          <w:p w:rsidR="005F50E3" w:rsidRPr="00252C80" w:rsidRDefault="00252C80">
            <w:pPr>
              <w:pStyle w:val="NormalWeb"/>
            </w:pPr>
            <w:r w:rsidRPr="00252C80">
              <w:t>24297,7</w:t>
            </w:r>
          </w:p>
        </w:tc>
        <w:tc>
          <w:tcPr>
            <w:tcW w:w="0" w:type="auto"/>
            <w:vAlign w:val="center"/>
            <w:hideMark/>
          </w:tcPr>
          <w:p w:rsidR="005F50E3" w:rsidRPr="00252C80" w:rsidRDefault="00252C80">
            <w:pPr>
              <w:pStyle w:val="NormalWeb"/>
            </w:pPr>
            <w:r w:rsidRPr="00252C80">
              <w:t>25075,4</w:t>
            </w:r>
          </w:p>
        </w:tc>
        <w:tc>
          <w:tcPr>
            <w:tcW w:w="0" w:type="auto"/>
            <w:vAlign w:val="center"/>
            <w:hideMark/>
          </w:tcPr>
          <w:p w:rsidR="005F50E3" w:rsidRPr="00252C80" w:rsidRDefault="00252C80">
            <w:pPr>
              <w:pStyle w:val="NormalWeb"/>
            </w:pPr>
            <w:r w:rsidRPr="00252C80">
              <w:t>111829,6</w:t>
            </w:r>
          </w:p>
        </w:tc>
      </w:tr>
    </w:tbl>
    <w:p w:rsidR="005F50E3" w:rsidRDefault="005F50E3">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tblGrid>
      <w:tr w:rsidR="005F50E3">
        <w:trPr>
          <w:tblCellSpacing w:w="15" w:type="dxa"/>
        </w:trPr>
        <w:tc>
          <w:tcPr>
            <w:tcW w:w="0" w:type="auto"/>
            <w:vAlign w:val="center"/>
            <w:hideMark/>
          </w:tcPr>
          <w:p w:rsidR="005F50E3" w:rsidRPr="00252C80" w:rsidRDefault="00252C80">
            <w:pPr>
              <w:pStyle w:val="NormalWeb"/>
            </w:pPr>
            <w:r w:rsidRPr="00252C80">
              <w:t>2004</w:t>
            </w:r>
          </w:p>
        </w:tc>
        <w:tc>
          <w:tcPr>
            <w:tcW w:w="0" w:type="auto"/>
            <w:vAlign w:val="center"/>
            <w:hideMark/>
          </w:tcPr>
          <w:p w:rsidR="005F50E3" w:rsidRPr="00252C80" w:rsidRDefault="00252C80">
            <w:pPr>
              <w:pStyle w:val="NormalWeb"/>
            </w:pPr>
            <w:r w:rsidRPr="00252C80">
              <w:t>187210,5</w:t>
            </w:r>
          </w:p>
        </w:tc>
        <w:tc>
          <w:tcPr>
            <w:tcW w:w="0" w:type="auto"/>
            <w:vAlign w:val="center"/>
            <w:hideMark/>
          </w:tcPr>
          <w:p w:rsidR="005F50E3" w:rsidRPr="00252C80" w:rsidRDefault="00252C80">
            <w:pPr>
              <w:pStyle w:val="NormalWeb"/>
            </w:pPr>
            <w:r w:rsidRPr="00252C80">
              <w:t>26495,9</w:t>
            </w:r>
          </w:p>
        </w:tc>
        <w:tc>
          <w:tcPr>
            <w:tcW w:w="0" w:type="auto"/>
            <w:vAlign w:val="center"/>
            <w:hideMark/>
          </w:tcPr>
          <w:p w:rsidR="005F50E3" w:rsidRPr="00252C80" w:rsidRDefault="00252C80">
            <w:pPr>
              <w:pStyle w:val="NormalWeb"/>
            </w:pPr>
            <w:r w:rsidRPr="00252C80">
              <w:t>30811,6</w:t>
            </w:r>
          </w:p>
        </w:tc>
        <w:tc>
          <w:tcPr>
            <w:tcW w:w="0" w:type="auto"/>
            <w:vAlign w:val="center"/>
            <w:hideMark/>
          </w:tcPr>
          <w:p w:rsidR="005F50E3" w:rsidRPr="00252C80" w:rsidRDefault="00252C80">
            <w:pPr>
              <w:pStyle w:val="NormalWeb"/>
            </w:pPr>
            <w:r w:rsidRPr="00252C80">
              <w:t>129903,0</w:t>
            </w:r>
          </w:p>
        </w:tc>
      </w:tr>
    </w:tbl>
    <w:p w:rsidR="005F50E3" w:rsidRDefault="005F50E3">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tblGrid>
      <w:tr w:rsidR="005F50E3">
        <w:trPr>
          <w:tblCellSpacing w:w="15" w:type="dxa"/>
        </w:trPr>
        <w:tc>
          <w:tcPr>
            <w:tcW w:w="0" w:type="auto"/>
            <w:vAlign w:val="center"/>
            <w:hideMark/>
          </w:tcPr>
          <w:p w:rsidR="005F50E3" w:rsidRPr="00252C80" w:rsidRDefault="00252C80">
            <w:pPr>
              <w:pStyle w:val="NormalWeb"/>
            </w:pPr>
            <w:r w:rsidRPr="00252C80">
              <w:t>2005</w:t>
            </w:r>
          </w:p>
        </w:tc>
        <w:tc>
          <w:tcPr>
            <w:tcW w:w="0" w:type="auto"/>
            <w:vAlign w:val="center"/>
            <w:hideMark/>
          </w:tcPr>
          <w:p w:rsidR="005F50E3" w:rsidRPr="00252C80" w:rsidRDefault="00252C80">
            <w:pPr>
              <w:pStyle w:val="NormalWeb"/>
            </w:pPr>
            <w:r w:rsidRPr="00252C80">
              <w:t>221119,5</w:t>
            </w:r>
          </w:p>
        </w:tc>
        <w:tc>
          <w:tcPr>
            <w:tcW w:w="0" w:type="auto"/>
            <w:vAlign w:val="center"/>
            <w:hideMark/>
          </w:tcPr>
          <w:p w:rsidR="005F50E3" w:rsidRPr="00252C80" w:rsidRDefault="00252C80">
            <w:pPr>
              <w:pStyle w:val="NormalWeb"/>
            </w:pPr>
            <w:r w:rsidRPr="00252C80">
              <w:t>31022,9</w:t>
            </w:r>
          </w:p>
        </w:tc>
        <w:tc>
          <w:tcPr>
            <w:tcW w:w="0" w:type="auto"/>
            <w:vAlign w:val="center"/>
            <w:hideMark/>
          </w:tcPr>
          <w:p w:rsidR="005F50E3" w:rsidRPr="00252C80" w:rsidRDefault="00252C80">
            <w:pPr>
              <w:pStyle w:val="NormalWeb"/>
            </w:pPr>
            <w:r w:rsidRPr="00252C80">
              <w:t>36360,2</w:t>
            </w:r>
          </w:p>
        </w:tc>
        <w:tc>
          <w:tcPr>
            <w:tcW w:w="0" w:type="auto"/>
            <w:vAlign w:val="center"/>
            <w:hideMark/>
          </w:tcPr>
          <w:p w:rsidR="005F50E3" w:rsidRPr="00252C80" w:rsidRDefault="00252C80">
            <w:pPr>
              <w:pStyle w:val="NormalWeb"/>
            </w:pPr>
            <w:r w:rsidRPr="00252C80">
              <w:t>153736,4</w:t>
            </w:r>
          </w:p>
        </w:tc>
      </w:tr>
    </w:tbl>
    <w:p w:rsidR="005F50E3" w:rsidRDefault="005F50E3">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tblGrid>
      <w:tr w:rsidR="005F50E3">
        <w:trPr>
          <w:tblCellSpacing w:w="15" w:type="dxa"/>
        </w:trPr>
        <w:tc>
          <w:tcPr>
            <w:tcW w:w="0" w:type="auto"/>
            <w:vAlign w:val="center"/>
            <w:hideMark/>
          </w:tcPr>
          <w:p w:rsidR="005F50E3" w:rsidRPr="00252C80" w:rsidRDefault="00252C80">
            <w:pPr>
              <w:pStyle w:val="NormalWeb"/>
            </w:pPr>
            <w:r w:rsidRPr="00252C80">
              <w:t>2006</w:t>
            </w:r>
          </w:p>
        </w:tc>
        <w:tc>
          <w:tcPr>
            <w:tcW w:w="0" w:type="auto"/>
            <w:vAlign w:val="center"/>
            <w:hideMark/>
          </w:tcPr>
          <w:p w:rsidR="005F50E3" w:rsidRPr="00252C80" w:rsidRDefault="00252C80">
            <w:pPr>
              <w:pStyle w:val="NormalWeb"/>
            </w:pPr>
            <w:r w:rsidRPr="00252C80">
              <w:t>277784,8</w:t>
            </w:r>
          </w:p>
        </w:tc>
        <w:tc>
          <w:tcPr>
            <w:tcW w:w="0" w:type="auto"/>
            <w:vAlign w:val="center"/>
            <w:hideMark/>
          </w:tcPr>
          <w:p w:rsidR="005F50E3" w:rsidRPr="00252C80" w:rsidRDefault="00252C80">
            <w:pPr>
              <w:pStyle w:val="NormalWeb"/>
            </w:pPr>
            <w:r w:rsidRPr="00252C80">
              <w:t>42707,5</w:t>
            </w:r>
          </w:p>
        </w:tc>
        <w:tc>
          <w:tcPr>
            <w:tcW w:w="0" w:type="auto"/>
            <w:vAlign w:val="center"/>
            <w:hideMark/>
          </w:tcPr>
          <w:p w:rsidR="005F50E3" w:rsidRPr="00252C80" w:rsidRDefault="00252C80">
            <w:pPr>
              <w:pStyle w:val="NormalWeb"/>
            </w:pPr>
            <w:r w:rsidRPr="00252C80">
              <w:t>42459,1</w:t>
            </w:r>
          </w:p>
        </w:tc>
        <w:tc>
          <w:tcPr>
            <w:tcW w:w="0" w:type="auto"/>
            <w:vAlign w:val="center"/>
            <w:hideMark/>
          </w:tcPr>
          <w:p w:rsidR="005F50E3" w:rsidRPr="00252C80" w:rsidRDefault="00252C80">
            <w:pPr>
              <w:pStyle w:val="NormalWeb"/>
            </w:pPr>
            <w:r w:rsidRPr="00252C80">
              <w:t>192618,1</w:t>
            </w:r>
          </w:p>
        </w:tc>
      </w:tr>
    </w:tbl>
    <w:p w:rsidR="005F50E3" w:rsidRDefault="005F50E3">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tblGrid>
      <w:tr w:rsidR="005F50E3">
        <w:trPr>
          <w:tblCellSpacing w:w="15" w:type="dxa"/>
        </w:trPr>
        <w:tc>
          <w:tcPr>
            <w:tcW w:w="0" w:type="auto"/>
            <w:vAlign w:val="center"/>
            <w:hideMark/>
          </w:tcPr>
          <w:p w:rsidR="005F50E3" w:rsidRPr="00252C80" w:rsidRDefault="00252C80">
            <w:pPr>
              <w:pStyle w:val="NormalWeb"/>
            </w:pPr>
            <w:r w:rsidRPr="00252C80">
              <w:t>2007</w:t>
            </w:r>
          </w:p>
        </w:tc>
        <w:tc>
          <w:tcPr>
            <w:tcW w:w="0" w:type="auto"/>
            <w:vAlign w:val="center"/>
            <w:hideMark/>
          </w:tcPr>
          <w:p w:rsidR="005F50E3" w:rsidRPr="00252C80" w:rsidRDefault="00252C80">
            <w:pPr>
              <w:pStyle w:val="NormalWeb"/>
            </w:pPr>
            <w:r w:rsidRPr="00252C80">
              <w:t>352917,7</w:t>
            </w:r>
          </w:p>
        </w:tc>
        <w:tc>
          <w:tcPr>
            <w:tcW w:w="0" w:type="auto"/>
            <w:vAlign w:val="center"/>
            <w:hideMark/>
          </w:tcPr>
          <w:p w:rsidR="005F50E3" w:rsidRPr="00252C80" w:rsidRDefault="00252C80">
            <w:pPr>
              <w:pStyle w:val="NormalWeb"/>
            </w:pPr>
            <w:r w:rsidRPr="00252C80">
              <w:t>63590,4</w:t>
            </w:r>
          </w:p>
        </w:tc>
        <w:tc>
          <w:tcPr>
            <w:tcW w:w="0" w:type="auto"/>
            <w:vAlign w:val="center"/>
            <w:hideMark/>
          </w:tcPr>
          <w:p w:rsidR="005F50E3" w:rsidRPr="00252C80" w:rsidRDefault="00252C80">
            <w:pPr>
              <w:pStyle w:val="NormalWeb"/>
            </w:pPr>
            <w:r w:rsidRPr="00252C80">
              <w:t>54492,6</w:t>
            </w:r>
          </w:p>
        </w:tc>
        <w:tc>
          <w:tcPr>
            <w:tcW w:w="0" w:type="auto"/>
            <w:vAlign w:val="center"/>
            <w:hideMark/>
          </w:tcPr>
          <w:p w:rsidR="005F50E3" w:rsidRPr="00252C80" w:rsidRDefault="00252C80">
            <w:pPr>
              <w:pStyle w:val="NormalWeb"/>
            </w:pPr>
            <w:r w:rsidRPr="00252C80">
              <w:t>234834,7</w:t>
            </w:r>
          </w:p>
        </w:tc>
      </w:tr>
    </w:tbl>
    <w:p w:rsidR="005F50E3" w:rsidRDefault="005F50E3">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tblGrid>
      <w:tr w:rsidR="005F50E3">
        <w:trPr>
          <w:tblCellSpacing w:w="15" w:type="dxa"/>
        </w:trPr>
        <w:tc>
          <w:tcPr>
            <w:tcW w:w="0" w:type="auto"/>
            <w:vAlign w:val="center"/>
            <w:hideMark/>
          </w:tcPr>
          <w:p w:rsidR="005F50E3" w:rsidRPr="00252C80" w:rsidRDefault="00252C80">
            <w:pPr>
              <w:pStyle w:val="NormalWeb"/>
            </w:pPr>
            <w:r w:rsidRPr="00252C80">
              <w:t>2008</w:t>
            </w:r>
          </w:p>
        </w:tc>
        <w:tc>
          <w:tcPr>
            <w:tcW w:w="0" w:type="auto"/>
            <w:vAlign w:val="center"/>
            <w:hideMark/>
          </w:tcPr>
          <w:p w:rsidR="005F50E3" w:rsidRPr="00252C80" w:rsidRDefault="00252C80">
            <w:pPr>
              <w:pStyle w:val="NormalWeb"/>
            </w:pPr>
            <w:r w:rsidRPr="00252C80">
              <w:t>410865,0</w:t>
            </w:r>
          </w:p>
        </w:tc>
        <w:tc>
          <w:tcPr>
            <w:tcW w:w="0" w:type="auto"/>
            <w:vAlign w:val="center"/>
            <w:hideMark/>
          </w:tcPr>
          <w:p w:rsidR="005F50E3" w:rsidRPr="00252C80" w:rsidRDefault="00252C80">
            <w:pPr>
              <w:pStyle w:val="NormalWeb"/>
            </w:pPr>
            <w:r w:rsidRPr="00252C80">
              <w:t>77121,3</w:t>
            </w:r>
          </w:p>
        </w:tc>
        <w:tc>
          <w:tcPr>
            <w:tcW w:w="0" w:type="auto"/>
            <w:vAlign w:val="center"/>
            <w:hideMark/>
          </w:tcPr>
          <w:p w:rsidR="005F50E3" w:rsidRPr="00252C80" w:rsidRDefault="00252C80">
            <w:pPr>
              <w:pStyle w:val="NormalWeb"/>
            </w:pPr>
            <w:r w:rsidRPr="00252C80">
              <w:t>79885,8</w:t>
            </w:r>
          </w:p>
        </w:tc>
        <w:tc>
          <w:tcPr>
            <w:tcW w:w="0" w:type="auto"/>
            <w:vAlign w:val="center"/>
            <w:hideMark/>
          </w:tcPr>
          <w:p w:rsidR="005F50E3" w:rsidRPr="00252C80" w:rsidRDefault="00252C80">
            <w:pPr>
              <w:pStyle w:val="NormalWeb"/>
            </w:pPr>
            <w:r w:rsidRPr="00252C80">
              <w:t>253857,9</w:t>
            </w:r>
          </w:p>
        </w:tc>
      </w:tr>
    </w:tbl>
    <w:p w:rsidR="005F50E3" w:rsidRPr="00252C80" w:rsidRDefault="00252C80">
      <w:pPr>
        <w:pStyle w:val="NormalWeb"/>
      </w:pPr>
      <w:r>
        <w:t>Рис 7. Внутренние текущие затраты на исследования и разработки</w:t>
      </w:r>
    </w:p>
    <w:p w:rsidR="005F50E3" w:rsidRDefault="00252C80">
      <w:pPr>
        <w:pStyle w:val="NormalWeb"/>
      </w:pPr>
      <w:r>
        <w:t>Внутренние текущие затраты на исследования и разработки фирм и предприятий увеличились на 336991,7 млн. руб. (или в 5,5 раз) и составили 410865 млн. руб. Финансирование фундаментальных и прикладных исследований с 2000 по 2008 год происходило приблизительно на равном уровне и составляло 30%-38% от общего финансирования. На разработки же, приходится оставшаяся большая часть финансовых средств организации, предназначенная для этих целей (62%-70%). Можно сделать вывод о росте положительной тенденции уровня инновационной активности фирм и предприятий.</w:t>
      </w:r>
    </w:p>
    <w:p w:rsidR="005F50E3" w:rsidRDefault="00252C80">
      <w:pPr>
        <w:pStyle w:val="NormalWeb"/>
      </w:pPr>
      <w:r>
        <w:t>Если сравнивать объем финансирования инновационной деятельности из средств федерального бюджета и внутренние затраты предприятия на те же цели, то расходы предприятий за период с 2000 по 2004 гг. превышали бюджетные ассигнования в 4 раза. Потом же, поступление средств из федерального бюджета заметно возросло, и к 2008 году внутренние затраты предприятий стали уже больше всего в 2,5 раза.</w:t>
      </w:r>
    </w:p>
    <w:p w:rsidR="005F50E3" w:rsidRDefault="00252C80">
      <w:pPr>
        <w:pStyle w:val="NormalWeb"/>
      </w:pPr>
      <w:r>
        <w:rPr>
          <w:b/>
          <w:bCs/>
        </w:rPr>
        <w:t>3.4 Формы и пути совершенствования государственной поддержки малых инновационных предприятий</w:t>
      </w:r>
    </w:p>
    <w:p w:rsidR="005F50E3" w:rsidRDefault="00252C80">
      <w:pPr>
        <w:pStyle w:val="NormalWeb"/>
      </w:pPr>
      <w:r>
        <w:t>Основной целью государственного аппарата в процессе регулирования малого инновационного бизнеса должны стать аналитическая деятельность, формирование гибкой налоговой политики по приоритетным направлениям научной и внедренческой деятельности, обеспечение правовой, юридической и финансовой защиты МИП, т. е. создание необходимых условий для их стабильного развития.</w:t>
      </w:r>
    </w:p>
    <w:p w:rsidR="005F50E3" w:rsidRDefault="00252C80">
      <w:pPr>
        <w:pStyle w:val="NormalWeb"/>
      </w:pPr>
      <w:r>
        <w:t>Государство должно являться главным спонсором фундаментальных, оборонных и основных перспективных долгосрочных проектов, узаконив право и обязанность получателей средств из государственного бюджета привлекать на конкурсной основе для выполнения отдельных подпрограмм новые мелкие исследовательские организации, в том числе зарубежные.</w:t>
      </w:r>
    </w:p>
    <w:p w:rsidR="005F50E3" w:rsidRDefault="00252C80">
      <w:pPr>
        <w:pStyle w:val="NormalWeb"/>
      </w:pPr>
      <w:r>
        <w:t>Ядром государственной политики в области поддержки малого бизнеса может стать «Программа научно-технического развития новых организационно- экономических форм» со следующими разделами:</w:t>
      </w:r>
    </w:p>
    <w:p w:rsidR="005F50E3" w:rsidRDefault="00252C80">
      <w:pPr>
        <w:pStyle w:val="NormalWeb"/>
      </w:pPr>
      <w:r>
        <w:t>1. Разъяснение необходимости научно-технического развития новых организационно- экономических форм.</w:t>
      </w:r>
    </w:p>
    <w:p w:rsidR="005F50E3" w:rsidRDefault="00252C80">
      <w:pPr>
        <w:pStyle w:val="NormalWeb"/>
      </w:pPr>
      <w:r>
        <w:t>2. Выбор объектов научно-технического развития и приоритетов, в первую очередь стимулирующихся государством.</w:t>
      </w:r>
    </w:p>
    <w:p w:rsidR="005F50E3" w:rsidRDefault="00252C80">
      <w:pPr>
        <w:pStyle w:val="NormalWeb"/>
      </w:pPr>
      <w:r>
        <w:t>3. Способы проведения НИОКР, которые должны выбираться новыми организационно-экономическими формами.</w:t>
      </w:r>
    </w:p>
    <w:p w:rsidR="005F50E3" w:rsidRDefault="00252C80">
      <w:pPr>
        <w:pStyle w:val="NormalWeb"/>
      </w:pPr>
      <w:r>
        <w:t>Государство может достичь эффекта, не выделяя прямо средства из госбюджета, а стимулируя и создавая льготные условия для их притока из внутренних и внешних источников, используя аппарат косвенного регулирования. С одной стороны, достигается экономия средств расходной части госбюджета, а с другой — создаются условия для пополнения госбюджета за счет самостоятельного развития инновационного бизнеса, т.е. увеличения притока средств в виде налогов с предприятий и частных лиц. Кроме того, создаются условия для насыщения местных рынков, развития национальных и территориальных образований.</w:t>
      </w:r>
    </w:p>
    <w:p w:rsidR="005F50E3" w:rsidRDefault="00252C80">
      <w:pPr>
        <w:pStyle w:val="NormalWeb"/>
      </w:pPr>
      <w:r>
        <w:t>Объектами прямого воздействия государства в рамках перспективной программы развития МИП в России являются:</w:t>
      </w:r>
    </w:p>
    <w:p w:rsidR="005F50E3" w:rsidRDefault="00252C80">
      <w:pPr>
        <w:pStyle w:val="NormalWeb"/>
      </w:pPr>
      <w:r>
        <w:t>• отдельные талантливые ученые, исследователи, студенты;</w:t>
      </w:r>
    </w:p>
    <w:p w:rsidR="005F50E3" w:rsidRDefault="00252C80">
      <w:pPr>
        <w:pStyle w:val="NormalWeb"/>
      </w:pPr>
      <w:r>
        <w:t>• создаваемые ими коллективы в виде новых организационно-экономических форм;</w:t>
      </w:r>
    </w:p>
    <w:p w:rsidR="005F50E3" w:rsidRDefault="00252C80">
      <w:pPr>
        <w:pStyle w:val="NormalWeb"/>
      </w:pPr>
      <w:r>
        <w:t>• целевые проекты, распределяемые на конкурентной основе среди малого бизнеса непосредственно либо как субподрядчика крупных ИП.</w:t>
      </w:r>
    </w:p>
    <w:p w:rsidR="005F50E3" w:rsidRDefault="00252C80">
      <w:pPr>
        <w:pStyle w:val="NormalWeb"/>
      </w:pPr>
      <w:r>
        <w:t>Для развития малого бизнеса в научно-технической сфере полезен опыт промышленно развитых стран. Если рассмотреть на примере США, то МИП является одним из важных источников экономического роста и ускорения НТП. Политика стимулирования инновационной активности малого бизнеса проводится сегодня на всех уровнях государственного управления— от федерального правительства до муниципалитетов. Главным в государственной политике в этой области является создание своего рода «инновационного климата», т.е. обеспечение благоприятных экономических, правовых, организационных, психологических и других условий для возникновения и развития новых форм, и в первую очередь занятых генерированием, освоением и коммерциализацией научно-технических инноваций. При этом в отличие от регулирования деятельности экономически и организационно сложившегося крупного бизнеса государство основные усилия направляет на начальные и «предначальные» периоды становления МИП.</w:t>
      </w:r>
    </w:p>
    <w:p w:rsidR="005F50E3" w:rsidRDefault="00252C80">
      <w:pPr>
        <w:pStyle w:val="NormalWeb"/>
      </w:pPr>
      <w:r>
        <w:t>Основные проблемы, связанные с развитием МИП в РФ, сводятся к следующему:</w:t>
      </w:r>
    </w:p>
    <w:p w:rsidR="005F50E3" w:rsidRDefault="00252C80">
      <w:pPr>
        <w:pStyle w:val="NormalWeb"/>
      </w:pPr>
      <w:r>
        <w:t>- Развитие МИП дает стране экономический эффект в том случае, если обеспечивается динамичное развитие крупных фирм, определяющих технический уровень и конкурентоспособность массовой продукции. Малые инновационные фирмы хороши в инициировании новых товаров и технологий на начальных стадиях их разработки, но затем они нуждаются в мощной поддержке со стороны крупных фирм, обладающих финансовыми и технологическими возможностями для тиражирования достигнутых результатов. Малый бизнес по оказанию специфических инжиниринговых услуг также связан с крупным наукоемким производством — основным потребителем этих услуг. Сегодня в Российской Федерации сложилась ситуация, когда инвестиции в новые технологии могут себе позволить банковский сектор, некоторые предприятия топливно- энергетического комплекса, торговля, единичные предприятия наукоемких отраслей. Уже сейчас имеются десятки уникальных разработок, которые невозможно запустить в серию из-за кризисного положения промышленных гигантов. Таким образом, меры по поддержке МИП должны быть теснейшим образом связаны со стабилизацией положения крупных производителей, со становлением производства в мощных финансово-промышленных группах (ФПГ). В противном случае средства, потраченные на поддержку МИП, не дадут того эффекта, на который рассчитывали. Полученные МИП результаты «лягут на полку» или будут перекуплены за бесценок зарубежными конкурентами (за российские деньги будет повышаться конкурентоспособность зарубежных товаров).</w:t>
      </w:r>
    </w:p>
    <w:p w:rsidR="005F50E3" w:rsidRDefault="00252C80">
      <w:pPr>
        <w:pStyle w:val="NormalWeb"/>
      </w:pPr>
      <w:r>
        <w:t>- Меры государственной поддержки сегодня адресованы всему малому бизнесу без различий в характере этого бизнеса, хотя очевидно, что разные виды малого бизнеса нуждаются в совершенно разной поддержке.</w:t>
      </w:r>
    </w:p>
    <w:p w:rsidR="005F50E3" w:rsidRDefault="00252C80">
      <w:pPr>
        <w:pStyle w:val="NormalWeb"/>
      </w:pPr>
      <w:r>
        <w:t>Можно выделить три группы малого бизнеса, поддержка которых должна быть дифференцирована: малый бизнес в сфере услуг, малый бизнес в сфере производства и МИП.</w:t>
      </w:r>
    </w:p>
    <w:p w:rsidR="005F50E3" w:rsidRDefault="00252C80">
      <w:pPr>
        <w:pStyle w:val="NormalWeb"/>
      </w:pPr>
      <w:r>
        <w:t>- Значительная часть структур, созданных для поддержки инновационного бизнеса, работает с фирмами, весьма далекими от проблем создания новых товаров и технологий. Аналогичным образом значительная часть фирм, зарегистрированных как МИП, НТК, реально заняты в настоящий момент торгово-закупочной, посреднической и другими видами деятельности, не связанными с их формальным профилем. Иногда подобные трансформации происходят постепенно, под влиянием сложившихся обстоятельств.</w:t>
      </w:r>
    </w:p>
    <w:p w:rsidR="005F50E3" w:rsidRDefault="00252C80">
      <w:pPr>
        <w:pStyle w:val="NormalWeb"/>
      </w:pPr>
      <w:r>
        <w:rPr>
          <w:b/>
          <w:bCs/>
        </w:rPr>
        <w:t>Выводы</w:t>
      </w:r>
    </w:p>
    <w:p w:rsidR="005F50E3" w:rsidRDefault="00252C80">
      <w:pPr>
        <w:pStyle w:val="NormalWeb"/>
      </w:pPr>
      <w:r>
        <w:t>Единой классификации источников финансирования инновационной деятельности в Российской Федерации нет. Каждый эксперт приводит свою классификацию, в той или иной мере отличающуюся от других. Одни выделяют только источники финансирования инновационной деятельности, другие же, выделяют как источники, так и формы. Но практически все авторы сходятся в одном: роль государства в развитии инновационной деятельности в РФ является доминирующей, как в политике бюджетных ассигнований, так и в законодательном регулировании и стимулировании инновационной деятельности. Значительное влияние оказывают такие структуры, как Российский фонд фундаментальных исследований (РФФИ), Фонд содействия развитию малых форм предприятий в научно-технической сфере, а также Федеральный фонд производственных инноваций.</w:t>
      </w:r>
    </w:p>
    <w:p w:rsidR="005F50E3" w:rsidRDefault="00252C80">
      <w:pPr>
        <w:pStyle w:val="NormalWeb"/>
      </w:pPr>
      <w:r>
        <w:t>Если сравнивать объем финансирования инновационной деятельности из средств федерального бюджета и внутренние затраты предприятия на те же цели, то расходы предприятий за период с 2000 по 2004 гг. превышали бюджетные ассигнования в 4 раза. Потом же, поступление средств из федерального бюджета заметно возросло, и к 2008 году внутренние затраты предприятий стали уже больше всего в 2,5 раза.</w:t>
      </w:r>
    </w:p>
    <w:p w:rsidR="005F50E3" w:rsidRDefault="00252C80">
      <w:pPr>
        <w:pStyle w:val="NormalWeb"/>
      </w:pPr>
      <w:r>
        <w:t>Показателен опыт зарубежных стран.</w:t>
      </w:r>
    </w:p>
    <w:p w:rsidR="005F50E3" w:rsidRDefault="00252C80">
      <w:pPr>
        <w:pStyle w:val="NormalWeb"/>
      </w:pPr>
      <w:r>
        <w:t>Политика экономического развития Финляндии охватывает широкий спектр направлений, каждое из которых нацелено на увеличение наукоемкой составляющей экономической базы страны, включая:</w:t>
      </w:r>
    </w:p>
    <w:p w:rsidR="005F50E3" w:rsidRDefault="00252C80">
      <w:pPr>
        <w:pStyle w:val="NormalWeb"/>
      </w:pPr>
      <w:r>
        <w:t>- меры по стимулированию развития частного сектора, повышению эффективности и конкурентоспособности традиционных отраслей экономики, таких как обрабатывающая промышленность и сельское хозяйство, а также по стимулированию развития новых высокотехнологичных предприятий;</w:t>
      </w:r>
    </w:p>
    <w:p w:rsidR="005F50E3" w:rsidRDefault="00252C80">
      <w:pPr>
        <w:pStyle w:val="NormalWeb"/>
      </w:pPr>
      <w:r>
        <w:t>- программы по созданию систем образования, направленных на обучение учащихся навыкам познания и техническим навыкам, которые требуются для достижения благополучия и высокого уровня жизни в условиях глобальной экономики, основанной на знаниях;</w:t>
      </w:r>
    </w:p>
    <w:p w:rsidR="005F50E3" w:rsidRDefault="00252C80">
      <w:pPr>
        <w:pStyle w:val="NormalWeb"/>
      </w:pPr>
      <w:r>
        <w:t>- меры по коммерциализации результатов деятельности национальных научно-исследовательских структур.</w:t>
      </w:r>
    </w:p>
    <w:p w:rsidR="005F50E3" w:rsidRDefault="00252C80">
      <w:pPr>
        <w:pStyle w:val="NormalWeb"/>
      </w:pPr>
      <w:r>
        <w:t>Опыт Финляндии в формировании национальной инновационной системы заслуживает тщательного изучения и осмысления применительно к проблеме разработки инновационной политики и построения в нашей стране современной наукоемкой экономики.</w:t>
      </w:r>
    </w:p>
    <w:p w:rsidR="005F50E3" w:rsidRDefault="00252C80">
      <w:pPr>
        <w:pStyle w:val="NormalWeb"/>
      </w:pPr>
      <w:r>
        <w:t>Финляндия начинала формирование своей инновационной политики в условиях относительно слабого развития как промышленного сектора, так и научно-технической базы. В России же экономическая основа, характеризующаяся значительным по размеру, но быстро устаревающим промышленным капиталом, сочетается с высокоразвитой научно-технической инфраструктурой, т.е. наличием опыта проведения научных исследований, прикладных научно-технических институтов, а также технически грамотной рабочей силы. Поэтому и сегодня она во многих областях могла бы занимать лидирующее положение в мире.</w:t>
      </w:r>
    </w:p>
    <w:p w:rsidR="005F50E3" w:rsidRDefault="00252C80">
      <w:pPr>
        <w:pStyle w:val="NormalWeb"/>
      </w:pPr>
      <w:r>
        <w:t>Важна и роль законодательства. В России, проекты федерального закона «Об инновационной деятельности и о государственной инновационной политике» были неоднократно представлены на рассмотрение в Государственную Думу. Однако все эти проекты не отличались высокой степенью проработанности и не могли стать законодательной основой организации, регулирования, а также финансирования инновационной деятельности в Российской Федерации.</w:t>
      </w:r>
    </w:p>
    <w:p w:rsidR="005F50E3" w:rsidRDefault="00252C80">
      <w:pPr>
        <w:pStyle w:val="NormalWeb"/>
      </w:pPr>
      <w:r>
        <w:t>Министр экономического развития РФ Эльвира Набиуллина недавно заявила о том, что государство будет стремиться к повышению стимулирующей роли налоговой системы для поддержки инновационной деятельности в стране. Ряд решений в этой области уже принято и в настоящее время правительством РФ разрабатывается пакет законопроектов, которые предусматривают системные льготы (в том числе в сфере налога на имущество) на поддержку инноваций. Одновременно необходимо обеспечить максимальную ориентацию госзакупок, считает Набиуллина, а также закупок для нужд естественных монополий на инновационную продукцию.</w:t>
      </w:r>
    </w:p>
    <w:p w:rsidR="005F50E3" w:rsidRDefault="00252C80">
      <w:pPr>
        <w:pStyle w:val="NormalWeb"/>
      </w:pPr>
      <w:r>
        <w:t>В связи с тем что инновационные проекты и программы представляют собой высокорисковые, долговременные и высокозатратные объекты инвестирования, следует использовать механизмы их смешанного финансирования (например, финансовые ресурсы компании — денежные средства, привлеченные на рынке ценных бумаг, — средства бюджетов различных уровней).выполняются целевые комплексные программы, финансируется деятельность ГНЦ, формируется Российский фонд фундаментальных исследований (РФФИ), Фонд содействия развитию малых форм предприятий в научно-технической сфере, а также Федеральный фонд производственных инноваций.</w:t>
      </w:r>
    </w:p>
    <w:p w:rsidR="005F50E3" w:rsidRDefault="00252C80">
      <w:pPr>
        <w:pStyle w:val="NormalWeb"/>
      </w:pPr>
      <w:r>
        <w:rPr>
          <w:b/>
          <w:bCs/>
        </w:rPr>
        <w:t>Список использованных источников</w:t>
      </w:r>
    </w:p>
    <w:p w:rsidR="005F50E3" w:rsidRDefault="00252C80">
      <w:pPr>
        <w:pStyle w:val="NormalWeb"/>
      </w:pPr>
      <w:r>
        <w:t>1. Василевская И.В. Инновационный менеджмент / Василевская И.В. - «ИНФРА-М», 2005 – 196 с.</w:t>
      </w:r>
    </w:p>
    <w:p w:rsidR="005F50E3" w:rsidRDefault="00252C80">
      <w:pPr>
        <w:pStyle w:val="NormalWeb"/>
      </w:pPr>
      <w:r>
        <w:t>2. Казанцев Л.К. Основы инновационного менеджмента: учебник / Казанцев Л.К., Л.Э. Миндели – «Экономика», 2004 – 520 с.</w:t>
      </w:r>
    </w:p>
    <w:p w:rsidR="005F50E3" w:rsidRDefault="00252C80">
      <w:pPr>
        <w:pStyle w:val="NormalWeb"/>
      </w:pPr>
      <w:r>
        <w:t>3. Молчанова О.П. Инновационный менеджмент: учебник для вузов / Молчанова О.П. – «Вита-пресс», 2005 – 139 с.</w:t>
      </w:r>
    </w:p>
    <w:p w:rsidR="005F50E3" w:rsidRDefault="00252C80">
      <w:pPr>
        <w:pStyle w:val="NormalWeb"/>
      </w:pPr>
      <w:r>
        <w:t>4. Фатхутдинов Р.А. Инновационный менеджмент: учебник для вузов / Фатхутдинов Р.А., «Питер», 2008 – 448 с.</w:t>
      </w:r>
    </w:p>
    <w:p w:rsidR="005F50E3" w:rsidRDefault="00252C80">
      <w:pPr>
        <w:pStyle w:val="NormalWeb"/>
      </w:pPr>
      <w:r>
        <w:t>5. Федеральный Закон № 127 РФ «О науке и государственной научно-технической политике»</w:t>
      </w:r>
    </w:p>
    <w:p w:rsidR="005F50E3" w:rsidRDefault="00252C80">
      <w:pPr>
        <w:pStyle w:val="NormalWeb"/>
      </w:pPr>
      <w:r>
        <w:t>6. А.В.Тюрина Инновационное финансирование как фактор социально-экономического развития стран / А.В.Тюрина, Журнал «Финансовый менеджмент», 2004, №3</w:t>
      </w:r>
    </w:p>
    <w:p w:rsidR="005F50E3" w:rsidRDefault="00252C80">
      <w:pPr>
        <w:pStyle w:val="NormalWeb"/>
      </w:pPr>
      <w:r>
        <w:t>8. "Российская газета" - Экономика "Реальный сектор" №5050 (226) от 27 ноября 2009 г.</w:t>
      </w:r>
    </w:p>
    <w:p w:rsidR="005F50E3" w:rsidRDefault="00252C80">
      <w:pPr>
        <w:pStyle w:val="NormalWeb"/>
      </w:pPr>
      <w:r>
        <w:t>9. Ефимушкин С. Н. «Пьедестал для знаний» журнал "Российское предпринимательство" № 5 2004</w:t>
      </w:r>
    </w:p>
    <w:p w:rsidR="005F50E3" w:rsidRDefault="00252C80">
      <w:pPr>
        <w:pStyle w:val="NormalWeb"/>
      </w:pPr>
      <w:r>
        <w:t>10. www.gks.ru – Официальный сайт Госкомстата</w:t>
      </w:r>
    </w:p>
    <w:p w:rsidR="005F50E3" w:rsidRDefault="00252C80">
      <w:pPr>
        <w:pStyle w:val="NormalWeb"/>
      </w:pPr>
      <w:r>
        <w:t>11. www.agnc.ru – Ассоциация ГНЦ России</w:t>
      </w:r>
    </w:p>
    <w:p w:rsidR="005F50E3" w:rsidRDefault="00252C80">
      <w:pPr>
        <w:pStyle w:val="NormalWeb"/>
      </w:pPr>
      <w:r>
        <w:t>12. www.rfh.ru – Российский Гуманитарный научный фонд</w:t>
      </w:r>
    </w:p>
    <w:p w:rsidR="005F50E3" w:rsidRDefault="00252C80">
      <w:pPr>
        <w:pStyle w:val="NormalWeb"/>
      </w:pPr>
      <w:r>
        <w:t>13. www.spbit.ru</w:t>
      </w:r>
    </w:p>
    <w:p w:rsidR="005F50E3" w:rsidRDefault="00252C80">
      <w:pPr>
        <w:pStyle w:val="NormalWeb"/>
      </w:pPr>
      <w:r>
        <w:t>14 www.creativeconomy.ru</w:t>
      </w:r>
    </w:p>
    <w:p w:rsidR="005F50E3" w:rsidRDefault="005F50E3"/>
    <w:bookmarkStart w:id="15" w:name="_ftn1"/>
    <w:p w:rsidR="005F50E3" w:rsidRPr="00252C80" w:rsidRDefault="00252C80">
      <w:pPr>
        <w:pStyle w:val="NormalWeb"/>
      </w:pPr>
      <w:r>
        <w:fldChar w:fldCharType="begin"/>
      </w:r>
      <w:r>
        <w:instrText xml:space="preserve"> HYPERLINK "" \l "_ftnref1" </w:instrText>
      </w:r>
      <w:r>
        <w:fldChar w:fldCharType="separate"/>
      </w:r>
      <w:r>
        <w:rPr>
          <w:rStyle w:val="Hyperlink"/>
        </w:rPr>
        <w:t>[1]</w:t>
      </w:r>
      <w:r>
        <w:fldChar w:fldCharType="end"/>
      </w:r>
      <w:bookmarkEnd w:id="15"/>
      <w:r>
        <w:t xml:space="preserve"> www.rfh.ru – Российский Гуманитарный научный фонд</w:t>
      </w:r>
    </w:p>
    <w:bookmarkStart w:id="16" w:name="_ftn2"/>
    <w:p w:rsidR="005F50E3" w:rsidRDefault="00252C80">
      <w:pPr>
        <w:pStyle w:val="NormalWeb"/>
      </w:pPr>
      <w:r>
        <w:fldChar w:fldCharType="begin"/>
      </w:r>
      <w:r>
        <w:instrText xml:space="preserve"> HYPERLINK "" \l "_ftnref2" </w:instrText>
      </w:r>
      <w:r>
        <w:fldChar w:fldCharType="separate"/>
      </w:r>
      <w:r>
        <w:rPr>
          <w:rStyle w:val="Hyperlink"/>
        </w:rPr>
        <w:t>[2]</w:t>
      </w:r>
      <w:r>
        <w:fldChar w:fldCharType="end"/>
      </w:r>
      <w:bookmarkEnd w:id="16"/>
      <w:r>
        <w:t xml:space="preserve"> А.В.Тюрина Инновационное финансирование как фактор социально-экономического развития стран / А.В.Тюрина, Журнал «Финансовый менеджмент», 2004, №3</w:t>
      </w:r>
    </w:p>
    <w:bookmarkStart w:id="17" w:name="_ftn3"/>
    <w:p w:rsidR="005F50E3" w:rsidRDefault="00252C80">
      <w:pPr>
        <w:pStyle w:val="NormalWeb"/>
      </w:pPr>
      <w:r>
        <w:fldChar w:fldCharType="begin"/>
      </w:r>
      <w:r>
        <w:instrText xml:space="preserve"> HYPERLINK "" \l "_ftnref3" </w:instrText>
      </w:r>
      <w:r>
        <w:fldChar w:fldCharType="separate"/>
      </w:r>
      <w:r>
        <w:rPr>
          <w:rStyle w:val="Hyperlink"/>
        </w:rPr>
        <w:t>[3]</w:t>
      </w:r>
      <w:r>
        <w:fldChar w:fldCharType="end"/>
      </w:r>
      <w:bookmarkEnd w:id="17"/>
      <w:r>
        <w:t xml:space="preserve"> . Молчанова О.П. Инновационный менеджмент: учебник для вузов / Молчанова О.П. – «Вита-пресс», 2005 – 139 с.</w:t>
      </w:r>
    </w:p>
    <w:bookmarkStart w:id="18" w:name="_ftn4"/>
    <w:p w:rsidR="005F50E3" w:rsidRDefault="00252C80">
      <w:pPr>
        <w:pStyle w:val="NormalWeb"/>
      </w:pPr>
      <w:r>
        <w:fldChar w:fldCharType="begin"/>
      </w:r>
      <w:r>
        <w:instrText xml:space="preserve"> HYPERLINK "" \l "_ftnref4" </w:instrText>
      </w:r>
      <w:r>
        <w:fldChar w:fldCharType="separate"/>
      </w:r>
      <w:r>
        <w:rPr>
          <w:rStyle w:val="Hyperlink"/>
        </w:rPr>
        <w:t>[4]</w:t>
      </w:r>
      <w:r>
        <w:fldChar w:fldCharType="end"/>
      </w:r>
      <w:bookmarkEnd w:id="18"/>
      <w:r>
        <w:t xml:space="preserve"> www.rfh.ru – Российский Гуманитарный научный фонд</w:t>
      </w:r>
    </w:p>
    <w:bookmarkStart w:id="19" w:name="_ftn5"/>
    <w:p w:rsidR="005F50E3" w:rsidRDefault="00252C80">
      <w:pPr>
        <w:pStyle w:val="NormalWeb"/>
      </w:pPr>
      <w:r>
        <w:fldChar w:fldCharType="begin"/>
      </w:r>
      <w:r>
        <w:instrText xml:space="preserve"> HYPERLINK "" \l "_ftnref5" </w:instrText>
      </w:r>
      <w:r>
        <w:fldChar w:fldCharType="separate"/>
      </w:r>
      <w:r>
        <w:rPr>
          <w:rStyle w:val="Hyperlink"/>
        </w:rPr>
        <w:t>[5]</w:t>
      </w:r>
      <w:r>
        <w:fldChar w:fldCharType="end"/>
      </w:r>
      <w:bookmarkEnd w:id="19"/>
      <w:r>
        <w:t xml:space="preserve"> Василевская И.В. Инновационный менеджмент / Василевская И.В. - «ИНФРА-М», 2005 – 196 с</w:t>
      </w:r>
    </w:p>
    <w:bookmarkStart w:id="20" w:name="_ftn6"/>
    <w:p w:rsidR="005F50E3" w:rsidRDefault="00252C80">
      <w:pPr>
        <w:pStyle w:val="NormalWeb"/>
      </w:pPr>
      <w:r>
        <w:fldChar w:fldCharType="begin"/>
      </w:r>
      <w:r>
        <w:instrText xml:space="preserve"> HYPERLINK "" \l "_ftnref6" </w:instrText>
      </w:r>
      <w:r>
        <w:fldChar w:fldCharType="separate"/>
      </w:r>
      <w:r>
        <w:rPr>
          <w:rStyle w:val="Hyperlink"/>
        </w:rPr>
        <w:t>[6]</w:t>
      </w:r>
      <w:r>
        <w:fldChar w:fldCharType="end"/>
      </w:r>
      <w:bookmarkEnd w:id="20"/>
      <w:r>
        <w:t xml:space="preserve"> Федеральный Закон № 127 РФ «О науке и государственной научно-технической политике»</w:t>
      </w:r>
    </w:p>
    <w:bookmarkStart w:id="21" w:name="_ftn7"/>
    <w:p w:rsidR="005F50E3" w:rsidRDefault="00252C80">
      <w:pPr>
        <w:pStyle w:val="NormalWeb"/>
      </w:pPr>
      <w:r>
        <w:fldChar w:fldCharType="begin"/>
      </w:r>
      <w:r>
        <w:instrText xml:space="preserve"> HYPERLINK "" \l "_ftnref7" </w:instrText>
      </w:r>
      <w:r>
        <w:fldChar w:fldCharType="separate"/>
      </w:r>
      <w:r>
        <w:rPr>
          <w:rStyle w:val="Hyperlink"/>
        </w:rPr>
        <w:t>[7]</w:t>
      </w:r>
      <w:r>
        <w:fldChar w:fldCharType="end"/>
      </w:r>
      <w:bookmarkEnd w:id="21"/>
      <w:r>
        <w:t xml:space="preserve"> Ефимушкин С. Н. «Пьедестал для знаний», журнал "Российское предпринимательство" № 5 2004</w:t>
      </w:r>
    </w:p>
    <w:bookmarkStart w:id="22" w:name="_ftn8"/>
    <w:p w:rsidR="005F50E3" w:rsidRDefault="00252C80">
      <w:pPr>
        <w:pStyle w:val="NormalWeb"/>
      </w:pPr>
      <w:r>
        <w:fldChar w:fldCharType="begin"/>
      </w:r>
      <w:r>
        <w:instrText xml:space="preserve"> HYPERLINK "" \l "_ftnref8" </w:instrText>
      </w:r>
      <w:r>
        <w:fldChar w:fldCharType="separate"/>
      </w:r>
      <w:r>
        <w:rPr>
          <w:rStyle w:val="Hyperlink"/>
        </w:rPr>
        <w:t>[8]</w:t>
      </w:r>
      <w:r>
        <w:fldChar w:fldCharType="end"/>
      </w:r>
      <w:bookmarkEnd w:id="22"/>
      <w:r>
        <w:t xml:space="preserve"> www.spbit.ru</w:t>
      </w:r>
    </w:p>
    <w:bookmarkStart w:id="23" w:name="_ftn9"/>
    <w:p w:rsidR="005F50E3" w:rsidRDefault="00252C80">
      <w:pPr>
        <w:pStyle w:val="NormalWeb"/>
      </w:pPr>
      <w:r>
        <w:fldChar w:fldCharType="begin"/>
      </w:r>
      <w:r>
        <w:instrText xml:space="preserve"> HYPERLINK "" \l "_ftnref9" </w:instrText>
      </w:r>
      <w:r>
        <w:fldChar w:fldCharType="separate"/>
      </w:r>
      <w:r>
        <w:rPr>
          <w:rStyle w:val="Hyperlink"/>
        </w:rPr>
        <w:t>[9]</w:t>
      </w:r>
      <w:r>
        <w:fldChar w:fldCharType="end"/>
      </w:r>
      <w:bookmarkEnd w:id="23"/>
      <w:r>
        <w:t xml:space="preserve"> </w:t>
      </w:r>
      <w:r>
        <w:rPr>
          <w:i/>
          <w:iCs/>
        </w:rPr>
        <w:t>www.</w:t>
      </w:r>
      <w:r>
        <w:t xml:space="preserve"> creativeconomy.ru</w:t>
      </w:r>
    </w:p>
    <w:bookmarkStart w:id="24" w:name="_ftn10"/>
    <w:p w:rsidR="005F50E3" w:rsidRDefault="00252C80">
      <w:pPr>
        <w:pStyle w:val="NormalWeb"/>
      </w:pPr>
      <w:r>
        <w:fldChar w:fldCharType="begin"/>
      </w:r>
      <w:r>
        <w:instrText xml:space="preserve"> HYPERLINK "" \l "_ftnref10" </w:instrText>
      </w:r>
      <w:r>
        <w:fldChar w:fldCharType="separate"/>
      </w:r>
      <w:r>
        <w:rPr>
          <w:rStyle w:val="Hyperlink"/>
        </w:rPr>
        <w:t>[10]</w:t>
      </w:r>
      <w:r>
        <w:fldChar w:fldCharType="end"/>
      </w:r>
      <w:bookmarkEnd w:id="24"/>
      <w:r>
        <w:t xml:space="preserve"> Ефимушкин С. Н. «Пьедестал для знаний» журнал "Российское предпринимательство" № 5 2004</w:t>
      </w:r>
    </w:p>
    <w:bookmarkStart w:id="25" w:name="_ftn11"/>
    <w:p w:rsidR="005F50E3" w:rsidRDefault="00252C80">
      <w:pPr>
        <w:pStyle w:val="NormalWeb"/>
      </w:pPr>
      <w:r>
        <w:fldChar w:fldCharType="begin"/>
      </w:r>
      <w:r>
        <w:instrText xml:space="preserve"> HYPERLINK "" \l "_ftnref11" </w:instrText>
      </w:r>
      <w:r>
        <w:fldChar w:fldCharType="separate"/>
      </w:r>
      <w:r>
        <w:rPr>
          <w:rStyle w:val="Hyperlink"/>
        </w:rPr>
        <w:t>[11]</w:t>
      </w:r>
      <w:r>
        <w:fldChar w:fldCharType="end"/>
      </w:r>
      <w:bookmarkEnd w:id="25"/>
      <w:r>
        <w:t xml:space="preserve"> Фатхутдинов Р.А. Инновационный менеджмент: учебник для вузов / Фатхутдинов Р.А., «Питер», 2008 – 448 с</w:t>
      </w:r>
    </w:p>
    <w:bookmarkStart w:id="26" w:name="_ftn12"/>
    <w:p w:rsidR="005F50E3" w:rsidRDefault="00252C80">
      <w:pPr>
        <w:pStyle w:val="NormalWeb"/>
      </w:pPr>
      <w:r>
        <w:fldChar w:fldCharType="begin"/>
      </w:r>
      <w:r>
        <w:instrText xml:space="preserve"> HYPERLINK "" \l "_ftnref12" </w:instrText>
      </w:r>
      <w:r>
        <w:fldChar w:fldCharType="separate"/>
      </w:r>
      <w:r>
        <w:rPr>
          <w:rStyle w:val="Hyperlink"/>
        </w:rPr>
        <w:t>[12]</w:t>
      </w:r>
      <w:r>
        <w:fldChar w:fldCharType="end"/>
      </w:r>
      <w:bookmarkEnd w:id="26"/>
      <w:r>
        <w:t xml:space="preserve"> "Российская газета" - Экономика "Реальный сектор" №5050 (226) от 27 ноября 2009 г.</w:t>
      </w:r>
    </w:p>
    <w:bookmarkStart w:id="27" w:name="_ftn13"/>
    <w:p w:rsidR="005F50E3" w:rsidRDefault="00252C80">
      <w:pPr>
        <w:pStyle w:val="NormalWeb"/>
      </w:pPr>
      <w:r>
        <w:fldChar w:fldCharType="begin"/>
      </w:r>
      <w:r>
        <w:instrText xml:space="preserve"> HYPERLINK "" \l "_ftnref13" </w:instrText>
      </w:r>
      <w:r>
        <w:fldChar w:fldCharType="separate"/>
      </w:r>
      <w:r>
        <w:rPr>
          <w:rStyle w:val="Hyperlink"/>
        </w:rPr>
        <w:t>[13]</w:t>
      </w:r>
      <w:r>
        <w:fldChar w:fldCharType="end"/>
      </w:r>
      <w:bookmarkEnd w:id="27"/>
      <w:r>
        <w:t xml:space="preserve"> www.agnc.ru – Ассоциация ГНЦ России</w:t>
      </w:r>
    </w:p>
    <w:bookmarkStart w:id="28" w:name="_ftn14"/>
    <w:p w:rsidR="005F50E3" w:rsidRDefault="00252C80">
      <w:pPr>
        <w:pStyle w:val="NormalWeb"/>
      </w:pPr>
      <w:r>
        <w:fldChar w:fldCharType="begin"/>
      </w:r>
      <w:r>
        <w:instrText xml:space="preserve"> HYPERLINK "" \l "_ftnref14" </w:instrText>
      </w:r>
      <w:r>
        <w:fldChar w:fldCharType="separate"/>
      </w:r>
      <w:r>
        <w:rPr>
          <w:rStyle w:val="Hyperlink"/>
        </w:rPr>
        <w:t>[14]</w:t>
      </w:r>
      <w:r>
        <w:fldChar w:fldCharType="end"/>
      </w:r>
      <w:bookmarkEnd w:id="28"/>
      <w:r>
        <w:t xml:space="preserve"> 2000-2006 гг. – в соответствии с Приложением 2 к федеральным законам «Об исполнении федерального бюджета»;</w:t>
      </w:r>
    </w:p>
    <w:p w:rsidR="005F50E3" w:rsidRDefault="00252C80">
      <w:pPr>
        <w:pStyle w:val="NormalWeb"/>
      </w:pPr>
      <w:r>
        <w:t>2007 г. – отчет об исполнении консолидированного бюджета Российской Федерации и бюджетов государственных внебюджетных фондов (по данным Федерального казначейства; на 1 января 2008 г.); 2008г. – отчет об исполнении консолидированного бюджета Российской Федерации и бюджетов государственных внебюджетных фондов (по данным Федерального казначейства; на 1</w:t>
      </w:r>
    </w:p>
    <w:bookmarkStart w:id="29" w:name="_ftn15"/>
    <w:p w:rsidR="005F50E3" w:rsidRDefault="00252C80">
      <w:pPr>
        <w:pStyle w:val="NormalWeb"/>
      </w:pPr>
      <w:r>
        <w:fldChar w:fldCharType="begin"/>
      </w:r>
      <w:r>
        <w:instrText xml:space="preserve"> HYPERLINK "" \l "_ftnref15" </w:instrText>
      </w:r>
      <w:r>
        <w:fldChar w:fldCharType="separate"/>
      </w:r>
      <w:r>
        <w:rPr>
          <w:rStyle w:val="Hyperlink"/>
        </w:rPr>
        <w:t>[15]</w:t>
      </w:r>
      <w:r>
        <w:fldChar w:fldCharType="end"/>
      </w:r>
      <w:bookmarkEnd w:id="29"/>
      <w:r>
        <w:t xml:space="preserve"> www.gks.ru – Официальный сайт Госкомстата</w:t>
      </w:r>
      <w:bookmarkStart w:id="30" w:name="_GoBack"/>
      <w:bookmarkEnd w:id="30"/>
    </w:p>
    <w:sectPr w:rsidR="005F50E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E3E6B"/>
    <w:multiLevelType w:val="multilevel"/>
    <w:tmpl w:val="C4C2E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8B3D33"/>
    <w:multiLevelType w:val="multilevel"/>
    <w:tmpl w:val="1F9C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714619"/>
    <w:multiLevelType w:val="multilevel"/>
    <w:tmpl w:val="BEAC6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33614B"/>
    <w:multiLevelType w:val="multilevel"/>
    <w:tmpl w:val="9E466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355DA3"/>
    <w:multiLevelType w:val="multilevel"/>
    <w:tmpl w:val="E6029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305B94"/>
    <w:multiLevelType w:val="multilevel"/>
    <w:tmpl w:val="FE466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savePreviewPicture/>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2C80"/>
    <w:rsid w:val="000445D7"/>
    <w:rsid w:val="00252C80"/>
    <w:rsid w:val="005F5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85FBF1-45D1-4D89-8DBA-76CE178B3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ind w:firstLine="480"/>
      <w:jc w:val="both"/>
    </w:pPr>
  </w:style>
  <w:style w:type="character" w:customStyle="1" w:styleId="Heading1Char">
    <w:name w:val="Heading 1 Char"/>
    <w:link w:val="Heading1"/>
    <w:uiPriority w:val="9"/>
    <w:rPr>
      <w:rFonts w:ascii="Calibri Light" w:eastAsia="Times New Roman" w:hAnsi="Calibri Light" w:cs="Times New Roman"/>
      <w:color w:val="2E74B5"/>
      <w:sz w:val="32"/>
      <w:szCs w:val="32"/>
    </w:r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12778</Words>
  <Characters>72839</Characters>
  <Application>Microsoft Office Word</Application>
  <DocSecurity>0</DocSecurity>
  <Lines>606</Lines>
  <Paragraphs>170</Paragraphs>
  <ScaleCrop>false</ScaleCrop>
  <Company>diakov.net</Company>
  <LinksUpToDate>false</LinksUpToDate>
  <CharactersWithSpaces>85447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Финансирование инновационной деятельности на государственном уровне</dc:title>
  <dc:subject/>
  <dc:creator>Irina</dc:creator>
  <cp:keywords/>
  <dc:description/>
  <cp:lastModifiedBy>Irina</cp:lastModifiedBy>
  <cp:revision>1</cp:revision>
  <dcterms:created xsi:type="dcterms:W3CDTF">2014-12-02T20:05:00Z</dcterms:created>
  <dcterms:modified xsi:type="dcterms:W3CDTF">2014-12-02T20:05:00Z</dcterms:modified>
</cp:coreProperties>
</file>