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AC" w:rsidRPr="00BD2BDC" w:rsidRDefault="0083323C" w:rsidP="00BD2BDC">
      <w:pPr>
        <w:spacing w:line="360" w:lineRule="auto"/>
        <w:ind w:firstLine="709"/>
        <w:jc w:val="both"/>
        <w:rPr>
          <w:b/>
        </w:rPr>
      </w:pPr>
      <w:r w:rsidRPr="00BD2BDC">
        <w:rPr>
          <w:b/>
        </w:rPr>
        <w:t>Содержание</w:t>
      </w:r>
    </w:p>
    <w:p w:rsidR="0083323C" w:rsidRPr="00BD2BDC" w:rsidRDefault="0083323C" w:rsidP="00BD2BDC">
      <w:pPr>
        <w:spacing w:line="360" w:lineRule="auto"/>
        <w:ind w:firstLine="709"/>
        <w:jc w:val="both"/>
        <w:rPr>
          <w:b/>
        </w:rPr>
      </w:pP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Введение</w:t>
      </w:r>
    </w:p>
    <w:p w:rsidR="00BD2BDC" w:rsidRDefault="00BD2BDC" w:rsidP="00BD2BDC">
      <w:pPr>
        <w:pStyle w:val="21"/>
        <w:rPr>
          <w:noProof/>
          <w:sz w:val="24"/>
          <w:szCs w:val="24"/>
        </w:rPr>
      </w:pPr>
      <w:r w:rsidRPr="00A477CD">
        <w:rPr>
          <w:noProof/>
        </w:rPr>
        <w:t>1.</w:t>
      </w:r>
      <w:r>
        <w:rPr>
          <w:noProof/>
          <w:sz w:val="24"/>
          <w:szCs w:val="24"/>
        </w:rPr>
        <w:tab/>
      </w:r>
      <w:r w:rsidRPr="00A477CD">
        <w:rPr>
          <w:noProof/>
        </w:rPr>
        <w:t>Механизм финансирования из внебюджетных источников</w:t>
      </w:r>
    </w:p>
    <w:p w:rsidR="00BD2BDC" w:rsidRDefault="00BD2BDC" w:rsidP="00BD2BDC">
      <w:pPr>
        <w:pStyle w:val="31"/>
        <w:tabs>
          <w:tab w:val="left" w:pos="360"/>
          <w:tab w:val="right" w:leader="dot" w:pos="9344"/>
        </w:tabs>
        <w:spacing w:line="360" w:lineRule="auto"/>
        <w:ind w:left="0"/>
        <w:jc w:val="both"/>
        <w:rPr>
          <w:noProof/>
          <w:sz w:val="24"/>
          <w:szCs w:val="24"/>
        </w:rPr>
      </w:pPr>
      <w:r w:rsidRPr="00A477CD">
        <w:rPr>
          <w:noProof/>
        </w:rPr>
        <w:t>1.1 Правовое регулирование механизма финансирования из внебюджетных источников</w:t>
      </w:r>
    </w:p>
    <w:p w:rsidR="00BD2BDC" w:rsidRDefault="00BD2BDC" w:rsidP="00BD2BDC">
      <w:pPr>
        <w:pStyle w:val="31"/>
        <w:tabs>
          <w:tab w:val="left" w:pos="360"/>
          <w:tab w:val="right" w:leader="dot" w:pos="9344"/>
        </w:tabs>
        <w:spacing w:line="360" w:lineRule="auto"/>
        <w:ind w:left="0"/>
        <w:jc w:val="both"/>
        <w:rPr>
          <w:noProof/>
          <w:sz w:val="24"/>
          <w:szCs w:val="24"/>
        </w:rPr>
      </w:pPr>
      <w:r w:rsidRPr="00A477CD">
        <w:rPr>
          <w:noProof/>
        </w:rPr>
        <w:t>1.2 Источники внебюджетных поступлений</w:t>
      </w:r>
    </w:p>
    <w:p w:rsidR="00BD2BDC" w:rsidRDefault="00BD2BDC" w:rsidP="00BD2BDC">
      <w:pPr>
        <w:pStyle w:val="21"/>
        <w:rPr>
          <w:noProof/>
          <w:sz w:val="24"/>
          <w:szCs w:val="24"/>
        </w:rPr>
      </w:pPr>
      <w:r w:rsidRPr="00A477CD">
        <w:rPr>
          <w:noProof/>
        </w:rPr>
        <w:t>2.</w:t>
      </w:r>
      <w:r>
        <w:rPr>
          <w:noProof/>
          <w:sz w:val="24"/>
          <w:szCs w:val="24"/>
        </w:rPr>
        <w:tab/>
      </w:r>
      <w:r w:rsidRPr="00A477CD">
        <w:rPr>
          <w:noProof/>
        </w:rPr>
        <w:t>Механизм привлечения и расходования  внебюджетных средств</w:t>
      </w:r>
    </w:p>
    <w:p w:rsidR="00BD2BDC" w:rsidRDefault="00BD2BDC" w:rsidP="00BD2BDC">
      <w:pPr>
        <w:pStyle w:val="21"/>
        <w:rPr>
          <w:noProof/>
          <w:sz w:val="24"/>
          <w:szCs w:val="24"/>
        </w:rPr>
      </w:pPr>
      <w:r w:rsidRPr="00A477CD">
        <w:rPr>
          <w:noProof/>
        </w:rPr>
        <w:t>2.1</w:t>
      </w:r>
      <w:r>
        <w:rPr>
          <w:noProof/>
        </w:rPr>
        <w:t xml:space="preserve"> </w:t>
      </w:r>
      <w:r w:rsidRPr="00A477CD">
        <w:rPr>
          <w:noProof/>
        </w:rPr>
        <w:t>Направления расходов внебюджетных средств</w:t>
      </w:r>
    </w:p>
    <w:p w:rsidR="00BD2BDC" w:rsidRDefault="00BD2BDC" w:rsidP="00BD2BDC">
      <w:pPr>
        <w:pStyle w:val="21"/>
        <w:rPr>
          <w:noProof/>
          <w:sz w:val="24"/>
          <w:szCs w:val="24"/>
        </w:rPr>
      </w:pPr>
      <w:r w:rsidRPr="00A477CD">
        <w:rPr>
          <w:noProof/>
        </w:rPr>
        <w:t>2.2</w:t>
      </w:r>
      <w:r>
        <w:rPr>
          <w:noProof/>
        </w:rPr>
        <w:t xml:space="preserve"> </w:t>
      </w:r>
      <w:r>
        <w:rPr>
          <w:noProof/>
          <w:sz w:val="24"/>
          <w:szCs w:val="24"/>
        </w:rPr>
        <w:tab/>
      </w:r>
      <w:r w:rsidRPr="00A477CD">
        <w:rPr>
          <w:noProof/>
        </w:rPr>
        <w:t>Налогообложение деятельности по привлечению внебюджетных средств</w:t>
      </w: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Заключение</w:t>
      </w: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Список использованной литературы</w:t>
      </w: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Приложение 1</w:t>
      </w: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Приложение 2</w:t>
      </w: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Приложение 3</w:t>
      </w: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Приложение 4</w:t>
      </w:r>
    </w:p>
    <w:p w:rsidR="00BD2BDC" w:rsidRDefault="00BD2BDC" w:rsidP="00BD2BD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4"/>
          <w:szCs w:val="24"/>
        </w:rPr>
      </w:pPr>
      <w:r w:rsidRPr="00A477CD">
        <w:rPr>
          <w:noProof/>
        </w:rPr>
        <w:t>Приложение 5</w:t>
      </w:r>
    </w:p>
    <w:p w:rsidR="00BD2BDC" w:rsidRDefault="00BD2BDC" w:rsidP="00BD2BDC">
      <w:pPr>
        <w:spacing w:line="360" w:lineRule="auto"/>
        <w:jc w:val="both"/>
      </w:pPr>
      <w:bookmarkStart w:id="0" w:name="_Toc253228286"/>
    </w:p>
    <w:p w:rsidR="00123ACA" w:rsidRPr="00BD2BDC" w:rsidRDefault="00BD2BDC" w:rsidP="00BD2BDC">
      <w:pPr>
        <w:spacing w:line="360" w:lineRule="auto"/>
        <w:ind w:firstLine="720"/>
        <w:jc w:val="both"/>
        <w:rPr>
          <w:b/>
        </w:rPr>
      </w:pPr>
      <w:r>
        <w:br w:type="page"/>
      </w:r>
      <w:r w:rsidR="00123ACA" w:rsidRPr="00BD2BDC">
        <w:rPr>
          <w:b/>
        </w:rPr>
        <w:t>Введение</w:t>
      </w:r>
      <w:bookmarkEnd w:id="0"/>
    </w:p>
    <w:p w:rsidR="00BD2BDC" w:rsidRDefault="00BD2BDC" w:rsidP="00BD2BDC">
      <w:pPr>
        <w:spacing w:line="360" w:lineRule="auto"/>
        <w:ind w:firstLine="709"/>
        <w:jc w:val="both"/>
      </w:pPr>
    </w:p>
    <w:p w:rsidR="00830C59" w:rsidRPr="00BD2BDC" w:rsidRDefault="00123ACA" w:rsidP="00BD2BDC">
      <w:pPr>
        <w:spacing w:line="360" w:lineRule="auto"/>
        <w:ind w:firstLine="709"/>
        <w:jc w:val="both"/>
      </w:pPr>
      <w:r w:rsidRPr="00BD2BDC">
        <w:t xml:space="preserve">Преобразование российского общества и осуществляемые в стране экономические реформы не могли не затронуть культурную жизнь, которая в последнее десятилетие испытывала воздействие двух противоположных тенденций. Формирование демократических основ государства обусловило рост творческой инициативы граждан, возникновение театров, музеев, творческих коллективов и объединений. Свободы, полученные деятелями и организациями культуры, обеспечили оптимальные условия для ее развития. Появились новые типы потребителей и заказчиков профессионального искусства, строящие свои отношения с творческими деятелями на рыночных принципах. В то же время государство последовательно сокращало свое участие в поддержке отечественной культуры, полагая, что формирующийся рынок решит возникающие проблемы. Стало уменьшаться влияние культуры на российское общество, на формирование позитивных установок и ценностных ориентаций граждан. Несмотря на сложную, в некоторых областях культурного развития - кризисную, ситуацию, частично удалось преодолеть господство патерналистской психологии в сфере культуры, добиться распространения программных методов организации культурной деятельности, расширения форм и объемов участия общества в поддержке культуры. В настоящее время имеются необходимые социальные, экономические и психологические предпосылки для начала радикального обновления системы государственного управления и государственного регулирования в сфере культуры. Сегодняшнюю ситуацию в отрасли можно охарактеризовать как начало принципиально нового этапа ее устойчивого развития. Вместе с тем в условиях становления рыночных отношений и демократизации общества накопленный потенциал культуры требует преобразований. Многообразие явлений, составляющих отрасль "Культура", делает невозможным решение стоящих перед ней проблем изолированно, в отдельных регионах или организациях, без широкого взаимодействия органов государственной власти всех уровней, общественных объединений и других субъектов культурной деятельности, обусловливает необходимость применения программных методов. И вопросы финансирования учреждений культуры имеет приоритетное значение. В этом и заключается актуальность выбранной темы курсовой работы. </w:t>
      </w:r>
      <w:r w:rsidR="00830C59" w:rsidRPr="00BD2BDC">
        <w:t>Актуальность темы. Выполняя комплекс задач по идеологическому и социальному обслуживанию населения, направленных на расширенное воспроизводство общества, культура выступает одним из основных претендентов на средства государственного бюджета. В то же время культура располагает значительным коммерческим потенциалом и при умелом его использовании может внести существенный вклад в развитие отечественной экономики. Примером может служить концертная деятельность. Сочетание бюджетного финансирования культуры с элементами самофинансирования вполне вписывается в структуру современного рыночного механизма.</w:t>
      </w:r>
    </w:p>
    <w:p w:rsidR="00830C59" w:rsidRPr="00BD2BDC" w:rsidRDefault="00830C59" w:rsidP="00BD2BDC">
      <w:pPr>
        <w:spacing w:line="360" w:lineRule="auto"/>
        <w:ind w:firstLine="709"/>
        <w:jc w:val="both"/>
      </w:pPr>
      <w:r w:rsidRPr="00BD2BDC">
        <w:t>Объектом исследования данной курсовой работы является финансовое обеспечение бюджетных учреждений, предметом – внебюджетные средства финансирования учреждений культуры.</w:t>
      </w:r>
    </w:p>
    <w:p w:rsidR="00830C59" w:rsidRPr="00BD2BDC" w:rsidRDefault="00830C59" w:rsidP="00BD2BDC">
      <w:pPr>
        <w:spacing w:line="360" w:lineRule="auto"/>
        <w:ind w:firstLine="709"/>
        <w:jc w:val="both"/>
      </w:pPr>
      <w:r w:rsidRPr="00BD2BDC">
        <w:t>Цель курсовой работы: рассмотреть особенности формирования внебюджетных средств финансирования учреждений культуры в условиях действия рыночной модели хозяйствования.</w:t>
      </w:r>
    </w:p>
    <w:p w:rsidR="00830C59" w:rsidRPr="00BD2BDC" w:rsidRDefault="00830C59" w:rsidP="00BD2BDC">
      <w:pPr>
        <w:spacing w:line="360" w:lineRule="auto"/>
        <w:ind w:firstLine="709"/>
        <w:jc w:val="both"/>
      </w:pPr>
      <w:r w:rsidRPr="00BD2BDC">
        <w:t>Задачи курсовой работы:</w:t>
      </w:r>
    </w:p>
    <w:p w:rsidR="00830C59" w:rsidRPr="00BD2BDC" w:rsidRDefault="00830C59" w:rsidP="00BD2BDC">
      <w:pPr>
        <w:spacing w:line="360" w:lineRule="auto"/>
        <w:ind w:firstLine="709"/>
        <w:jc w:val="both"/>
      </w:pPr>
      <w:r w:rsidRPr="00BD2BDC">
        <w:t>- охарактеризовать особенности формирования внебюджетных средств финансирования учреждений культуры;</w:t>
      </w:r>
    </w:p>
    <w:p w:rsidR="00830C59" w:rsidRPr="00BD2BDC" w:rsidRDefault="00830C59" w:rsidP="00BD2BDC">
      <w:pPr>
        <w:spacing w:line="360" w:lineRule="auto"/>
        <w:ind w:firstLine="709"/>
        <w:jc w:val="both"/>
      </w:pPr>
      <w:r w:rsidRPr="00BD2BDC">
        <w:t>- рассмотреть внебюджетные источники финансирования культуры.</w:t>
      </w:r>
    </w:p>
    <w:p w:rsidR="00BD2BDC" w:rsidRDefault="00755C46" w:rsidP="00BD2BDC">
      <w:pPr>
        <w:spacing w:line="360" w:lineRule="auto"/>
        <w:ind w:firstLine="709"/>
        <w:jc w:val="both"/>
      </w:pPr>
      <w:r w:rsidRPr="00BD2BDC">
        <w:t>В курсовой работе в качестве примера приведены статистические данные 2005-2006 гг., это не является показателем того факта, что материал курсовой морально устарел. Все описанные механизмы и материалы актуальны в настоящее время и применимы на практике. Данные же за предыдущие периоды приводятся в качестве наглядного показателя, позволяющего в большей степени понять изложенный материал.</w:t>
      </w:r>
      <w:bookmarkStart w:id="1" w:name="_Toc253228287"/>
    </w:p>
    <w:p w:rsidR="003E0A80" w:rsidRPr="00BD2BDC" w:rsidRDefault="00BD2BDC" w:rsidP="00BD2BDC">
      <w:pPr>
        <w:spacing w:line="360" w:lineRule="auto"/>
        <w:ind w:firstLine="709"/>
        <w:jc w:val="both"/>
        <w:rPr>
          <w:b/>
        </w:rPr>
      </w:pPr>
      <w:r>
        <w:br w:type="page"/>
      </w:r>
      <w:r w:rsidRPr="00BD2BDC">
        <w:rPr>
          <w:b/>
        </w:rPr>
        <w:t xml:space="preserve">1. </w:t>
      </w:r>
      <w:r w:rsidR="003E0A80" w:rsidRPr="00BD2BDC">
        <w:rPr>
          <w:b/>
        </w:rPr>
        <w:t>Механизм финансирования из внебюджетных источников</w:t>
      </w:r>
      <w:bookmarkEnd w:id="1"/>
    </w:p>
    <w:p w:rsidR="00BD2BDC" w:rsidRPr="00BD2BDC" w:rsidRDefault="00BD2BDC" w:rsidP="00BD2BDC">
      <w:pPr>
        <w:spacing w:line="360" w:lineRule="auto"/>
        <w:ind w:firstLine="709"/>
        <w:jc w:val="both"/>
        <w:rPr>
          <w:b/>
        </w:rPr>
      </w:pPr>
    </w:p>
    <w:p w:rsidR="003E0A80" w:rsidRPr="00BD2BDC" w:rsidRDefault="00E03A48" w:rsidP="00BD2BD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53228288"/>
      <w:r w:rsidRPr="00BD2BDC">
        <w:rPr>
          <w:rFonts w:ascii="Times New Roman" w:hAnsi="Times New Roman" w:cs="Times New Roman"/>
          <w:sz w:val="28"/>
          <w:szCs w:val="28"/>
        </w:rPr>
        <w:t xml:space="preserve">1.1 </w:t>
      </w:r>
      <w:r w:rsidR="003E0A80" w:rsidRPr="00BD2BDC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8E7B7E" w:rsidRPr="00BD2BDC">
        <w:rPr>
          <w:rFonts w:ascii="Times New Roman" w:hAnsi="Times New Roman" w:cs="Times New Roman"/>
          <w:sz w:val="28"/>
          <w:szCs w:val="28"/>
        </w:rPr>
        <w:t xml:space="preserve"> механизма финансирования из внебюджетных источников</w:t>
      </w:r>
      <w:bookmarkEnd w:id="2"/>
    </w:p>
    <w:p w:rsidR="00BD2BDC" w:rsidRDefault="00BD2BDC" w:rsidP="00BD2BDC">
      <w:pPr>
        <w:spacing w:line="360" w:lineRule="auto"/>
        <w:ind w:firstLine="709"/>
        <w:jc w:val="both"/>
      </w:pP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Поступление средств из внебюджетных источников не является основанием для сокращения бюджетных отчислений в фонды развития культуры.</w:t>
      </w:r>
      <w:r w:rsidR="007C34A0" w:rsidRPr="00BD2BDC">
        <w:t xml:space="preserve"> </w:t>
      </w:r>
      <w:r w:rsidRPr="00BD2BDC">
        <w:t xml:space="preserve">В </w:t>
      </w:r>
      <w:smartTag w:uri="urn:schemas-microsoft-com:office:smarttags" w:element="metricconverter">
        <w:smartTagPr>
          <w:attr w:name="ProductID" w:val="2006 г"/>
        </w:smartTagPr>
        <w:r w:rsidR="00903CCA" w:rsidRPr="00BD2BDC">
          <w:t>2006</w:t>
        </w:r>
        <w:r w:rsidRPr="00BD2BDC">
          <w:t xml:space="preserve"> г</w:t>
        </w:r>
      </w:smartTag>
      <w:r w:rsidRPr="00BD2BDC">
        <w:t>. доля бюджетных ассигнований организациям культуры и искусства системы Министерства культуры РФ составила 81,1% в общем объеме финансовых поступлений, средств из иных источников - 18,9%</w:t>
      </w:r>
      <w:r w:rsidR="006C7A55" w:rsidRPr="00BD2BDC">
        <w:t xml:space="preserve"> (</w:t>
      </w:r>
      <w:r w:rsidR="00C44F78" w:rsidRPr="00BD2BDC">
        <w:t>Приложение 1</w:t>
      </w:r>
      <w:r w:rsidR="006C7A55" w:rsidRPr="00BD2BDC">
        <w:t>)</w:t>
      </w:r>
      <w:r w:rsidRPr="00BD2BDC">
        <w:t>. Это соотношение значительно колеблется для разных видов организаций культуры и искусства</w:t>
      </w:r>
      <w:r w:rsidR="00C44F78" w:rsidRPr="00BD2BDC">
        <w:t xml:space="preserve"> (Приложение 2)</w:t>
      </w:r>
      <w:r w:rsidRPr="00BD2BDC">
        <w:t xml:space="preserve">. Доля внебюджетных источников выше у бывших хозрасчетных предприятиях (парков, зоопарков, организаций исполнительских искусств) и ниже у культурно-просветительных учреждений (музеев, учреждений культурно-досугового типа, библиотек). Этот показатель традиционно самый высокий для парков культуры и отдыха (63,1%) и самый низкий - для библиотек (5,4%). В театрах и зоопарках он составляет более 40%, в музеях - 24,5%, в учреждениях культурно-досугового типа - 14,2%. В настоящее время значительно ниже, чем в 80-е и в начале 90-х гг. доля у концертных организаций. Так, в </w:t>
      </w:r>
      <w:smartTag w:uri="urn:schemas-microsoft-com:office:smarttags" w:element="metricconverter">
        <w:smartTagPr>
          <w:attr w:name="ProductID" w:val="2006 г"/>
        </w:smartTagPr>
        <w:r w:rsidR="00903CCA" w:rsidRPr="00BD2BDC">
          <w:t>2006</w:t>
        </w:r>
        <w:r w:rsidRPr="00BD2BDC">
          <w:t xml:space="preserve"> г</w:t>
        </w:r>
      </w:smartTag>
      <w:r w:rsidRPr="00BD2BDC">
        <w:t xml:space="preserve">. она составила лишь 33,3%, а в </w:t>
      </w:r>
      <w:smartTag w:uri="urn:schemas-microsoft-com:office:smarttags" w:element="metricconverter">
        <w:smartTagPr>
          <w:attr w:name="ProductID" w:val="1990 г"/>
        </w:smartTagPr>
        <w:r w:rsidRPr="00BD2BDC">
          <w:t>1990 г</w:t>
        </w:r>
      </w:smartTag>
      <w:r w:rsidRPr="00BD2BDC">
        <w:t>. доля только доходов от продажи билетов достигла 63%.</w:t>
      </w:r>
      <w:r w:rsidR="00903CCA" w:rsidRPr="00BD2BDC">
        <w:t xml:space="preserve">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Если оставить в стороне доходы от основных видов уставной деятельности организаций культуры и искусства системы Министерства культуры РФ, то доля прочих доходов и поступлений (доходы от предпринимательской деятельности, сдачи в аренду имущества, поступления от спонсоров и меценатов) составила в </w:t>
      </w:r>
      <w:smartTag w:uri="urn:schemas-microsoft-com:office:smarttags" w:element="metricconverter">
        <w:smartTagPr>
          <w:attr w:name="ProductID" w:val="2006 г"/>
        </w:smartTagPr>
        <w:r w:rsidR="00903CCA" w:rsidRPr="00BD2BDC">
          <w:t>2006</w:t>
        </w:r>
        <w:r w:rsidRPr="00BD2BDC">
          <w:t xml:space="preserve"> г</w:t>
        </w:r>
      </w:smartTag>
      <w:r w:rsidRPr="00BD2BDC">
        <w:t xml:space="preserve">. 4,2% в общем объеме финансовых поступлений. Это всего лишь 886 млн руб. на 104 тыс. организаций.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Государственным и муниципальным учреждениям культуры разрешено вести предпринимательскую деятельность, предусмотренную их уставом.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В "Основах законодательства Российской Федерации о культуре" от 9 октября </w:t>
      </w:r>
      <w:smartTag w:uri="urn:schemas-microsoft-com:office:smarttags" w:element="metricconverter">
        <w:smartTagPr>
          <w:attr w:name="ProductID" w:val="1992 г"/>
        </w:smartTagPr>
        <w:r w:rsidRPr="00BD2BDC">
          <w:t>1992 г</w:t>
        </w:r>
      </w:smartTag>
      <w:r w:rsidRPr="00BD2BDC">
        <w:t>. № 3612-I установлен перечень видов предпринимательской деятельности:</w:t>
      </w:r>
    </w:p>
    <w:p w:rsidR="00274A50" w:rsidRPr="00BD2BDC" w:rsidRDefault="00903CCA" w:rsidP="00BD2BDC">
      <w:pPr>
        <w:spacing w:line="360" w:lineRule="auto"/>
        <w:ind w:firstLine="709"/>
        <w:jc w:val="both"/>
      </w:pPr>
      <w:r w:rsidRPr="00BD2BDC">
        <w:t xml:space="preserve">- </w:t>
      </w:r>
      <w:r w:rsidR="00274A50" w:rsidRPr="00BD2BDC">
        <w:t>по реализации и сдаче в аренду основных фондов и имущества организации культуры для целей, не связанных с культурной деятельностью;</w:t>
      </w:r>
    </w:p>
    <w:p w:rsidR="00274A50" w:rsidRPr="00BD2BDC" w:rsidRDefault="00903CCA" w:rsidP="00BD2BDC">
      <w:pPr>
        <w:spacing w:line="360" w:lineRule="auto"/>
        <w:ind w:firstLine="709"/>
        <w:jc w:val="both"/>
      </w:pPr>
      <w:r w:rsidRPr="00BD2BDC">
        <w:t xml:space="preserve">- </w:t>
      </w:r>
      <w:r w:rsidR="00274A50" w:rsidRPr="00BD2BDC">
        <w:t>по торговле покупными товарами, оборудованием;</w:t>
      </w:r>
    </w:p>
    <w:p w:rsidR="00274A50" w:rsidRPr="00BD2BDC" w:rsidRDefault="00903CCA" w:rsidP="00BD2BDC">
      <w:pPr>
        <w:spacing w:line="360" w:lineRule="auto"/>
        <w:ind w:firstLine="709"/>
        <w:jc w:val="both"/>
      </w:pPr>
      <w:r w:rsidRPr="00BD2BDC">
        <w:t xml:space="preserve">- </w:t>
      </w:r>
      <w:r w:rsidR="00274A50" w:rsidRPr="00BD2BDC">
        <w:t>по оказанию посреднических услуг;</w:t>
      </w:r>
    </w:p>
    <w:p w:rsidR="00274A50" w:rsidRPr="00BD2BDC" w:rsidRDefault="00903CCA" w:rsidP="00BD2BDC">
      <w:pPr>
        <w:spacing w:line="360" w:lineRule="auto"/>
        <w:ind w:firstLine="709"/>
        <w:jc w:val="both"/>
      </w:pPr>
      <w:r w:rsidRPr="00BD2BDC">
        <w:t xml:space="preserve">- </w:t>
      </w:r>
      <w:r w:rsidR="00274A50" w:rsidRPr="00BD2BDC">
        <w:t>по долевому участию в деятельности коммерческих предприятий, учреждений и организаций (в том числе культуры);</w:t>
      </w:r>
    </w:p>
    <w:p w:rsidR="00274A50" w:rsidRPr="00BD2BDC" w:rsidRDefault="00903CCA" w:rsidP="00BD2BDC">
      <w:pPr>
        <w:spacing w:line="360" w:lineRule="auto"/>
        <w:ind w:firstLine="709"/>
        <w:jc w:val="both"/>
      </w:pPr>
      <w:r w:rsidRPr="00BD2BDC">
        <w:t xml:space="preserve">- </w:t>
      </w:r>
      <w:r w:rsidR="00274A50" w:rsidRPr="00BD2BDC">
        <w:t>по приобретению акций, облигаций, иных ценных бумаг и получению доходов (дивидендов, процентов) по ним;</w:t>
      </w:r>
    </w:p>
    <w:p w:rsidR="00274A50" w:rsidRPr="00BD2BDC" w:rsidRDefault="00903CCA" w:rsidP="00BD2BDC">
      <w:pPr>
        <w:spacing w:line="360" w:lineRule="auto"/>
        <w:ind w:firstLine="709"/>
        <w:jc w:val="both"/>
      </w:pPr>
      <w:r w:rsidRPr="00BD2BDC">
        <w:t xml:space="preserve">- </w:t>
      </w:r>
      <w:r w:rsidR="00274A50" w:rsidRPr="00BD2BDC">
        <w:t>по осуществлению приносящих доход не предусмотренных уставом операций, работ, услуг.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Деятельность учреждений культуры по реализации предусмотренных уставом работ, услуг и производимой продукции относится к предпринимательской лишь в той части, в которой получаемый от этой деятельности доход не инвестируется непосредственно в данной организации на нужды обеспечения, развития и совершенствования основной уставной деятельности.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Платные формы культурной деятельности культурно-просветительских учреждений, театров, филармоний, народных коллективов и исполнителей не рассматриваются как предпринимательские, если доход от них полностью идет на их развитие и совершенствование.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Цены (тарифы) на платные услуги и продукцию, включая цены на билеты, учреждения культуры устанавливают самостоятельно.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При организации платных мероприятий учреждения культуры обязаны устанавливать льготы для детей дошкольного возраста, учащихся, инвалидов, военнослужащих срочной службы. Порядок установления льгот для данных категорий населения устанавливается соответствующими органами законодательной власти.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Финансирование расходов, связанных с бесплатным посещением музеев один раз в месяц лицами, не достигшими 18 лет, осуществляется в пределах средств, предусмотренных на финансирование музеев и постоянных выставок в ведомственной структуре расходов федерального бюджета.</w:t>
      </w:r>
    </w:p>
    <w:p w:rsidR="00B4314F" w:rsidRPr="00BD2BDC" w:rsidRDefault="00274A50" w:rsidP="00BD2BDC">
      <w:pPr>
        <w:spacing w:line="360" w:lineRule="auto"/>
        <w:ind w:firstLine="709"/>
        <w:jc w:val="both"/>
      </w:pPr>
      <w:r w:rsidRPr="00BD2BDC">
        <w:t>Для обеспечения социальной защиты граждан допускается государственное регулирование цен на продукцию предприятий, тиражирующих товары культурного и информационного назначения и занимающих при этом монопольное положение на рынке.</w:t>
      </w:r>
    </w:p>
    <w:p w:rsidR="00274A50" w:rsidRPr="00BD2BDC" w:rsidRDefault="00274A50" w:rsidP="00BD2BDC">
      <w:pPr>
        <w:spacing w:line="360" w:lineRule="auto"/>
        <w:ind w:firstLine="709"/>
        <w:jc w:val="both"/>
      </w:pPr>
    </w:p>
    <w:p w:rsidR="00E03A48" w:rsidRPr="00BD2BDC" w:rsidRDefault="00E03A48" w:rsidP="00BD2BDC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3" w:name="_Toc253228289"/>
      <w:r w:rsidRPr="00BD2BDC">
        <w:rPr>
          <w:rFonts w:ascii="Times New Roman" w:hAnsi="Times New Roman"/>
          <w:sz w:val="28"/>
        </w:rPr>
        <w:t>1.2 Источники внебюджетных поступлений</w:t>
      </w:r>
      <w:bookmarkEnd w:id="3"/>
    </w:p>
    <w:p w:rsidR="00BD2BDC" w:rsidRDefault="00BD2BDC" w:rsidP="00BD2BDC">
      <w:pPr>
        <w:spacing w:line="360" w:lineRule="auto"/>
        <w:ind w:firstLine="709"/>
        <w:jc w:val="both"/>
      </w:pP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Привлечение дополнительных внебюджетных средств не влечет за собой снижение нормативов и (или) абсолютных размеров финансирования </w:t>
      </w:r>
      <w:r w:rsidR="00107C6E" w:rsidRPr="00BD2BDC">
        <w:t>культурных</w:t>
      </w:r>
      <w:r w:rsidRPr="00BD2BDC">
        <w:t xml:space="preserve"> учреждений за счет средств учредителя. Однако платные услуги, предоставляемые государственными и муниципальными учреждениями, не могут быть оказаны вместо деятельности, финансируемой за счет средств бюджета.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Внебюджетные средства поступают в </w:t>
      </w:r>
      <w:r w:rsidR="00107C6E" w:rsidRPr="00BD2BDC">
        <w:t>культурные</w:t>
      </w:r>
      <w:r w:rsidRPr="00BD2BDC">
        <w:t xml:space="preserve"> учреждения различными путями: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• за счет предоставления платных услуг;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от спонсоров и благотворительности физических и юридических лиц;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от сдачи помещений и оборудования в аренду;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от реализации произведенных товаров, работ, продуктов инт</w:t>
      </w:r>
      <w:r w:rsidR="00107C6E" w:rsidRPr="00BD2BDC">
        <w:t>еллектуальной собственности и прочих</w:t>
      </w:r>
      <w:r w:rsidRPr="00BD2BDC">
        <w:t xml:space="preserve"> услуг;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в результате поступления целевых средств из бюджетов других уровней (федеральные, региональные и муниципальные программы) и др.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Практика привлечения </w:t>
      </w:r>
      <w:r w:rsidR="00107C6E" w:rsidRPr="00BD2BDC">
        <w:t>культурными</w:t>
      </w:r>
      <w:r w:rsidRPr="00BD2BDC">
        <w:t xml:space="preserve"> учреждениями внебюджетных средств постоянно расширяется: увеличивается число учреждений, предусматривающих внебюджетное финансирование, возрастают объемы этого финансирования.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Поступление в государственные и муниципальные учреждения внебюджетных средств и их расходование регламентируются соответствующими нормативными правовыми актами. Основными из них являются: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Бюджетный кодекс РФ от 31.07.98 № 145ФЗ (далее – БК РФ);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Гражданский кодекс РФ от 30.11.94 № 51ФЗ (часть первая), от 26.01.96 № 14­ФЗ (часть вторая);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Налоговый кодекс РФ от 05.08.00 № 117ФЗ (часть вторая) (далее – НК РФ);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• Закон РФ от 10.07.92 № 32661 “Об нии”;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Закон РФ от 07.02.92 № 23001 “О защите прав потребителей”;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Федеральный закон от 13.03.06 № 38ФЗ “О рекламе”;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Федеральный закон от 11.08.95 № 135ФЗ “О благотворительной деятельности и благотворительных организациях”;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постановление Правительства РФ от 05.07.01 № 505 “Об утверждении правил оказания платных услуг”.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Государственные и муниципальные учреждения являются бюджетными учреждениями. В соответствии с БК РФ (ст. 42) доходы бюджетного учреждения, полученные от приносящей доход деятельности, после уплаты налогов и сборов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имущества, находящегося в государственной или муниципальной собственности, либо как доходы от оказания платных услуг. Бюджетное учреждение имеет право на использование этих средств в полном объеме для реализации уставной деятельности.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Это положение БК РФ диктует необходимость предусматривать в уставе учреждения исчерпывающий перечень платных услуг и производимых работ, источники поступления финансовых средств или другого имущества. Именно уставы являются основанием для оформления разрешения на открытие в органах казначейства лицевого счета по предпринимательской деятельности.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БК РФ (ст. 70) установлено, что бюджетное учреждение вправе расходовать имеющиеся средства: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на оплату труда работников;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перечисление страховых взносов в государственные внебюджетные фонды;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трансферты населению, командировочные и иные компенсационные выплаты работникам;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оплату товаров, работ и услуг по заключенным государственным или муниципальным контрактам;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оплату товаров, работ и услуг в соответствии с утвержденными сметами без заключения государственных или муниципальных контрактов.</w:t>
      </w:r>
    </w:p>
    <w:p w:rsidR="00BD2BDC" w:rsidRDefault="00274A50" w:rsidP="00BD2BDC">
      <w:pPr>
        <w:spacing w:line="360" w:lineRule="auto"/>
        <w:ind w:firstLine="709"/>
        <w:jc w:val="both"/>
      </w:pPr>
      <w:r w:rsidRPr="00BD2BDC">
        <w:t xml:space="preserve">Основным источником получения внебюджетных средств </w:t>
      </w:r>
      <w:r w:rsidR="00107C6E" w:rsidRPr="00BD2BDC">
        <w:t>культурных</w:t>
      </w:r>
      <w:r w:rsidR="003E0A80" w:rsidRPr="00BD2BDC">
        <w:t xml:space="preserve"> учреждений </w:t>
      </w:r>
      <w:r w:rsidRPr="00BD2BDC">
        <w:t xml:space="preserve">является </w:t>
      </w:r>
      <w:r w:rsidR="00107C6E" w:rsidRPr="00BD2BDC">
        <w:t>платная культурная</w:t>
      </w:r>
      <w:r w:rsidRPr="00BD2BDC">
        <w:t xml:space="preserve"> деятельность. Для </w:t>
      </w:r>
      <w:r w:rsidR="00107C6E" w:rsidRPr="00BD2BDC">
        <w:t>культурных</w:t>
      </w:r>
      <w:r w:rsidRPr="00BD2BDC">
        <w:t xml:space="preserve"> учреждений эта деятельность связана с реализацией дополнительных </w:t>
      </w:r>
      <w:r w:rsidR="00107C6E" w:rsidRPr="00BD2BDC">
        <w:t>культурных</w:t>
      </w:r>
      <w:r w:rsidRPr="00BD2BDC">
        <w:t xml:space="preserve"> программ</w:t>
      </w:r>
      <w:r w:rsidR="00107C6E" w:rsidRPr="00BD2BDC">
        <w:t>.</w:t>
      </w:r>
      <w:r w:rsidRPr="00BD2BDC">
        <w:t xml:space="preserve"> Однако </w:t>
      </w:r>
      <w:r w:rsidR="00107C6E" w:rsidRPr="00BD2BDC">
        <w:t>культурные</w:t>
      </w:r>
      <w:r w:rsidRPr="00BD2BDC">
        <w:t xml:space="preserve"> учреждения обладают еще и материальным, финансовым, интеллектуальным потенциалами, которые можно и нужно использовать в целях организации деятельности по привлечению внебюджетных средств. Обладание производственными мощностями, необходимым оборудованием, помещениями позволяет производить товары, выполнять заказы, оказывать широкий спектр услуг, сдавать в аренду помещения и оборудование. Информационные ресурсы создают условия для развития современных технологий, создания программных продуктов, баз данных, реализации методических материалов, услуг по использованию Интернета. </w:t>
      </w:r>
      <w:bookmarkStart w:id="4" w:name="_Toc253228290"/>
    </w:p>
    <w:p w:rsidR="00E03A48" w:rsidRPr="00BD2BDC" w:rsidRDefault="00BD2BDC" w:rsidP="00BD2BDC">
      <w:pPr>
        <w:spacing w:line="360" w:lineRule="auto"/>
        <w:ind w:firstLine="709"/>
        <w:jc w:val="both"/>
        <w:rPr>
          <w:b/>
          <w:iCs/>
        </w:rPr>
      </w:pPr>
      <w:r>
        <w:br w:type="page"/>
      </w:r>
      <w:r w:rsidRPr="00BD2BDC">
        <w:rPr>
          <w:b/>
          <w:iCs/>
        </w:rPr>
        <w:t>2</w:t>
      </w:r>
      <w:r w:rsidRPr="00BD2BDC">
        <w:rPr>
          <w:b/>
          <w:i/>
          <w:iCs/>
        </w:rPr>
        <w:t xml:space="preserve">. </w:t>
      </w:r>
      <w:r w:rsidR="00E03A48" w:rsidRPr="00BD2BDC">
        <w:rPr>
          <w:b/>
          <w:iCs/>
        </w:rPr>
        <w:t xml:space="preserve">Механизм привлечения </w:t>
      </w:r>
      <w:r w:rsidR="008E7B7E" w:rsidRPr="00BD2BDC">
        <w:rPr>
          <w:b/>
          <w:iCs/>
        </w:rPr>
        <w:t xml:space="preserve">и расходования  </w:t>
      </w:r>
      <w:r w:rsidR="00E03A48" w:rsidRPr="00BD2BDC">
        <w:rPr>
          <w:b/>
          <w:iCs/>
        </w:rPr>
        <w:t>внебюджетных средств</w:t>
      </w:r>
      <w:bookmarkEnd w:id="4"/>
    </w:p>
    <w:p w:rsidR="00BD2BDC" w:rsidRDefault="00BD2BDC" w:rsidP="00BD2BDC">
      <w:pPr>
        <w:spacing w:line="360" w:lineRule="auto"/>
        <w:ind w:firstLine="709"/>
        <w:jc w:val="both"/>
      </w:pP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Создание эффективного механизма привлечения внебюджетных средств начинается с определения набора деятельности, выбора конкретной услуги или продукции с учетом потенциальных возможностей конкретного учебного заведения. Для такого выбора важно провести анализ демографической ситуации, возможностей местного рынка труда, состояния экономики региона и благосостояния населения, потребности в услугах, наличия конкурирующих структур и др.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Для успешной работы по привлечению внебюджетных средств необходимо заинтересовать в этом коллектив, каждое подразделение, каждого сотрудника, сформировать нормативную базу, определяющую порядок и последовательность действий, получить лицензии (аккредитацию, сертификаты и др.), требующиеся для осуществления большинства видов внебюджетной деятельности.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Начиная или развивая внебюджетную деятельность, следует по возможности оценить все влияющие на нее факторы. Особенно важно это сделать, если имеется несколько вариантов использования ресурсов. Но даже ограниченный потенциал, например</w:t>
      </w:r>
      <w:r w:rsidR="0099451B" w:rsidRPr="00BD2BDC">
        <w:t>,</w:t>
      </w:r>
      <w:r w:rsidRPr="00BD2BDC">
        <w:t xml:space="preserve"> позволяет эффективно организовать его использование и получать дополнительные средства.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Одной из задач является правильное определение цены производимых товаров, работ и услуг. Получаемая выручка как минимум должна покрывать издержки по их производству и реализации. В цену платных услуг включаются: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материальные, трудовые и другие затраты, которые подразделяются на прямые, связанные непосредственно с оказанием услуг (выполнением работ), и накладные, связанные с деятельностью учреждения по организации предоставления услуг;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налоги по конкретным видам деятельности;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плановая прибыль.</w:t>
      </w:r>
    </w:p>
    <w:p w:rsidR="00E03A48" w:rsidRPr="00BD2BDC" w:rsidRDefault="00E03A48" w:rsidP="00BD2BDC">
      <w:pPr>
        <w:pStyle w:val="2"/>
        <w:numPr>
          <w:ilvl w:val="1"/>
          <w:numId w:val="8"/>
        </w:numPr>
        <w:spacing w:before="0" w:after="0" w:line="360" w:lineRule="auto"/>
        <w:ind w:left="0" w:firstLine="720"/>
        <w:jc w:val="both"/>
        <w:rPr>
          <w:rFonts w:ascii="Times New Roman" w:hAnsi="Times New Roman"/>
          <w:i w:val="0"/>
          <w:iCs w:val="0"/>
        </w:rPr>
      </w:pPr>
      <w:bookmarkStart w:id="5" w:name="_Toc253228291"/>
      <w:r w:rsidRPr="00BD2BDC">
        <w:rPr>
          <w:rFonts w:ascii="Times New Roman" w:hAnsi="Times New Roman"/>
          <w:i w:val="0"/>
          <w:iCs w:val="0"/>
        </w:rPr>
        <w:t>Направления расходов внебюджетных средств</w:t>
      </w:r>
      <w:bookmarkEnd w:id="5"/>
    </w:p>
    <w:p w:rsidR="00BD2BDC" w:rsidRDefault="00BD2BDC" w:rsidP="00BD2BDC">
      <w:pPr>
        <w:spacing w:line="360" w:lineRule="auto"/>
        <w:ind w:firstLine="709"/>
        <w:jc w:val="both"/>
      </w:pP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К прямым затратам относятся оплата труда с учетом единого социального налога непосредственных исполнителей работ и услуг и материальные затраты, необходимые для их производства; к накладным расходам – оплата труда с учетом единого социального налога административного и обслуживающего персонала, коммунальные платежи и услуги связи, затраты на ремонт и приобретение оборудования, текущий и капитальный ремонт здания, транспортные расходы, командировки, повышение квалификации и др. При этом важно определить, в какой части эти расходы относятся к данному виду работ и услуг.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Как известно, расходы учреждения подразделяются на текущие и капитальные. Текущие расходы включают в себя оплату труда с начислениями, а также материальные и приравненные к ним затраты.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Капитальные расходы связаны с приобретением оборудования и других основных средств, а также с затратами (отчислениями) на капитальный ремонт и амортизацию (износ основных средств).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Существует несколько вариантов расчета цены услуг. В цену могут включаться: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только текущие затраты, относящиеся к обеспечению учебного процесса и его обслуживанию (административные, хозяйственные и эксплуатационные расходы);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текущие затраты и часть капитальных затрат;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все затраты: и текущие, и капитальные.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В условиях рынка допустимо устанавливать льготные цены применительно к конкретному перечню или контингенту воспитанников. Такая дифференциация должна быть отражена в локальных актах учреждения (положение, приказы и др.). При этом восполнение затрат возможно за счет привлечения к занятиям большего числа воспитанников, сокращения расходов по обеспечению учебного процесса, повышения цены на услуги, пользующиеся повышенным спросом, и иными способами.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Размер плановой прибыли устанавливается соответствующим органом управления учреждения в процентах от совокупных затрат для каждого конкретного вида деятельности. Стоимость платных услуг определяется на основании соглашения сторон, выраженного в договоре об оплате дополнительных услуг. Это означает, что все расчеты, проводимые в </w:t>
      </w:r>
      <w:r w:rsidR="00107C6E" w:rsidRPr="00BD2BDC">
        <w:t xml:space="preserve">культурном </w:t>
      </w:r>
      <w:r w:rsidRPr="00BD2BDC">
        <w:t>учреждении для определения разумной цены платных услуг, имеют смысл лишь тогда, когда родители готовы по рассчитанной цене оплачивать услуги.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Дополнительные платные услуги должны оплачиваться через учреждения банков по квитанции, выписанной учреждением с указанием всех необходимых реквизитов, или в </w:t>
      </w:r>
      <w:r w:rsidR="00107C6E" w:rsidRPr="00BD2BDC">
        <w:t xml:space="preserve">культурном </w:t>
      </w:r>
      <w:r w:rsidRPr="00BD2BDC">
        <w:t>учреждении при наличии оборудованной кассы.</w:t>
      </w:r>
      <w:r w:rsidR="00BD2BDC">
        <w:t xml:space="preserve"> </w:t>
      </w:r>
      <w:r w:rsidRPr="00BD2BDC">
        <w:t xml:space="preserve">Если учреждение обслуживается централизованной бухгалтерией и не имеет своего расчетного счета, в квитанции необходимо указать номер или полное наименование учреждения, группу и фамилию воспитанника. Все юридические и финансовые отношения, связанные с оказанием платных услуг, регулируются договором.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Структура договора предусматривает: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название договора;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• указание сторон (для </w:t>
      </w:r>
      <w:r w:rsidR="00107C6E" w:rsidRPr="00BD2BDC">
        <w:t>культурного</w:t>
      </w:r>
      <w:r w:rsidRPr="00BD2BDC">
        <w:t xml:space="preserve"> учреждения – лица, действующего от имени </w:t>
      </w:r>
      <w:r w:rsidR="00107C6E" w:rsidRPr="00BD2BDC">
        <w:t xml:space="preserve">культурного </w:t>
      </w:r>
      <w:r w:rsidRPr="00BD2BDC">
        <w:t>учреждения);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предмет договора (комплекс услуг или отдельные услуги; возможны приложения, в которых содержатся сведения о программах, форме обучения, расписании занятий и т. д.);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права и обязанности сторон (наряду с общими положениями о надлежащем качестве предоставляемых услуг целесообразно указать на возможность изменения размера оплаты и определить его порядок; установить право родителей получать всю необходимую информацию о процессе предоставления услуг и в установленном порядке обращаться со своими замечаниями и предложениями);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сроки и порядок оплаты;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срок действия договора;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порядок досрочного расторжения договора;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дополнительные условия;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реквизиты и подписи сторон.</w:t>
      </w:r>
    </w:p>
    <w:p w:rsidR="00E03A48" w:rsidRPr="00BD2BDC" w:rsidRDefault="00E03A48" w:rsidP="00BD2BDC">
      <w:pPr>
        <w:spacing w:line="360" w:lineRule="auto"/>
        <w:ind w:firstLine="709"/>
        <w:jc w:val="both"/>
      </w:pPr>
    </w:p>
    <w:p w:rsidR="00E03A48" w:rsidRPr="00BD2BDC" w:rsidRDefault="00E03A48" w:rsidP="00BD2BDC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/>
          <w:i w:val="0"/>
          <w:iCs w:val="0"/>
        </w:rPr>
      </w:pPr>
      <w:bookmarkStart w:id="6" w:name="_Toc253228292"/>
      <w:r w:rsidRPr="00BD2BDC">
        <w:rPr>
          <w:rFonts w:ascii="Times New Roman" w:hAnsi="Times New Roman"/>
          <w:i w:val="0"/>
          <w:iCs w:val="0"/>
        </w:rPr>
        <w:t>Налогообложение деятельности по привлечению внебюджетных средств</w:t>
      </w:r>
      <w:bookmarkEnd w:id="6"/>
    </w:p>
    <w:p w:rsidR="00BD2BDC" w:rsidRDefault="00BD2BDC" w:rsidP="00BD2BDC">
      <w:pPr>
        <w:spacing w:line="360" w:lineRule="auto"/>
        <w:ind w:firstLine="709"/>
        <w:jc w:val="both"/>
      </w:pP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Налогообложение деятельности по привлечению </w:t>
      </w:r>
      <w:r w:rsidR="00107C6E" w:rsidRPr="00BD2BDC">
        <w:t>культурным</w:t>
      </w:r>
      <w:r w:rsidRPr="00BD2BDC">
        <w:t xml:space="preserve"> учреждением внебюджетных средств регулируется НК РФ. В настоящее время налогообложение государственных и муниципальных учреждений производится в общем режиме.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Заработная плата работников облагается единым социальным налогом.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Любая доходная деятельность </w:t>
      </w:r>
      <w:r w:rsidR="00107C6E" w:rsidRPr="00BD2BDC">
        <w:t>культурного</w:t>
      </w:r>
      <w:r w:rsidRPr="00BD2BDC">
        <w:t xml:space="preserve"> учреждения подлежит налогообложению по налогу на добавленную стоимость (далее – НДС) и налогу на прибыль.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От НДС освобождаются: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услуги по содержанию детей в дошкольных учреждениях, по проведению занятий с несовершеннолетними детьми в кружках, секциях (включая спортивные) и студиях (подп. 4 п. 2 ст. 149 НК РФ);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• услуги в сфере учебнопроизводственного ния (по направлениям основного и дополнительного ния, указанным в лицензии) или воспитательного процесса, за исключением консультационных услуг, а также услуг по сдаче в аренду помещений (подп. 14 п. 2 ст. 149 НК РФ).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Кроме того, в соответствии с п. 1 ст. 145 НК РФ </w:t>
      </w:r>
      <w:r w:rsidR="00107C6E" w:rsidRPr="00BD2BDC">
        <w:t>некоторые культурные</w:t>
      </w:r>
      <w:r w:rsidRPr="00BD2BDC">
        <w:t xml:space="preserve"> организации имеют право на освобождение от уплаты налога на добавленную стоимость, если за три предшествующих последовательных календарных месяца сумма выручки от реализации товаров, работ, услуг без учета НДС не превысила в совокупности 2 млн руб. Освобождение предоставляется на 12 месяцев, по истечении которых учреждение может продлить срок его действия.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Не являются объектом налогообложения по НДС средства, полученные учреждением в порядке пожертвования, дарения, по завещанию.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Государственные и муниципальные учреждения являются плательщиками налога на прибыль организаций. Налог на прибыль платится с доходов, полученных от реализации платных и иных услуг, от аренды, от реализации произведенных товаров, работ. Такие доходы бюджетного учреждения именуются доходами от коммерческой деятельности. </w:t>
      </w:r>
    </w:p>
    <w:p w:rsidR="00C01AF1" w:rsidRPr="00BD2BDC" w:rsidRDefault="00C01AF1" w:rsidP="00BD2BDC">
      <w:pPr>
        <w:spacing w:line="360" w:lineRule="auto"/>
        <w:ind w:firstLine="709"/>
        <w:jc w:val="both"/>
      </w:pPr>
      <w:r w:rsidRPr="00BD2BDC">
        <w:t>Собственная коммерческая деятельность учреждения культуры является традиционным внебюджетным источником финансирования в сфере культуры. Важно подчеркнуть, что речь идет о четкой ориентации на потребности посетителей, на те виды деятельности, которые пользуются повышенным спросом. Помимо традиционных платных культурных услуг, это могут быть и банковский депозит, и сдача помещений в аренду и пр.</w:t>
      </w:r>
    </w:p>
    <w:p w:rsidR="00274A50" w:rsidRPr="00BD2BDC" w:rsidRDefault="00C01AF1" w:rsidP="00BD2BDC">
      <w:pPr>
        <w:spacing w:line="360" w:lineRule="auto"/>
        <w:ind w:firstLine="709"/>
        <w:jc w:val="both"/>
      </w:pPr>
      <w:r w:rsidRPr="00BD2BDC">
        <w:t xml:space="preserve"> </w:t>
      </w:r>
      <w:r w:rsidR="00274A50" w:rsidRPr="00BD2BDC">
        <w:t xml:space="preserve">Налоговая база бюджетных учреждений по налогу на прибыль определяется как разница между полученной суммой дохода (без учета НДС) и суммой фактически осуществленных расходов, связанных с коммерческой деятельностью. 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Согласно подп. 22 п. 1 ст. 251 НК РФ не взимается налог на прибыль с доходов в виде безвозмездно полученного государственными и муниципальными учреждениями имущества. При этом следует иметь в виду, что для применения указанной льготы при оформлении договора пожертвования и переводе средств необходимо правильно использовать терминологию – применять слово “пожертвование”, а никакое другое, особенно не использовать термин “спонсорская помощь (взнос)”. Спонсорский вклад согласно Федеральному закону “О рекламе” (ст. 19) – это плата за рекламу о спонсоре, т. е. возмездная сделка, доход от которой облагается налогом на прибыль.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>Налог на имущество является региональным и вводится в действие законами субъекта РФ на основе НК РФ. Объектом налогообложения является движимое и недвижимое имущество, в т. ч. имущество, переданное во временное владение, пользование, распоряжение или доверительное управление. Освобождаются от налога на имущество организации в отношении объектов социальнокультурной сферы, используемых ими для нужд культуры, искусства, образования, физической культуры и спорта, здравоохранения и социального обеспечения. В региональных законах могут устанавливаться дополнительные льготы по налогу на имущество организаций. Так, в соответствии с Законом г. Москвы “О налоге на имущество организаций” освобождаются от уплаты этого налога бюджетные учреждения, финансируемые из бюджета г. Москвы или бюджетов муниципальных образований г. Москвы, на основе сметы доходов и расходов вне зависимости от нужд, на которые используется имущество.</w:t>
      </w:r>
    </w:p>
    <w:p w:rsidR="00274A50" w:rsidRPr="00BD2BDC" w:rsidRDefault="00274A50" w:rsidP="00BD2BDC">
      <w:pPr>
        <w:spacing w:line="360" w:lineRule="auto"/>
        <w:ind w:firstLine="709"/>
        <w:jc w:val="both"/>
      </w:pPr>
      <w:r w:rsidRPr="00BD2BDC">
        <w:t xml:space="preserve">В заключение необходимо еще раз напомнить, что дополнительные платные услуги не могут быть оказаны взамен или в рамках основной деятельности учреждения, финансируемой за счет средств соответствующего бюджета. Услуги, оказываемые в рамках основных </w:t>
      </w:r>
      <w:r w:rsidR="00107C6E" w:rsidRPr="00BD2BDC">
        <w:t>культурных</w:t>
      </w:r>
      <w:r w:rsidRPr="00BD2BDC">
        <w:t xml:space="preserve"> программ и государственных стандартов, направленные на совершенствование процесса, не рассматриваются как дополнительные платные услуги. Оказание дополнительных услуг не может наносить ущерб или ухудшать качество предоставления основных услуг, которые для населения являются бесплатными.</w:t>
      </w:r>
    </w:p>
    <w:p w:rsidR="004139ED" w:rsidRP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7" w:name="_Toc253228293"/>
      <w:r>
        <w:rPr>
          <w:rFonts w:ascii="Times New Roman" w:hAnsi="Times New Roman"/>
          <w:b w:val="0"/>
          <w:sz w:val="28"/>
        </w:rPr>
        <w:br w:type="page"/>
      </w:r>
      <w:r w:rsidR="004139ED" w:rsidRPr="00BD2BDC">
        <w:rPr>
          <w:rFonts w:ascii="Times New Roman" w:hAnsi="Times New Roman"/>
          <w:sz w:val="28"/>
        </w:rPr>
        <w:t>Заключение</w:t>
      </w:r>
      <w:bookmarkEnd w:id="7"/>
    </w:p>
    <w:p w:rsidR="00BD2BDC" w:rsidRPr="00BD2BDC" w:rsidRDefault="00BD2BDC" w:rsidP="00BD2BDC">
      <w:pPr>
        <w:spacing w:line="360" w:lineRule="auto"/>
      </w:pPr>
    </w:p>
    <w:p w:rsidR="00CA63F5" w:rsidRPr="00BD2BDC" w:rsidRDefault="00D41CFF" w:rsidP="00BD2BDC">
      <w:pPr>
        <w:spacing w:line="360" w:lineRule="auto"/>
        <w:ind w:firstLine="709"/>
        <w:jc w:val="both"/>
      </w:pPr>
      <w:r w:rsidRPr="00BD2BDC">
        <w:t>В заключение необходимо еще раз напомнить, что поступление средств из внебюджетных источников не является основанием для сокращения бюджетных отчислений в фонды развития культуры и не призвано заменить их. Формирование внебюджетных средств финансирования учреждений культуры не могут быть оказаны взамен или в рамках основной деятельности учреждения</w:t>
      </w:r>
      <w:r w:rsidR="00982E6B" w:rsidRPr="00BD2BDC">
        <w:t xml:space="preserve"> культуры, финансируемого</w:t>
      </w:r>
      <w:r w:rsidRPr="00BD2BDC">
        <w:t xml:space="preserve"> за счет средств соответствующего бюджета. Услуги, оказываемые в рамках основных программ </w:t>
      </w:r>
      <w:r w:rsidR="00982E6B" w:rsidRPr="00BD2BDC">
        <w:t xml:space="preserve">финансирования </w:t>
      </w:r>
      <w:r w:rsidRPr="00BD2BDC">
        <w:t xml:space="preserve">и государственных стандартов, направленные на совершенствование </w:t>
      </w:r>
      <w:r w:rsidR="00982E6B" w:rsidRPr="00BD2BDC">
        <w:t>культурного</w:t>
      </w:r>
      <w:r w:rsidRPr="00BD2BDC">
        <w:t xml:space="preserve"> процесса, не рассматриваются как дополнительные платные услуги. Оказание дополнительных услуг не может наносить ущерб или ухудшать качество предоставления основных услуг</w:t>
      </w:r>
      <w:r w:rsidR="00107C6E" w:rsidRPr="00BD2BDC">
        <w:t>,</w:t>
      </w:r>
      <w:r w:rsidR="00982E6B" w:rsidRPr="00BD2BDC">
        <w:t xml:space="preserve"> </w:t>
      </w:r>
      <w:r w:rsidRPr="00BD2BDC">
        <w:t xml:space="preserve">которые для населения </w:t>
      </w:r>
      <w:r w:rsidR="00982E6B" w:rsidRPr="00BD2BDC">
        <w:t>предоставляются бесплатно</w:t>
      </w:r>
      <w:r w:rsidRPr="00BD2BDC">
        <w:t>.</w:t>
      </w:r>
      <w:r w:rsidR="00BD2BDC">
        <w:t xml:space="preserve"> </w:t>
      </w:r>
      <w:r w:rsidR="00CA63F5" w:rsidRPr="00BD2BDC">
        <w:t>По мере изменения государственных приоритетов, зависимость от бюджетного финансирования может сыграть роковую роль для организаций культуры и искусства. Необходимость хотя бы относительной финансовой самостоятельности осознается все большим числом организаций</w:t>
      </w:r>
      <w:r w:rsidR="00604D59" w:rsidRPr="00BD2BDC">
        <w:t>.</w:t>
      </w:r>
    </w:p>
    <w:p w:rsidR="00664238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8" w:name="_Toc253228294"/>
      <w:r>
        <w:rPr>
          <w:rFonts w:ascii="Times New Roman" w:hAnsi="Times New Roman"/>
          <w:b w:val="0"/>
          <w:sz w:val="28"/>
        </w:rPr>
        <w:br w:type="page"/>
      </w:r>
      <w:r w:rsidR="00C01AF1" w:rsidRPr="00BD2BDC">
        <w:rPr>
          <w:rFonts w:ascii="Times New Roman" w:hAnsi="Times New Roman"/>
          <w:sz w:val="28"/>
        </w:rPr>
        <w:t>Список использованной литературы</w:t>
      </w:r>
      <w:bookmarkEnd w:id="8"/>
    </w:p>
    <w:p w:rsidR="00BD2BDC" w:rsidRPr="00BD2BDC" w:rsidRDefault="00BD2BDC" w:rsidP="00BD2BDC">
      <w:pPr>
        <w:spacing w:line="360" w:lineRule="auto"/>
      </w:pPr>
    </w:p>
    <w:p w:rsidR="00CC37E0" w:rsidRPr="00BD2BDC" w:rsidRDefault="00CC37E0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 xml:space="preserve">Закон РФ от 9 октября </w:t>
      </w:r>
      <w:smartTag w:uri="urn:schemas-microsoft-com:office:smarttags" w:element="metricconverter">
        <w:smartTagPr>
          <w:attr w:name="ProductID" w:val="1992 г"/>
        </w:smartTagPr>
        <w:r w:rsidRPr="00BD2BDC">
          <w:t>1992 г</w:t>
        </w:r>
      </w:smartTag>
      <w:r w:rsidRPr="00BD2BDC">
        <w:t xml:space="preserve">. N 3612-I "Основы законодательства Российской Федерации о культуре" (с изменениями от 23 июня </w:t>
      </w:r>
      <w:smartTag w:uri="urn:schemas-microsoft-com:office:smarttags" w:element="metricconverter">
        <w:smartTagPr>
          <w:attr w:name="ProductID" w:val="1999 г"/>
        </w:smartTagPr>
        <w:r w:rsidRPr="00BD2BDC">
          <w:t>1999 г</w:t>
        </w:r>
      </w:smartTag>
      <w:r w:rsidRPr="00BD2BDC">
        <w:t xml:space="preserve">., 27 декабря </w:t>
      </w:r>
      <w:smartTag w:uri="urn:schemas-microsoft-com:office:smarttags" w:element="metricconverter">
        <w:smartTagPr>
          <w:attr w:name="ProductID" w:val="2000 г"/>
        </w:smartTagPr>
        <w:r w:rsidRPr="00BD2BDC">
          <w:t>2000 г</w:t>
        </w:r>
      </w:smartTag>
      <w:r w:rsidRPr="00BD2BDC">
        <w:t xml:space="preserve">., 30 декабря </w:t>
      </w:r>
      <w:smartTag w:uri="urn:schemas-microsoft-com:office:smarttags" w:element="metricconverter">
        <w:smartTagPr>
          <w:attr w:name="ProductID" w:val="2001 г"/>
        </w:smartTagPr>
        <w:r w:rsidRPr="00BD2BDC">
          <w:t>2001 г</w:t>
        </w:r>
      </w:smartTag>
      <w:r w:rsidRPr="00BD2BDC">
        <w:t xml:space="preserve">., 24 декабря </w:t>
      </w:r>
      <w:smartTag w:uri="urn:schemas-microsoft-com:office:smarttags" w:element="metricconverter">
        <w:smartTagPr>
          <w:attr w:name="ProductID" w:val="2002 г"/>
        </w:smartTagPr>
        <w:r w:rsidRPr="00BD2BDC">
          <w:t>2002 г</w:t>
        </w:r>
      </w:smartTag>
      <w:r w:rsidRPr="00BD2BDC">
        <w:t xml:space="preserve">., 23 декабря </w:t>
      </w:r>
      <w:smartTag w:uri="urn:schemas-microsoft-com:office:smarttags" w:element="metricconverter">
        <w:smartTagPr>
          <w:attr w:name="ProductID" w:val="2003 г"/>
        </w:smartTagPr>
        <w:r w:rsidRPr="00BD2BDC">
          <w:t>2003 г</w:t>
        </w:r>
      </w:smartTag>
      <w:r w:rsidRPr="00BD2BDC"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BD2BDC">
          <w:t>2004 г</w:t>
        </w:r>
      </w:smartTag>
      <w:r w:rsidRPr="00BD2BDC">
        <w:t>.)</w:t>
      </w:r>
    </w:p>
    <w:p w:rsidR="00CC37E0" w:rsidRPr="00BD2BDC" w:rsidRDefault="00CC37E0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Врублевская М.В. Бюджетная система Российской Федерации: учебник / М.В. Врублевская, под ред. О.В. Врублевской, М. В. Романовского. – 4-е изд., испр. и перераб.- М.: Юрайт, 2008. – С.838</w:t>
      </w:r>
    </w:p>
    <w:p w:rsidR="00CC37E0" w:rsidRPr="00BD2BDC" w:rsidRDefault="00CC37E0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Корнеева В.П. Финансирование культуры из федерального бюджета в 2005-2006 году / В.П. Корнеева // Справочник руководителя учреждения культуры. – 2007. - №12. – С. 7-12</w:t>
      </w:r>
    </w:p>
    <w:p w:rsidR="00CC37E0" w:rsidRPr="00BD2BDC" w:rsidRDefault="00CC37E0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Кочетков. В.С. Источники финансирования сферы культуры.// Финансы. – 2007. - № 3.</w:t>
      </w:r>
    </w:p>
    <w:p w:rsidR="00CC37E0" w:rsidRPr="00BD2BDC" w:rsidRDefault="00CC37E0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Муравьева Н.Я. Формы и виды финансирования в сфере культуры / Н.Я. Муравьева // Культура: управление, экономика, право, 2006.- №2.- С. 42-44</w:t>
      </w:r>
    </w:p>
    <w:p w:rsidR="00CC37E0" w:rsidRPr="00BD2BDC" w:rsidRDefault="00CC37E0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Финансовый менеджмент: / Под ред. проф. Е.И. Шохина. – М.: ИД ФБК-ПРЕСС, 2008. – 408 с.</w:t>
      </w:r>
    </w:p>
    <w:p w:rsidR="00664238" w:rsidRPr="00BD2BDC" w:rsidRDefault="00664238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Жаркова Л.С. Деятельность учреждений кул</w:t>
      </w:r>
      <w:r w:rsidR="00CC37E0" w:rsidRPr="00BD2BDC">
        <w:t>ьтуры: Учеб. пособие. - М., 2007</w:t>
      </w:r>
      <w:r w:rsidRPr="00BD2BDC">
        <w:t>.</w:t>
      </w:r>
    </w:p>
    <w:p w:rsidR="00664238" w:rsidRPr="00BD2BDC" w:rsidRDefault="00664238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Коммерческая и некоммерческая деятельность в социальной сфере / Под ред. И.М. Шеймана и др. - М.:</w:t>
      </w:r>
      <w:r w:rsidR="00CC37E0" w:rsidRPr="00BD2BDC">
        <w:t xml:space="preserve"> Наука, 2006</w:t>
      </w:r>
      <w:r w:rsidRPr="00BD2BDC">
        <w:t>.</w:t>
      </w:r>
    </w:p>
    <w:p w:rsidR="00664238" w:rsidRPr="00BD2BDC" w:rsidRDefault="00664238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Совершенствование системы управления и финансирования бюджетных учреждений. / Авт. колл.: Баткибеков С., Гребешкова Л., Дежина И. и др. - М., 200</w:t>
      </w:r>
      <w:r w:rsidR="00CC37E0" w:rsidRPr="00BD2BDC">
        <w:t>8</w:t>
      </w:r>
      <w:r w:rsidRPr="00BD2BDC">
        <w:t>.</w:t>
      </w:r>
    </w:p>
    <w:p w:rsidR="00664238" w:rsidRPr="00BD2BDC" w:rsidRDefault="00664238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Телятникова О., Бутова Т.Г. Место качества культуры в концепции качества жизни: Проблемы сертификации и управления качеством: Материалы науч</w:t>
      </w:r>
      <w:r w:rsidR="00CC37E0" w:rsidRPr="00BD2BDC">
        <w:t>но-прак. семинара. - СибГТУ, 2007</w:t>
      </w:r>
      <w:r w:rsidRPr="00BD2BDC">
        <w:t>.</w:t>
      </w:r>
    </w:p>
    <w:p w:rsidR="00FE42A0" w:rsidRPr="00BD2BDC" w:rsidRDefault="00664238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Учреждения культурно-досугового типа, парки культуры и отдыха Российской Федерации в цифрах за 200</w:t>
      </w:r>
      <w:r w:rsidR="00CC37E0" w:rsidRPr="00BD2BDC">
        <w:t>6</w:t>
      </w:r>
      <w:r w:rsidRPr="00BD2BDC">
        <w:t xml:space="preserve"> год / Стат. сб. - М.: ГИВЦ Министерства культур</w:t>
      </w:r>
      <w:r w:rsidR="00CC37E0" w:rsidRPr="00BD2BDC">
        <w:t>ы РФ, 2007</w:t>
      </w:r>
      <w:r w:rsidRPr="00BD2BDC">
        <w:t>.</w:t>
      </w:r>
    </w:p>
    <w:p w:rsidR="00664238" w:rsidRPr="00BD2BDC" w:rsidRDefault="00664238" w:rsidP="00BD2BDC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0"/>
        <w:jc w:val="both"/>
      </w:pPr>
      <w:r w:rsidRPr="00BD2BDC">
        <w:t>Шекова Е.Л. Оценка эффективности коммерческой деятельности в учреждениях культуры. // Маркетинг в Р</w:t>
      </w:r>
      <w:r w:rsidR="00CC37E0" w:rsidRPr="00BD2BDC">
        <w:t>оссии и за рубежом. - №2. - 2008</w:t>
      </w:r>
      <w:r w:rsidRPr="00BD2BDC">
        <w:t>.</w:t>
      </w:r>
    </w:p>
    <w:p w:rsidR="000F27C7" w:rsidRP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9" w:name="_Toc253228295"/>
      <w:r>
        <w:rPr>
          <w:rFonts w:ascii="Times New Roman" w:hAnsi="Times New Roman"/>
          <w:b w:val="0"/>
          <w:sz w:val="28"/>
        </w:rPr>
        <w:br w:type="page"/>
      </w:r>
      <w:r w:rsidR="000F27C7" w:rsidRPr="00BD2BDC">
        <w:rPr>
          <w:rFonts w:ascii="Times New Roman" w:hAnsi="Times New Roman"/>
          <w:sz w:val="28"/>
        </w:rPr>
        <w:t>Приложение 1</w:t>
      </w:r>
      <w:bookmarkEnd w:id="9"/>
    </w:p>
    <w:p w:rsidR="000F27C7" w:rsidRPr="00BD2BDC" w:rsidRDefault="000F27C7" w:rsidP="00BD2BDC">
      <w:pPr>
        <w:spacing w:line="360" w:lineRule="auto"/>
        <w:ind w:firstLine="709"/>
        <w:jc w:val="both"/>
      </w:pPr>
    </w:p>
    <w:p w:rsidR="000F27C7" w:rsidRPr="00BD2BDC" w:rsidRDefault="000F27C7" w:rsidP="00BD2BDC">
      <w:pPr>
        <w:spacing w:line="360" w:lineRule="auto"/>
        <w:ind w:firstLine="709"/>
        <w:jc w:val="both"/>
      </w:pPr>
      <w:r w:rsidRPr="00BD2BDC">
        <w:t xml:space="preserve">Источники финансирования организаций культуры и искусства системы Министерства культуры РФ в </w:t>
      </w:r>
      <w:smartTag w:uri="urn:schemas-microsoft-com:office:smarttags" w:element="metricconverter">
        <w:smartTagPr>
          <w:attr w:name="ProductID" w:val="2006 г"/>
        </w:smartTagPr>
        <w:r w:rsidRPr="00BD2BDC">
          <w:t>2006 г</w:t>
        </w:r>
      </w:smartTag>
      <w:r w:rsidRPr="00BD2BDC">
        <w:t>., тыс. руб.</w:t>
      </w:r>
    </w:p>
    <w:p w:rsidR="000F27C7" w:rsidRPr="00BD2BDC" w:rsidRDefault="000F27C7" w:rsidP="00BD2BDC">
      <w:pPr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343"/>
        <w:gridCol w:w="1371"/>
        <w:gridCol w:w="1484"/>
        <w:gridCol w:w="1609"/>
        <w:gridCol w:w="1412"/>
        <w:gridCol w:w="1355"/>
      </w:tblGrid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№</w:t>
            </w:r>
          </w:p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Виды организаций культуры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Всего поступлений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Ассигнования из бюджетов разных уровней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Внебюджетные средства 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доходы от основных видов уставной деятельности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Прочие доходы и поступления</w:t>
            </w:r>
          </w:p>
        </w:tc>
      </w:tr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Парки культуры и отдыха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528735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195217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333518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265087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68431</w:t>
            </w:r>
          </w:p>
        </w:tc>
      </w:tr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Зоопарки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251575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143391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108184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101460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6724</w:t>
            </w:r>
          </w:p>
        </w:tc>
      </w:tr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Театры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1007852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560820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447032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429021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18011</w:t>
            </w:r>
          </w:p>
        </w:tc>
      </w:tr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Концертные организации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1285830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856290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429540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387035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42505</w:t>
            </w:r>
          </w:p>
        </w:tc>
      </w:tr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Музеи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4913313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3708269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1205044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955667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249377</w:t>
            </w:r>
          </w:p>
        </w:tc>
      </w:tr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Учреждения культурно-досугового типа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8741154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7496193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1244961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881925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363036</w:t>
            </w:r>
          </w:p>
        </w:tc>
      </w:tr>
      <w:tr w:rsidR="000F27C7" w:rsidRPr="00BE4603" w:rsidTr="00BE4603">
        <w:trPr>
          <w:jc w:val="center"/>
        </w:trPr>
        <w:tc>
          <w:tcPr>
            <w:tcW w:w="51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Библиотеки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4488930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4244376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244554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106495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138059</w:t>
            </w:r>
          </w:p>
        </w:tc>
      </w:tr>
      <w:tr w:rsidR="000F27C7" w:rsidRPr="00BE4603" w:rsidTr="00BE4603">
        <w:trPr>
          <w:jc w:val="center"/>
        </w:trPr>
        <w:tc>
          <w:tcPr>
            <w:tcW w:w="1935" w:type="dxa"/>
            <w:gridSpan w:val="2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Всего</w:t>
            </w:r>
          </w:p>
        </w:tc>
        <w:tc>
          <w:tcPr>
            <w:tcW w:w="144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21217389</w:t>
            </w:r>
          </w:p>
        </w:tc>
        <w:tc>
          <w:tcPr>
            <w:tcW w:w="1567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17204556</w:t>
            </w:r>
          </w:p>
        </w:tc>
        <w:tc>
          <w:tcPr>
            <w:tcW w:w="170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4012833</w:t>
            </w:r>
          </w:p>
        </w:tc>
        <w:tc>
          <w:tcPr>
            <w:tcW w:w="1491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3126690</w:t>
            </w:r>
          </w:p>
        </w:tc>
        <w:tc>
          <w:tcPr>
            <w:tcW w:w="1430" w:type="dxa"/>
            <w:shd w:val="clear" w:color="auto" w:fill="auto"/>
          </w:tcPr>
          <w:p w:rsidR="000F27C7" w:rsidRPr="00BE4603" w:rsidRDefault="000F27C7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886143</w:t>
            </w:r>
          </w:p>
        </w:tc>
      </w:tr>
    </w:tbl>
    <w:p w:rsid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0" w:name="_Toc253228296"/>
    </w:p>
    <w:p w:rsidR="003C2F9E" w:rsidRP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3C2F9E" w:rsidRPr="00BD2BDC">
        <w:rPr>
          <w:rFonts w:ascii="Times New Roman" w:hAnsi="Times New Roman"/>
          <w:sz w:val="28"/>
        </w:rPr>
        <w:t>Приложение 2</w:t>
      </w:r>
      <w:bookmarkEnd w:id="10"/>
    </w:p>
    <w:p w:rsidR="003C2F9E" w:rsidRPr="00BD2BDC" w:rsidRDefault="003C2F9E" w:rsidP="00BD2BDC">
      <w:pPr>
        <w:spacing w:line="360" w:lineRule="auto"/>
        <w:ind w:firstLine="709"/>
        <w:jc w:val="both"/>
      </w:pPr>
    </w:p>
    <w:p w:rsidR="003C2F9E" w:rsidRPr="00BD2BDC" w:rsidRDefault="003C2F9E" w:rsidP="00BD2BDC">
      <w:pPr>
        <w:spacing w:line="360" w:lineRule="auto"/>
        <w:ind w:firstLine="709"/>
        <w:jc w:val="both"/>
      </w:pPr>
      <w:r w:rsidRPr="00BD2BDC">
        <w:t>Структура источников финансирования организаций культуры</w:t>
      </w:r>
      <w:r w:rsidR="00BD2BDC">
        <w:t xml:space="preserve"> </w:t>
      </w:r>
      <w:r w:rsidRPr="00BD2BDC">
        <w:t xml:space="preserve">и искусства системы Министерства культуры РФ в </w:t>
      </w:r>
      <w:smartTag w:uri="urn:schemas-microsoft-com:office:smarttags" w:element="metricconverter">
        <w:smartTagPr>
          <w:attr w:name="ProductID" w:val="2006 г"/>
        </w:smartTagPr>
        <w:r w:rsidRPr="00BD2BDC">
          <w:t>2006 г</w:t>
        </w:r>
      </w:smartTag>
      <w:r w:rsidRPr="00BD2BDC">
        <w:t>. (%)</w:t>
      </w:r>
    </w:p>
    <w:p w:rsidR="003C2F9E" w:rsidRPr="00BD2BDC" w:rsidRDefault="003C2F9E" w:rsidP="00BD2BDC">
      <w:pPr>
        <w:spacing w:line="360" w:lineRule="auto"/>
        <w:ind w:firstLine="709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368"/>
        <w:gridCol w:w="1395"/>
        <w:gridCol w:w="1298"/>
        <w:gridCol w:w="1609"/>
        <w:gridCol w:w="1438"/>
        <w:gridCol w:w="1379"/>
      </w:tblGrid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№</w:t>
            </w:r>
          </w:p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П/П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Виды организаций культуры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Всего поступлений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Доля бюджетных источников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Доля внебюджетных источников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Доходы от основных видов уставной деятельности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Прочие доходы и поступления</w:t>
            </w:r>
          </w:p>
        </w:tc>
      </w:tr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Парки культуры и отдыха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100,0 </w:t>
            </w:r>
          </w:p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36,9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63,1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50,1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12</w:t>
            </w:r>
          </w:p>
        </w:tc>
      </w:tr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Зоопарки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100,0 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57,0 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43,0 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40,3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2,7</w:t>
            </w:r>
          </w:p>
        </w:tc>
      </w:tr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Театры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100,0 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55,6 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44,4 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42,6 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1,8</w:t>
            </w:r>
          </w:p>
        </w:tc>
      </w:tr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Концертные организации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100,0 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66,6 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33,4 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30,1 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3,3</w:t>
            </w:r>
          </w:p>
        </w:tc>
      </w:tr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Музеи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100,0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75,5 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24,5 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19,5 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5,1</w:t>
            </w:r>
          </w:p>
        </w:tc>
      </w:tr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Учреждения культурно-досугового типа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100,0 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85,8 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14,2 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10,1 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4,2</w:t>
            </w:r>
          </w:p>
        </w:tc>
      </w:tr>
      <w:tr w:rsidR="003C2F9E" w:rsidRPr="00BE4603" w:rsidTr="00BE4603">
        <w:trPr>
          <w:jc w:val="center"/>
        </w:trPr>
        <w:tc>
          <w:tcPr>
            <w:tcW w:w="60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Библиотеки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100,0 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94,6 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5,4 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2,4 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3,1</w:t>
            </w:r>
          </w:p>
        </w:tc>
      </w:tr>
      <w:tr w:rsidR="003C2F9E" w:rsidRPr="00BE4603" w:rsidTr="00BE4603">
        <w:trPr>
          <w:jc w:val="center"/>
        </w:trPr>
        <w:tc>
          <w:tcPr>
            <w:tcW w:w="2053" w:type="dxa"/>
            <w:gridSpan w:val="2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Всего</w:t>
            </w:r>
          </w:p>
        </w:tc>
        <w:tc>
          <w:tcPr>
            <w:tcW w:w="1473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100,0</w:t>
            </w:r>
          </w:p>
        </w:tc>
        <w:tc>
          <w:tcPr>
            <w:tcW w:w="136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81,1 </w:t>
            </w:r>
          </w:p>
        </w:tc>
        <w:tc>
          <w:tcPr>
            <w:tcW w:w="1701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 xml:space="preserve">18,9 </w:t>
            </w:r>
          </w:p>
        </w:tc>
        <w:tc>
          <w:tcPr>
            <w:tcW w:w="1519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14,7</w:t>
            </w:r>
          </w:p>
        </w:tc>
        <w:tc>
          <w:tcPr>
            <w:tcW w:w="1456" w:type="dxa"/>
            <w:shd w:val="clear" w:color="auto" w:fill="auto"/>
          </w:tcPr>
          <w:p w:rsidR="003C2F9E" w:rsidRPr="00BE4603" w:rsidRDefault="003C2F9E" w:rsidP="00BE4603">
            <w:pPr>
              <w:spacing w:line="360" w:lineRule="auto"/>
              <w:jc w:val="both"/>
              <w:rPr>
                <w:sz w:val="20"/>
              </w:rPr>
            </w:pPr>
            <w:r w:rsidRPr="00BE4603">
              <w:rPr>
                <w:sz w:val="20"/>
              </w:rPr>
              <w:t>4,2</w:t>
            </w:r>
          </w:p>
        </w:tc>
      </w:tr>
    </w:tbl>
    <w:p w:rsid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1" w:name="_Toc253228297"/>
    </w:p>
    <w:p w:rsidR="007879E6" w:rsidRP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7879E6" w:rsidRPr="00BD2BDC">
        <w:rPr>
          <w:rFonts w:ascii="Times New Roman" w:hAnsi="Times New Roman"/>
          <w:sz w:val="28"/>
        </w:rPr>
        <w:t>Приложение 3</w:t>
      </w:r>
      <w:bookmarkEnd w:id="11"/>
    </w:p>
    <w:p w:rsidR="007879E6" w:rsidRPr="00BD2BDC" w:rsidRDefault="007879E6" w:rsidP="00BD2BDC">
      <w:pPr>
        <w:spacing w:line="360" w:lineRule="auto"/>
        <w:ind w:firstLine="709"/>
        <w:jc w:val="both"/>
      </w:pPr>
    </w:p>
    <w:p w:rsidR="007879E6" w:rsidRDefault="007879E6" w:rsidP="00BD2BDC">
      <w:pPr>
        <w:spacing w:line="360" w:lineRule="auto"/>
        <w:ind w:firstLine="709"/>
        <w:jc w:val="both"/>
        <w:rPr>
          <w:bCs/>
        </w:rPr>
      </w:pPr>
      <w:r w:rsidRPr="00BD2BDC">
        <w:rPr>
          <w:bCs/>
        </w:rPr>
        <w:t>Динамика изменений численности работников культуры и искусства, прошедших курсы повышения квалификации, чел.</w:t>
      </w:r>
    </w:p>
    <w:p w:rsidR="00BD2BDC" w:rsidRPr="00BD2BDC" w:rsidRDefault="00BD2BDC" w:rsidP="00BD2BDC">
      <w:pPr>
        <w:spacing w:line="360" w:lineRule="auto"/>
        <w:ind w:firstLine="709"/>
        <w:jc w:val="both"/>
      </w:pPr>
    </w:p>
    <w:tbl>
      <w:tblPr>
        <w:tblW w:w="895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5"/>
        <w:gridCol w:w="708"/>
        <w:gridCol w:w="708"/>
        <w:gridCol w:w="708"/>
      </w:tblGrid>
      <w:tr w:rsidR="007879E6" w:rsidRPr="00BD2BDC" w:rsidTr="00B15E81">
        <w:trPr>
          <w:trHeight w:val="410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Численность работников культуры и искусства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2004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2006</w:t>
            </w:r>
          </w:p>
        </w:tc>
      </w:tr>
      <w:tr w:rsidR="007879E6" w:rsidRPr="00BD2BDC" w:rsidTr="00B15E81">
        <w:trPr>
          <w:trHeight w:val="256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163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153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161</w:t>
            </w:r>
          </w:p>
        </w:tc>
      </w:tr>
      <w:tr w:rsidR="007879E6" w:rsidRPr="00BD2BDC" w:rsidTr="00B15E81">
        <w:trPr>
          <w:trHeight w:val="303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Прошедших курсы повышения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35</w:t>
            </w:r>
          </w:p>
        </w:tc>
      </w:tr>
      <w:tr w:rsidR="007879E6" w:rsidRPr="00BD2BDC" w:rsidTr="00B15E81">
        <w:trPr>
          <w:trHeight w:val="238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%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6,7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3,9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21,7</w:t>
            </w:r>
          </w:p>
        </w:tc>
      </w:tr>
    </w:tbl>
    <w:p w:rsid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2" w:name="_Toc253228298"/>
    </w:p>
    <w:p w:rsidR="007879E6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7879E6" w:rsidRPr="00BD2BDC">
        <w:rPr>
          <w:rFonts w:ascii="Times New Roman" w:hAnsi="Times New Roman"/>
          <w:sz w:val="28"/>
        </w:rPr>
        <w:t>Приложение 4</w:t>
      </w:r>
      <w:bookmarkEnd w:id="12"/>
    </w:p>
    <w:p w:rsidR="00BD2BDC" w:rsidRPr="00BD2BDC" w:rsidRDefault="00BD2BDC" w:rsidP="00BD2BDC"/>
    <w:p w:rsidR="007879E6" w:rsidRPr="00BD2BDC" w:rsidRDefault="007879E6" w:rsidP="00BD2BDC">
      <w:pPr>
        <w:spacing w:line="360" w:lineRule="auto"/>
        <w:ind w:firstLine="709"/>
        <w:jc w:val="both"/>
        <w:rPr>
          <w:bCs/>
        </w:rPr>
      </w:pPr>
      <w:r w:rsidRPr="00BD2BDC">
        <w:rPr>
          <w:bCs/>
        </w:rPr>
        <w:t>Общеэкономические показатели деятельности учреждений</w:t>
      </w:r>
    </w:p>
    <w:p w:rsidR="007879E6" w:rsidRPr="00BD2BDC" w:rsidRDefault="007879E6" w:rsidP="00BD2BDC">
      <w:pPr>
        <w:spacing w:line="360" w:lineRule="auto"/>
        <w:ind w:firstLine="709"/>
        <w:jc w:val="both"/>
      </w:pPr>
    </w:p>
    <w:tbl>
      <w:tblPr>
        <w:tblW w:w="907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6"/>
        <w:gridCol w:w="604"/>
        <w:gridCol w:w="604"/>
        <w:gridCol w:w="604"/>
        <w:gridCol w:w="604"/>
      </w:tblGrid>
      <w:tr w:rsidR="007879E6" w:rsidRPr="00BD2BDC" w:rsidTr="00B15E81">
        <w:trPr>
          <w:trHeight w:val="344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Наименование показателей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2003г.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2004г.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2005г.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2006г.</w:t>
            </w:r>
          </w:p>
        </w:tc>
      </w:tr>
      <w:tr w:rsidR="007879E6" w:rsidRPr="00BD2BDC" w:rsidTr="00B15E81">
        <w:trPr>
          <w:trHeight w:val="259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Бюджет по разделу «Культура и искусство»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13079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14918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17920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16404</w:t>
            </w:r>
          </w:p>
        </w:tc>
      </w:tr>
      <w:tr w:rsidR="007879E6" w:rsidRPr="00BD2BDC" w:rsidTr="00B15E81">
        <w:trPr>
          <w:trHeight w:val="322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 xml:space="preserve">Процент от бюджета 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1.6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1,51</w:t>
            </w:r>
          </w:p>
        </w:tc>
      </w:tr>
      <w:tr w:rsidR="007879E6" w:rsidRPr="00BD2BDC" w:rsidTr="00B15E81">
        <w:trPr>
          <w:trHeight w:val="384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Сумма расходов на 1 жителя в сфере культуры (в абсолютных цифрах)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782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872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1069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961</w:t>
            </w:r>
          </w:p>
        </w:tc>
      </w:tr>
      <w:tr w:rsidR="007879E6" w:rsidRPr="00BD2BDC" w:rsidTr="00B15E81">
        <w:trPr>
          <w:trHeight w:val="389"/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Среднемесячная заработная плата работников культуры и искусства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4,99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8,24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9,11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12,6</w:t>
            </w:r>
          </w:p>
        </w:tc>
      </w:tr>
    </w:tbl>
    <w:p w:rsidR="00BD2BDC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3" w:name="_Toc253228299"/>
    </w:p>
    <w:p w:rsidR="007879E6" w:rsidRDefault="00BD2BDC" w:rsidP="00BD2BD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7879E6" w:rsidRPr="00BD2BDC">
        <w:rPr>
          <w:rFonts w:ascii="Times New Roman" w:hAnsi="Times New Roman"/>
          <w:sz w:val="28"/>
        </w:rPr>
        <w:t>Приложение 5</w:t>
      </w:r>
      <w:bookmarkEnd w:id="13"/>
    </w:p>
    <w:p w:rsidR="00BD2BDC" w:rsidRPr="00BD2BDC" w:rsidRDefault="00BD2BDC" w:rsidP="00BD2BDC"/>
    <w:p w:rsidR="007879E6" w:rsidRPr="00BD2BDC" w:rsidRDefault="00F46079" w:rsidP="00BD2BDC">
      <w:pPr>
        <w:spacing w:line="360" w:lineRule="auto"/>
        <w:ind w:firstLine="709"/>
        <w:jc w:val="both"/>
      </w:pPr>
      <w:r w:rsidRPr="00BD2BDC">
        <w:t>Динамика показателей</w:t>
      </w:r>
    </w:p>
    <w:p w:rsidR="007879E6" w:rsidRPr="00BD2BDC" w:rsidRDefault="007879E6" w:rsidP="00BD2BDC">
      <w:pPr>
        <w:spacing w:line="360" w:lineRule="auto"/>
        <w:ind w:firstLine="709"/>
        <w:jc w:val="both"/>
      </w:pPr>
    </w:p>
    <w:tbl>
      <w:tblPr>
        <w:tblW w:w="907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855"/>
        <w:gridCol w:w="855"/>
        <w:gridCol w:w="855"/>
        <w:gridCol w:w="690"/>
      </w:tblGrid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4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Учреждения культурно-досугового типа всех ведомств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2003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2004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2006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Число учреж</w:t>
            </w:r>
            <w:r w:rsidR="00F46079" w:rsidRPr="00BD2BDC">
              <w:rPr>
                <w:bCs/>
                <w:sz w:val="20"/>
              </w:rPr>
              <w:t>дений культурно-досугового типа</w:t>
            </w:r>
            <w:r w:rsidRPr="00BD2BDC">
              <w:rPr>
                <w:sz w:val="20"/>
              </w:rPr>
              <w:t xml:space="preserve">. Всего (в т.ч. всех ведомств) 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 xml:space="preserve">- Из них в ведении органа управления культуры 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Число клубных формирований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59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57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70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 xml:space="preserve">- В том числе для детей 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21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26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23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Из общего числа – формирования самодеятельного народного творчества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31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40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-В том числе для детей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12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>Число участников клубных формирований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4576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4554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4720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6201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- В том числе детей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1892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1847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1736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2467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Из общего числа участников в клубных формированиях – участники в формированиях самодеятельного народного творчества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661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640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680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701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Число культурно-досуговых мероприятий, всего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473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541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452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 xml:space="preserve">- В том числе для детей 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207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243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329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311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Из общего числа мероприятий – мероприятия на платной основе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118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80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Число посетителей на платных мероприятиях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10106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12693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12747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7817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bCs/>
                <w:sz w:val="20"/>
              </w:rPr>
              <w:t xml:space="preserve">Численность работников </w:t>
            </w:r>
            <w:r w:rsidRPr="00BD2BDC">
              <w:rPr>
                <w:sz w:val="20"/>
              </w:rPr>
              <w:t>- всего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58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58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61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 xml:space="preserve">Специалисты культурно-досуговой деятельности 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24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29</w:t>
            </w:r>
          </w:p>
        </w:tc>
      </w:tr>
      <w:tr w:rsidR="007879E6" w:rsidRPr="00BD2BDC" w:rsidTr="00BD2B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Из числа штатных работников - со стажем менее 3-х лет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24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7879E6" w:rsidRPr="00BD2BDC" w:rsidRDefault="007879E6" w:rsidP="00BD2BDC">
            <w:pPr>
              <w:spacing w:line="360" w:lineRule="auto"/>
              <w:jc w:val="both"/>
              <w:rPr>
                <w:sz w:val="20"/>
              </w:rPr>
            </w:pPr>
            <w:r w:rsidRPr="00BD2BDC">
              <w:rPr>
                <w:sz w:val="20"/>
              </w:rPr>
              <w:t>18</w:t>
            </w:r>
          </w:p>
        </w:tc>
      </w:tr>
    </w:tbl>
    <w:p w:rsidR="007879E6" w:rsidRPr="00BD2BDC" w:rsidRDefault="007879E6" w:rsidP="00BD2BDC">
      <w:pPr>
        <w:spacing w:line="360" w:lineRule="auto"/>
        <w:ind w:firstLine="709"/>
        <w:jc w:val="both"/>
      </w:pPr>
      <w:bookmarkStart w:id="14" w:name="_GoBack"/>
      <w:bookmarkEnd w:id="14"/>
    </w:p>
    <w:sectPr w:rsidR="007879E6" w:rsidRPr="00BD2BDC" w:rsidSect="00BD2BD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03" w:rsidRDefault="00BE4603">
      <w:r>
        <w:separator/>
      </w:r>
    </w:p>
  </w:endnote>
  <w:endnote w:type="continuationSeparator" w:id="0">
    <w:p w:rsidR="00BE4603" w:rsidRDefault="00BE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6E" w:rsidRDefault="00107C6E" w:rsidP="005B2B08">
    <w:pPr>
      <w:pStyle w:val="a5"/>
      <w:framePr w:wrap="around" w:vAnchor="text" w:hAnchor="margin" w:xAlign="right" w:y="1"/>
      <w:rPr>
        <w:rStyle w:val="a7"/>
      </w:rPr>
    </w:pPr>
  </w:p>
  <w:p w:rsidR="00107C6E" w:rsidRDefault="00107C6E" w:rsidP="006B126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6E" w:rsidRDefault="005B0E4E" w:rsidP="005B2B0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07C6E" w:rsidRDefault="00107C6E" w:rsidP="006B12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03" w:rsidRDefault="00BE4603">
      <w:r>
        <w:separator/>
      </w:r>
    </w:p>
  </w:footnote>
  <w:footnote w:type="continuationSeparator" w:id="0">
    <w:p w:rsidR="00BE4603" w:rsidRDefault="00BE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1194"/>
    <w:multiLevelType w:val="multilevel"/>
    <w:tmpl w:val="744292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C6B0A89"/>
    <w:multiLevelType w:val="hybridMultilevel"/>
    <w:tmpl w:val="DB3AE91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">
    <w:nsid w:val="13DC12E9"/>
    <w:multiLevelType w:val="hybridMultilevel"/>
    <w:tmpl w:val="D0D4ECAE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>
    <w:nsid w:val="40D90A5A"/>
    <w:multiLevelType w:val="hybridMultilevel"/>
    <w:tmpl w:val="B98A8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8F90242"/>
    <w:multiLevelType w:val="hybridMultilevel"/>
    <w:tmpl w:val="B1B4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C1B6B"/>
    <w:multiLevelType w:val="multilevel"/>
    <w:tmpl w:val="30A6B68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60356DC"/>
    <w:multiLevelType w:val="multilevel"/>
    <w:tmpl w:val="D0D4ECAE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7">
    <w:nsid w:val="6C652ECF"/>
    <w:multiLevelType w:val="hybridMultilevel"/>
    <w:tmpl w:val="D92282C4"/>
    <w:lvl w:ilvl="0" w:tplc="0A2C84E6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DCB6F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98D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26F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347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522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E6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40F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5C6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49252D0"/>
    <w:multiLevelType w:val="hybridMultilevel"/>
    <w:tmpl w:val="5822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A50"/>
    <w:rsid w:val="00047604"/>
    <w:rsid w:val="000F27C7"/>
    <w:rsid w:val="00107C6E"/>
    <w:rsid w:val="00123ACA"/>
    <w:rsid w:val="001535E5"/>
    <w:rsid w:val="00193595"/>
    <w:rsid w:val="001B7CA0"/>
    <w:rsid w:val="001C043F"/>
    <w:rsid w:val="00261E92"/>
    <w:rsid w:val="00274A50"/>
    <w:rsid w:val="002D6BED"/>
    <w:rsid w:val="002E16F6"/>
    <w:rsid w:val="00340892"/>
    <w:rsid w:val="0035280A"/>
    <w:rsid w:val="003C2F9E"/>
    <w:rsid w:val="003E0A80"/>
    <w:rsid w:val="004139ED"/>
    <w:rsid w:val="00437592"/>
    <w:rsid w:val="00513016"/>
    <w:rsid w:val="005B0E4E"/>
    <w:rsid w:val="005B2B08"/>
    <w:rsid w:val="005E33BC"/>
    <w:rsid w:val="00604D59"/>
    <w:rsid w:val="00630FD0"/>
    <w:rsid w:val="00650586"/>
    <w:rsid w:val="00664238"/>
    <w:rsid w:val="00676155"/>
    <w:rsid w:val="006B1267"/>
    <w:rsid w:val="006C7A55"/>
    <w:rsid w:val="00731493"/>
    <w:rsid w:val="00755C46"/>
    <w:rsid w:val="0078632C"/>
    <w:rsid w:val="007879E6"/>
    <w:rsid w:val="00787ABD"/>
    <w:rsid w:val="007C34A0"/>
    <w:rsid w:val="007D17F8"/>
    <w:rsid w:val="00830C59"/>
    <w:rsid w:val="0083323C"/>
    <w:rsid w:val="008E7B7E"/>
    <w:rsid w:val="008F6BFF"/>
    <w:rsid w:val="00903CCA"/>
    <w:rsid w:val="00982E6B"/>
    <w:rsid w:val="0099451B"/>
    <w:rsid w:val="009A1504"/>
    <w:rsid w:val="009E33D7"/>
    <w:rsid w:val="00A477CD"/>
    <w:rsid w:val="00A603AC"/>
    <w:rsid w:val="00AC3F58"/>
    <w:rsid w:val="00B15E81"/>
    <w:rsid w:val="00B4314F"/>
    <w:rsid w:val="00BD2BDC"/>
    <w:rsid w:val="00BE3810"/>
    <w:rsid w:val="00BE4603"/>
    <w:rsid w:val="00C01AF1"/>
    <w:rsid w:val="00C44F78"/>
    <w:rsid w:val="00C8728A"/>
    <w:rsid w:val="00CA63F5"/>
    <w:rsid w:val="00CC37E0"/>
    <w:rsid w:val="00D41CFF"/>
    <w:rsid w:val="00DF170E"/>
    <w:rsid w:val="00DF4324"/>
    <w:rsid w:val="00E03A48"/>
    <w:rsid w:val="00E21B2F"/>
    <w:rsid w:val="00F46079"/>
    <w:rsid w:val="00F84050"/>
    <w:rsid w:val="00F900E2"/>
    <w:rsid w:val="00FC53CC"/>
    <w:rsid w:val="00FE42A0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DDB6CA-FC1D-40F5-A192-AE8B1E2A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332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0A8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3E0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274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6B1267"/>
  </w:style>
  <w:style w:type="character" w:styleId="a4">
    <w:name w:val="Hyperlink"/>
    <w:uiPriority w:val="99"/>
    <w:rsid w:val="006B126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6B12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6B1267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BD2BDC"/>
    <w:pPr>
      <w:tabs>
        <w:tab w:val="left" w:pos="360"/>
        <w:tab w:val="right" w:leader="dot" w:pos="9344"/>
      </w:tabs>
      <w:spacing w:line="360" w:lineRule="auto"/>
      <w:jc w:val="both"/>
    </w:pPr>
  </w:style>
  <w:style w:type="paragraph" w:styleId="31">
    <w:name w:val="toc 3"/>
    <w:basedOn w:val="a"/>
    <w:next w:val="a"/>
    <w:autoRedefine/>
    <w:uiPriority w:val="99"/>
    <w:semiHidden/>
    <w:rsid w:val="00E03A48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Поступление средств из внебюджетных источников не является основанием для сокращения бюджетных отчислений в фонды развития культуры</vt:lpstr>
    </vt:vector>
  </TitlesOfParts>
  <Company>Paranomicon</Company>
  <LinksUpToDate>false</LinksUpToDate>
  <CharactersWithSpaces>28035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Поступление средств из внебюджетных источников не является основанием для сокращения бюджетных отчислений в фонды развития культуры</dc:title>
  <dc:subject/>
  <dc:creator>Demiurg</dc:creator>
  <cp:keywords/>
  <dc:description/>
  <cp:lastModifiedBy>admin</cp:lastModifiedBy>
  <cp:revision>2</cp:revision>
  <cp:lastPrinted>2009-12-22T07:12:00Z</cp:lastPrinted>
  <dcterms:created xsi:type="dcterms:W3CDTF">2014-03-13T00:35:00Z</dcterms:created>
  <dcterms:modified xsi:type="dcterms:W3CDTF">2014-03-13T00:35:00Z</dcterms:modified>
</cp:coreProperties>
</file>