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C2" w:rsidRPr="005350C7" w:rsidRDefault="00453EC2" w:rsidP="005350C7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53EC2" w:rsidRPr="005350C7" w:rsidRDefault="00453EC2" w:rsidP="005350C7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53EC2" w:rsidRPr="005350C7" w:rsidRDefault="00453EC2" w:rsidP="005350C7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53EC2" w:rsidRPr="005350C7" w:rsidRDefault="00453EC2" w:rsidP="005350C7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53EC2" w:rsidRPr="005350C7" w:rsidRDefault="00453EC2" w:rsidP="005350C7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53EC2" w:rsidRPr="005350C7" w:rsidRDefault="00453EC2" w:rsidP="005350C7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453EC2" w:rsidRPr="005350C7" w:rsidRDefault="00453EC2" w:rsidP="005350C7">
      <w:pPr>
        <w:spacing w:line="360" w:lineRule="auto"/>
        <w:ind w:firstLine="709"/>
        <w:jc w:val="both"/>
        <w:rPr>
          <w:sz w:val="28"/>
          <w:szCs w:val="36"/>
          <w:lang w:val="uk-UA"/>
        </w:rPr>
      </w:pPr>
    </w:p>
    <w:p w:rsidR="005350C7" w:rsidRDefault="005350C7" w:rsidP="005350C7">
      <w:pPr>
        <w:spacing w:line="360" w:lineRule="auto"/>
        <w:ind w:firstLine="709"/>
        <w:jc w:val="both"/>
        <w:rPr>
          <w:sz w:val="28"/>
          <w:szCs w:val="40"/>
          <w:lang w:val="uk-UA"/>
        </w:rPr>
      </w:pPr>
    </w:p>
    <w:p w:rsidR="005350C7" w:rsidRDefault="005350C7" w:rsidP="005350C7">
      <w:pPr>
        <w:spacing w:line="360" w:lineRule="auto"/>
        <w:ind w:firstLine="709"/>
        <w:jc w:val="both"/>
        <w:rPr>
          <w:sz w:val="28"/>
          <w:szCs w:val="40"/>
          <w:lang w:val="uk-UA"/>
        </w:rPr>
      </w:pPr>
    </w:p>
    <w:p w:rsidR="005350C7" w:rsidRDefault="005350C7" w:rsidP="005350C7">
      <w:pPr>
        <w:spacing w:line="360" w:lineRule="auto"/>
        <w:ind w:firstLine="709"/>
        <w:jc w:val="both"/>
        <w:rPr>
          <w:sz w:val="28"/>
          <w:szCs w:val="40"/>
          <w:lang w:val="uk-UA"/>
        </w:rPr>
      </w:pPr>
    </w:p>
    <w:p w:rsidR="00453EC2" w:rsidRPr="005350C7" w:rsidRDefault="00453EC2" w:rsidP="005350C7">
      <w:pPr>
        <w:spacing w:line="360" w:lineRule="auto"/>
        <w:ind w:firstLine="709"/>
        <w:jc w:val="center"/>
        <w:rPr>
          <w:b/>
          <w:sz w:val="28"/>
          <w:szCs w:val="40"/>
          <w:lang w:val="uk-UA"/>
        </w:rPr>
      </w:pPr>
      <w:r w:rsidRPr="005350C7">
        <w:rPr>
          <w:b/>
          <w:sz w:val="28"/>
          <w:szCs w:val="40"/>
          <w:lang w:val="uk-UA"/>
        </w:rPr>
        <w:t>ПОЯСНЮВАЛЬНА ЗАПИСКА</w:t>
      </w:r>
    </w:p>
    <w:p w:rsidR="00453EC2" w:rsidRPr="005350C7" w:rsidRDefault="005350C7" w:rsidP="005350C7">
      <w:pPr>
        <w:spacing w:line="360" w:lineRule="auto"/>
        <w:ind w:firstLine="709"/>
        <w:jc w:val="center"/>
        <w:rPr>
          <w:b/>
          <w:sz w:val="28"/>
          <w:szCs w:val="40"/>
          <w:lang w:val="uk-UA"/>
        </w:rPr>
      </w:pPr>
      <w:r>
        <w:rPr>
          <w:b/>
          <w:sz w:val="28"/>
          <w:szCs w:val="40"/>
          <w:lang w:val="uk-UA"/>
        </w:rPr>
        <w:t>ФОТОЛІТОГРАФІЯ</w:t>
      </w:r>
    </w:p>
    <w:p w:rsidR="00453EC2" w:rsidRDefault="005350C7" w:rsidP="005350C7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40"/>
          <w:lang w:val="uk-UA"/>
        </w:rPr>
        <w:br w:type="page"/>
      </w:r>
      <w:r>
        <w:rPr>
          <w:b/>
          <w:sz w:val="28"/>
          <w:szCs w:val="36"/>
        </w:rPr>
        <w:t>Содержание</w:t>
      </w:r>
    </w:p>
    <w:p w:rsidR="005350C7" w:rsidRPr="005350C7" w:rsidRDefault="005350C7" w:rsidP="005350C7">
      <w:pPr>
        <w:spacing w:line="360" w:lineRule="auto"/>
        <w:ind w:firstLine="709"/>
        <w:jc w:val="center"/>
        <w:rPr>
          <w:b/>
          <w:sz w:val="28"/>
          <w:szCs w:val="36"/>
        </w:rPr>
      </w:pPr>
    </w:p>
    <w:p w:rsidR="00453EC2" w:rsidRPr="005350C7" w:rsidRDefault="00453EC2" w:rsidP="005350C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4"/>
        </w:rPr>
      </w:pPr>
      <w:r w:rsidRPr="005350C7">
        <w:rPr>
          <w:sz w:val="28"/>
          <w:szCs w:val="34"/>
        </w:rPr>
        <w:t>Задание на проект.</w:t>
      </w:r>
    </w:p>
    <w:p w:rsidR="00453EC2" w:rsidRPr="005350C7" w:rsidRDefault="00453EC2" w:rsidP="005350C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4"/>
        </w:rPr>
      </w:pPr>
      <w:r w:rsidRPr="005350C7">
        <w:rPr>
          <w:sz w:val="28"/>
          <w:szCs w:val="34"/>
        </w:rPr>
        <w:t>Реферат.</w:t>
      </w:r>
    </w:p>
    <w:p w:rsidR="00453EC2" w:rsidRPr="005350C7" w:rsidRDefault="00453EC2" w:rsidP="005350C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4"/>
        </w:rPr>
      </w:pPr>
      <w:r w:rsidRPr="005350C7">
        <w:rPr>
          <w:sz w:val="28"/>
          <w:szCs w:val="34"/>
        </w:rPr>
        <w:t>Список условных обозначений и сокращений.</w:t>
      </w:r>
    </w:p>
    <w:p w:rsidR="00453EC2" w:rsidRPr="005350C7" w:rsidRDefault="00453EC2" w:rsidP="005350C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4"/>
        </w:rPr>
      </w:pPr>
      <w:r w:rsidRPr="005350C7">
        <w:rPr>
          <w:sz w:val="28"/>
          <w:szCs w:val="34"/>
        </w:rPr>
        <w:t>Вступление.</w:t>
      </w:r>
    </w:p>
    <w:p w:rsidR="00453EC2" w:rsidRPr="005350C7" w:rsidRDefault="00453EC2" w:rsidP="005350C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4"/>
        </w:rPr>
      </w:pPr>
      <w:r w:rsidRPr="005350C7">
        <w:rPr>
          <w:sz w:val="28"/>
          <w:szCs w:val="34"/>
          <w:lang w:val="en-US"/>
        </w:rPr>
        <w:t xml:space="preserve">I </w:t>
      </w:r>
      <w:r w:rsidRPr="005350C7">
        <w:rPr>
          <w:sz w:val="28"/>
          <w:szCs w:val="34"/>
        </w:rPr>
        <w:t>информация о заводе.</w:t>
      </w:r>
    </w:p>
    <w:p w:rsidR="00453EC2" w:rsidRPr="005350C7" w:rsidRDefault="00453EC2" w:rsidP="005350C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4"/>
        </w:rPr>
      </w:pPr>
      <w:r w:rsidRPr="005350C7">
        <w:rPr>
          <w:sz w:val="28"/>
          <w:szCs w:val="34"/>
        </w:rPr>
        <w:t>«Преобразователь.</w:t>
      </w:r>
    </w:p>
    <w:p w:rsidR="00453EC2" w:rsidRPr="005350C7" w:rsidRDefault="00453EC2" w:rsidP="005350C7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34"/>
        </w:rPr>
      </w:pPr>
      <w:r w:rsidRPr="005350C7">
        <w:rPr>
          <w:sz w:val="28"/>
          <w:szCs w:val="34"/>
        </w:rPr>
        <w:t xml:space="preserve">Вывод. </w:t>
      </w:r>
    </w:p>
    <w:p w:rsidR="00453EC2" w:rsidRPr="005350C7" w:rsidRDefault="005350C7" w:rsidP="005350C7">
      <w:pPr>
        <w:spacing w:line="360" w:lineRule="auto"/>
        <w:ind w:firstLine="709"/>
        <w:jc w:val="center"/>
        <w:rPr>
          <w:b/>
          <w:sz w:val="28"/>
          <w:szCs w:val="40"/>
        </w:rPr>
      </w:pPr>
      <w:r>
        <w:rPr>
          <w:sz w:val="28"/>
          <w:szCs w:val="36"/>
        </w:rPr>
        <w:br w:type="page"/>
      </w:r>
      <w:r w:rsidR="00453EC2" w:rsidRPr="005350C7">
        <w:rPr>
          <w:b/>
          <w:sz w:val="28"/>
          <w:szCs w:val="36"/>
        </w:rPr>
        <w:t>Условные обозначения</w:t>
      </w:r>
    </w:p>
    <w:p w:rsidR="005350C7" w:rsidRDefault="005350C7" w:rsidP="005350C7">
      <w:pPr>
        <w:spacing w:line="360" w:lineRule="auto"/>
        <w:ind w:firstLine="709"/>
        <w:jc w:val="both"/>
        <w:rPr>
          <w:sz w:val="28"/>
          <w:szCs w:val="36"/>
        </w:rPr>
      </w:pPr>
    </w:p>
    <w:p w:rsidR="00453EC2" w:rsidRPr="005350C7" w:rsidRDefault="00951EFD" w:rsidP="005350C7">
      <w:pPr>
        <w:spacing w:line="360" w:lineRule="auto"/>
        <w:ind w:firstLine="709"/>
        <w:jc w:val="both"/>
        <w:rPr>
          <w:sz w:val="28"/>
          <w:szCs w:val="34"/>
        </w:rPr>
      </w:pPr>
      <w:r w:rsidRPr="005350C7">
        <w:rPr>
          <w:sz w:val="28"/>
          <w:szCs w:val="36"/>
        </w:rPr>
        <w:t xml:space="preserve">ФШ – </w:t>
      </w:r>
      <w:r w:rsidRPr="005350C7">
        <w:rPr>
          <w:sz w:val="28"/>
          <w:szCs w:val="34"/>
        </w:rPr>
        <w:t>фотошаблон.</w:t>
      </w:r>
    </w:p>
    <w:p w:rsidR="00951EFD" w:rsidRPr="005350C7" w:rsidRDefault="00951EFD" w:rsidP="005350C7">
      <w:pPr>
        <w:spacing w:line="360" w:lineRule="auto"/>
        <w:ind w:firstLine="709"/>
        <w:jc w:val="both"/>
        <w:rPr>
          <w:sz w:val="28"/>
          <w:szCs w:val="36"/>
        </w:rPr>
      </w:pPr>
      <w:r w:rsidRPr="005350C7">
        <w:rPr>
          <w:sz w:val="28"/>
          <w:szCs w:val="36"/>
        </w:rPr>
        <w:t xml:space="preserve">ФЛ – </w:t>
      </w:r>
      <w:r w:rsidRPr="005350C7">
        <w:rPr>
          <w:sz w:val="28"/>
          <w:szCs w:val="34"/>
        </w:rPr>
        <w:t>фотолитография</w:t>
      </w:r>
      <w:r w:rsidRPr="005350C7">
        <w:rPr>
          <w:sz w:val="28"/>
          <w:szCs w:val="36"/>
        </w:rPr>
        <w:t>.</w:t>
      </w:r>
    </w:p>
    <w:p w:rsidR="00951EFD" w:rsidRPr="005350C7" w:rsidRDefault="00951EFD" w:rsidP="005350C7">
      <w:pPr>
        <w:spacing w:line="360" w:lineRule="auto"/>
        <w:ind w:firstLine="709"/>
        <w:jc w:val="both"/>
        <w:rPr>
          <w:sz w:val="28"/>
          <w:szCs w:val="36"/>
        </w:rPr>
      </w:pPr>
      <w:r w:rsidRPr="005350C7">
        <w:rPr>
          <w:sz w:val="28"/>
          <w:szCs w:val="36"/>
        </w:rPr>
        <w:t xml:space="preserve">ФР – </w:t>
      </w:r>
      <w:r w:rsidRPr="005350C7">
        <w:rPr>
          <w:sz w:val="28"/>
          <w:szCs w:val="34"/>
        </w:rPr>
        <w:t>фоторезистор</w:t>
      </w:r>
      <w:r w:rsidRPr="005350C7">
        <w:rPr>
          <w:sz w:val="28"/>
          <w:szCs w:val="36"/>
        </w:rPr>
        <w:t>.</w:t>
      </w:r>
    </w:p>
    <w:p w:rsidR="00951EFD" w:rsidRPr="005350C7" w:rsidRDefault="00951EFD" w:rsidP="005350C7">
      <w:pPr>
        <w:spacing w:line="360" w:lineRule="auto"/>
        <w:ind w:firstLine="709"/>
        <w:jc w:val="both"/>
        <w:rPr>
          <w:sz w:val="28"/>
          <w:szCs w:val="36"/>
        </w:rPr>
      </w:pPr>
    </w:p>
    <w:p w:rsidR="00951EFD" w:rsidRPr="005350C7" w:rsidRDefault="005350C7" w:rsidP="005350C7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Задание на проект</w:t>
      </w:r>
    </w:p>
    <w:p w:rsidR="005350C7" w:rsidRDefault="005350C7" w:rsidP="005350C7">
      <w:pPr>
        <w:spacing w:line="360" w:lineRule="auto"/>
        <w:ind w:firstLine="709"/>
        <w:jc w:val="both"/>
        <w:rPr>
          <w:sz w:val="28"/>
          <w:szCs w:val="36"/>
        </w:rPr>
      </w:pPr>
    </w:p>
    <w:p w:rsidR="00951EFD" w:rsidRPr="005350C7" w:rsidRDefault="00951EFD" w:rsidP="005350C7">
      <w:pPr>
        <w:spacing w:line="360" w:lineRule="auto"/>
        <w:ind w:firstLine="709"/>
        <w:jc w:val="both"/>
        <w:rPr>
          <w:sz w:val="28"/>
          <w:szCs w:val="36"/>
        </w:rPr>
      </w:pPr>
      <w:r w:rsidRPr="005350C7">
        <w:rPr>
          <w:sz w:val="28"/>
          <w:szCs w:val="36"/>
        </w:rPr>
        <w:t xml:space="preserve">Цель работы: </w:t>
      </w:r>
      <w:r w:rsidRPr="005350C7">
        <w:rPr>
          <w:sz w:val="28"/>
          <w:szCs w:val="34"/>
        </w:rPr>
        <w:t>изучить суть процесса литографии.</w:t>
      </w:r>
      <w:r w:rsidRPr="005350C7">
        <w:rPr>
          <w:sz w:val="28"/>
          <w:szCs w:val="36"/>
        </w:rPr>
        <w:t xml:space="preserve"> </w:t>
      </w:r>
    </w:p>
    <w:p w:rsidR="00951EFD" w:rsidRPr="005350C7" w:rsidRDefault="00951EFD" w:rsidP="005350C7">
      <w:pPr>
        <w:spacing w:line="360" w:lineRule="auto"/>
        <w:ind w:firstLine="709"/>
        <w:jc w:val="both"/>
        <w:rPr>
          <w:sz w:val="28"/>
          <w:szCs w:val="34"/>
        </w:rPr>
      </w:pPr>
      <w:r w:rsidRPr="005350C7">
        <w:rPr>
          <w:sz w:val="28"/>
          <w:szCs w:val="36"/>
        </w:rPr>
        <w:t xml:space="preserve">Объект изучения: </w:t>
      </w:r>
      <w:r w:rsidRPr="005350C7">
        <w:rPr>
          <w:sz w:val="28"/>
          <w:szCs w:val="34"/>
        </w:rPr>
        <w:t>пластины кремния.</w:t>
      </w:r>
    </w:p>
    <w:p w:rsidR="00951EFD" w:rsidRPr="005350C7" w:rsidRDefault="00951EFD" w:rsidP="005350C7">
      <w:pPr>
        <w:spacing w:line="360" w:lineRule="auto"/>
        <w:ind w:firstLine="709"/>
        <w:jc w:val="both"/>
        <w:rPr>
          <w:sz w:val="28"/>
          <w:szCs w:val="36"/>
        </w:rPr>
      </w:pPr>
      <w:r w:rsidRPr="005350C7">
        <w:rPr>
          <w:sz w:val="28"/>
          <w:szCs w:val="36"/>
        </w:rPr>
        <w:t xml:space="preserve">Вывод: </w:t>
      </w:r>
      <w:r w:rsidRPr="005350C7">
        <w:rPr>
          <w:sz w:val="28"/>
          <w:szCs w:val="34"/>
        </w:rPr>
        <w:t>в процессе изучения метода фотолитографии, мной была изучена суть метода его назначение и технологический процесс.</w:t>
      </w:r>
    </w:p>
    <w:p w:rsidR="00951EFD" w:rsidRPr="005350C7" w:rsidRDefault="005350C7" w:rsidP="005350C7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>
        <w:rPr>
          <w:b/>
          <w:sz w:val="28"/>
          <w:szCs w:val="36"/>
        </w:rPr>
        <w:t>Техника безопасности</w:t>
      </w:r>
    </w:p>
    <w:p w:rsidR="005350C7" w:rsidRDefault="005350C7" w:rsidP="005350C7">
      <w:pPr>
        <w:spacing w:line="360" w:lineRule="auto"/>
        <w:ind w:firstLine="709"/>
        <w:jc w:val="both"/>
        <w:rPr>
          <w:sz w:val="28"/>
          <w:szCs w:val="32"/>
        </w:rPr>
      </w:pPr>
    </w:p>
    <w:p w:rsidR="00DA1331" w:rsidRPr="005350C7" w:rsidRDefault="00951EFD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Производство полупроводникового кремния связано с использованием и получением </w:t>
      </w:r>
      <w:r w:rsidR="00DA1331" w:rsidRPr="005350C7">
        <w:rPr>
          <w:sz w:val="28"/>
          <w:szCs w:val="32"/>
        </w:rPr>
        <w:t>огневзрывопожароопасных и токсичных веществ, электроэнергии и др. поэтому необходимо знать некоторые характеристики исходных, промежуточных и конечных продуктов, а также общие правила безопасности при работе с электроустановками и оборудованием.</w:t>
      </w:r>
    </w:p>
    <w:p w:rsidR="00DA1331" w:rsidRPr="005350C7" w:rsidRDefault="00DA1331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Действие кремниевой пыли на организм человека подробно не исследовано. Предельно допустимая концентрация (ПДК), принятая для аэрозоля кремния, 4 г/м</w:t>
      </w:r>
      <w:r w:rsidRPr="005350C7">
        <w:rPr>
          <w:sz w:val="28"/>
          <w:szCs w:val="32"/>
          <w:vertAlign w:val="superscript"/>
        </w:rPr>
        <w:t>3</w:t>
      </w:r>
      <w:r w:rsidRPr="005350C7">
        <w:rPr>
          <w:sz w:val="28"/>
          <w:szCs w:val="32"/>
        </w:rPr>
        <w:t xml:space="preserve"> [288]. Класс опасности кремния по ГОСТ 12. 1. 007 – 76 не определен, вместе с тем, аэрозоль кремнемедного сплава отнесен к четвертому классу опасности [289]. Кристаллический кремний – не горючий материал. Мелкодисперсная пыль кремния в смеси с воздухом образует взрывопожарные смеси.</w:t>
      </w:r>
    </w:p>
    <w:p w:rsidR="009A2AB3" w:rsidRPr="005350C7" w:rsidRDefault="00DA1331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Для защиты органов дыхания используют респираторы, для защиты кожи – плотную спецодежду, рукавицы, обувь. Для снижения концентрации пыли в воздухе помещения, необходимо проводить тщательную влажную уборку </w:t>
      </w:r>
      <w:r w:rsidR="009A2AB3" w:rsidRPr="005350C7">
        <w:rPr>
          <w:sz w:val="28"/>
          <w:szCs w:val="32"/>
        </w:rPr>
        <w:t>кремниевой пыли не реже 2 раз в год и влажную уборку рабочих мест – ежемесячно. Необходимо также следить за постоянной работой вытяжной вентиляции и фильтров. Кусковой кремний хранится в деревянных ящиках или металлических контейнерах с герметичными крышками для предотвращения попадания влаги.</w:t>
      </w:r>
    </w:p>
    <w:p w:rsidR="00C31E81" w:rsidRPr="005350C7" w:rsidRDefault="009A2AB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При вдыхании паров трихлорсилана в течение нескольких минут человек возбуждается, происходит рефлекторное нарушение дыхания, воспалительные изменения в органах дыхания. Пары трихлорсилана сильно раздражают слизистые оболочки глаз, рта, носа и верхних дыхательных путей, вызывают отдышку, а при высоких концентрациях и длительном воздействии – судороги и смерть. При контакте с кожей трихлорсилан вызывает некроз, длительно не заживающие язвы. [288]. ПДК паров трихлорсилана в воздухе рабочей зоны 1 мг/м</w:t>
      </w:r>
      <w:r w:rsidRPr="005350C7">
        <w:rPr>
          <w:sz w:val="28"/>
          <w:szCs w:val="32"/>
          <w:vertAlign w:val="superscript"/>
        </w:rPr>
        <w:t>3</w:t>
      </w:r>
      <w:r w:rsidRPr="005350C7">
        <w:rPr>
          <w:sz w:val="28"/>
          <w:szCs w:val="32"/>
        </w:rPr>
        <w:t xml:space="preserve">, класс опасности 2 [291]. </w:t>
      </w:r>
      <w:r w:rsidR="00C31E81" w:rsidRPr="005350C7">
        <w:rPr>
          <w:sz w:val="28"/>
          <w:szCs w:val="32"/>
        </w:rPr>
        <w:t>При отравлении трихлорсиланом пострадавшему необходимо обеспечить доступ свежего воздуха, освободить от стесняющей одежды, укрыть, согреть грелками. Возможно применение ингаляций кислородом.</w:t>
      </w:r>
    </w:p>
    <w:p w:rsidR="00C31E81" w:rsidRPr="005350C7" w:rsidRDefault="00C31E81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При попадании трихлорсилана в глаза или на кожу необходимо пораженное место промыть обильной струей воды.</w:t>
      </w:r>
    </w:p>
    <w:p w:rsidR="00C31E81" w:rsidRPr="005350C7" w:rsidRDefault="00C31E81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Трихлорсилан – очень опасная, легко воспламеняющаяся жидкость, пары которой в смеси с воздухом образуют взрывоопасные смеси [292]. Температура вспышки 239,55 К, самовоспламенения – 503,15 К.</w:t>
      </w:r>
    </w:p>
    <w:p w:rsidR="00C31E81" w:rsidRPr="005350C7" w:rsidRDefault="00C31E81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При попадании даже небольших количеств дихлорсилана в атмосферу помещения сильно раздражается слизистая оболочка глаз и верхних дыхательных путей. Непосредственный контакт дихлорсилана с кожей и слизистой оболочкой глаз приводит к некротическим изменениям тканей. Очень токсичен. </w:t>
      </w:r>
    </w:p>
    <w:p w:rsidR="00E72192" w:rsidRPr="005350C7" w:rsidRDefault="00C31E81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При отравлениях дихлорсиланом пострадавшего необходимо вынести на свежий воздух, освободить от стесняющей одежды, укрыть, согреть грелками, дать кислород, вызвать врача. При попадании дихлорсилана в глаза необходимо быстро промыть обильной струей воды в течение </w:t>
      </w:r>
      <w:r w:rsidR="00E72192" w:rsidRPr="005350C7">
        <w:rPr>
          <w:sz w:val="28"/>
          <w:szCs w:val="32"/>
        </w:rPr>
        <w:t>≥ 15 мин. При промывании глаз веки необходимо оттягивать, чтобы обеспечить доступ воды на большую поверхность слизистой оболочки глаза. После получения первой помощи обратиться к врачу.</w:t>
      </w:r>
    </w:p>
    <w:p w:rsidR="00E72192" w:rsidRPr="005350C7" w:rsidRDefault="00E72192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Дихлорсинал – пожаровзрывоопасный газ, образующий с воздухом взрывоопасные смеси. Температура вспышки 236,15 К, температура самовоспламенения 374,15 К.</w:t>
      </w:r>
    </w:p>
    <w:p w:rsidR="00E72192" w:rsidRPr="005350C7" w:rsidRDefault="00E72192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Моносилан – бесцветный, некоррозионный, токсичный, самовоспламеняющийся газ с неприятным запахом. Наличие силана в атмосфере помещения вызывает головную боль. Острые отравления силаном сопровождаются головной болью, головокружением, тошнотой, обильным потоотделением, бледностью, полуобморочным состоянием. В картине крови наблюдается гемолитическое действие силана и через месяц после отравления. </w:t>
      </w:r>
    </w:p>
    <w:p w:rsidR="00E72192" w:rsidRPr="005350C7" w:rsidRDefault="00E72192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В помещениях необходимо следить за герметичностью оборудования и трубопроводов, исправной работой приточной и вытяжной вентиляций, осуществлять контроль </w:t>
      </w:r>
      <w:r w:rsidR="00A43424" w:rsidRPr="005350C7">
        <w:rPr>
          <w:sz w:val="28"/>
          <w:szCs w:val="32"/>
        </w:rPr>
        <w:t xml:space="preserve">над </w:t>
      </w:r>
      <w:r w:rsidRPr="005350C7">
        <w:rPr>
          <w:sz w:val="28"/>
          <w:szCs w:val="32"/>
        </w:rPr>
        <w:t>содержанием силана в атмосфере помещения.</w:t>
      </w:r>
    </w:p>
    <w:p w:rsidR="00A43424" w:rsidRPr="005350C7" w:rsidRDefault="00A43424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По действию на организм человека водород является физиологически инертным газом, лишь при высоких концентрациях вызывает удушье вследствие уменьшения концентрации кислорода в воздухе.</w:t>
      </w:r>
    </w:p>
    <w:p w:rsidR="00A43424" w:rsidRPr="005350C7" w:rsidRDefault="00A43424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Водород – горючий газ. Температура</w:t>
      </w:r>
      <w:r w:rsidR="00DE228E" w:rsidRPr="005350C7">
        <w:rPr>
          <w:sz w:val="28"/>
          <w:szCs w:val="32"/>
        </w:rPr>
        <w:t xml:space="preserve"> самовоспламенения 783</w:t>
      </w:r>
      <w:r w:rsidRPr="005350C7">
        <w:rPr>
          <w:sz w:val="28"/>
          <w:szCs w:val="32"/>
        </w:rPr>
        <w:t xml:space="preserve">К. </w:t>
      </w:r>
    </w:p>
    <w:p w:rsidR="00A43424" w:rsidRPr="005350C7" w:rsidRDefault="00A43424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Для предотвращения попадания водорода в воздух рабочей зоны необходимо тщательно следить за герметичностью оборудования и трубопроводов, осуществлять отсос воздуха из верхней зоны помещений. В помещениях, где используется водород, устанавливают автоматические газоанализаторы, сблокированные с аварийной вытяжной вентиляцией.</w:t>
      </w:r>
    </w:p>
    <w:p w:rsidR="003C4010" w:rsidRPr="005350C7" w:rsidRDefault="00A43424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Отравление хлором в высоких концентрациях может привести к молниеносной смерти из – за рефлекторного торможения дыхательного центра. При отравлениях хлором средних и низких концентраций наступают резкие загрудные боли, </w:t>
      </w:r>
      <w:r w:rsidR="003C4010" w:rsidRPr="005350C7">
        <w:rPr>
          <w:sz w:val="28"/>
          <w:szCs w:val="32"/>
        </w:rPr>
        <w:t>жжение и резь в глазах, слезотечение, мучительный сухой кашель. Через 2 – 3 часа развивается отек легких.</w:t>
      </w:r>
    </w:p>
    <w:p w:rsidR="003C4010" w:rsidRPr="005350C7" w:rsidRDefault="003C4010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При отравлениях хлором пострадавшего необходимо вынести на свежий воздух, согреть, вызвать врача, освободить от стесняющей одежды, промыть глаза, рот и нос водой. Дать выпить теплое молоко с содой, кофе. Искусственное дыхание делать запрещено.</w:t>
      </w:r>
    </w:p>
    <w:p w:rsidR="0078581B" w:rsidRPr="005350C7" w:rsidRDefault="003C4010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Для защиты работающих от воздействия хлора используют фильтрующий противогаз марки БКФ, резиновые и суконные перчатки, спецобувь, суконную спецодежду. В помещениях необходимо постоянно </w:t>
      </w:r>
      <w:r w:rsidR="0078581B" w:rsidRPr="005350C7">
        <w:rPr>
          <w:sz w:val="28"/>
          <w:szCs w:val="32"/>
        </w:rPr>
        <w:t xml:space="preserve">осуществлять контроль над содержанием хлора, обеспечивать герметичность оборудования и трубопроводов, надежную работу вентиляционных систем. </w:t>
      </w:r>
    </w:p>
    <w:p w:rsidR="005B7397" w:rsidRPr="005350C7" w:rsidRDefault="0078581B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Хлорный водород или пары соляной кислоты при высоких концентрациях вызывают раздражение слизистых оболочек, особенно носа, конъюнктивит, помутнение роговицы, охриплость, чувство удушья, покалывание в груди, насморк, кашель. Хроническое отравление вызывает катары дыхательных путей, разрушение зубов, изъязвление слизистых оболочек носа, </w:t>
      </w:r>
      <w:r w:rsidR="005B7397" w:rsidRPr="005350C7">
        <w:rPr>
          <w:sz w:val="28"/>
          <w:szCs w:val="32"/>
        </w:rPr>
        <w:t xml:space="preserve">желудочно-кишечные расстройства, возможны воспалительные заболевания кожи. </w:t>
      </w:r>
    </w:p>
    <w:p w:rsidR="005B7397" w:rsidRPr="005350C7" w:rsidRDefault="005B7397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При отравлении хлористым водородом пострадавшего необходимо вынести на свежий воздух и освободить от стесняющей одежды, применить ингаляцию кислородом, вызвать врача. При попадании в глаза промыть их обильно водой. При попадании крепкой соляной кислоты на кожу необходимо немедленно промыть пораженное место водой в течение 5 – 10 мин, воду лучше подавать непрерывной струей под давлением.</w:t>
      </w:r>
    </w:p>
    <w:p w:rsidR="005B7397" w:rsidRPr="005350C7" w:rsidRDefault="005B7397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Хлористый водород – негорючий газ, однако соляная кислота (раствор хлористого водорода в воде) при взаимодействии с металлом (железо) выделяет водород.</w:t>
      </w:r>
    </w:p>
    <w:p w:rsidR="005B7397" w:rsidRPr="005350C7" w:rsidRDefault="005B7397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Для защиты работающих используют фильтрующий противогаз марки БКФ, спецодежду из плотной кислотостойкой ткани, суконный костюм, резиновые или кирзовые сапоги, резиновые или суконные перчатки, шерстяной головной убор.</w:t>
      </w:r>
    </w:p>
    <w:p w:rsidR="006E5356" w:rsidRPr="005350C7" w:rsidRDefault="007635DC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Действие тетрахлорсилана на организм человека аналогично действию трихлорсилана. Тетрахлорсилан негорючий. Помощь при отравлении, меры и средства защиты,</w:t>
      </w:r>
      <w:r w:rsidR="006E5356" w:rsidRPr="005350C7">
        <w:rPr>
          <w:sz w:val="28"/>
          <w:szCs w:val="32"/>
        </w:rPr>
        <w:t xml:space="preserve"> обезвреживание аналогичны мерам безопасности при работе с трихлорсиланом.</w:t>
      </w:r>
    </w:p>
    <w:p w:rsidR="006E5356" w:rsidRPr="005350C7" w:rsidRDefault="006E535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Действие азота и аргона на организм человека проявляется при резком снижении концентрации кислорода во вдыхаемом воздухе. При содержании кислорода &lt; 15% (объемн.) может наступить удушье.</w:t>
      </w:r>
    </w:p>
    <w:p w:rsidR="006E5356" w:rsidRPr="005350C7" w:rsidRDefault="006E535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При работе внутри аппаратов, в подвалах, закрытых помещениях, в которых концентрация кислорода может быть понижена за счет выделения азота или аргона ниже обычной нормы 18% (объемн.), необходимо пользоваться изолирующими шланговыми противогазами.</w:t>
      </w:r>
    </w:p>
    <w:p w:rsidR="006E5356" w:rsidRPr="005350C7" w:rsidRDefault="006E535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Азот – негорючий газ, используется для объемного тушения пожаров, для продувки аппаратов и технологических линий. </w:t>
      </w:r>
    </w:p>
    <w:p w:rsidR="006E5356" w:rsidRPr="005350C7" w:rsidRDefault="006E535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Аргон – негорючий газ, используется преимущественно в в качестве защитной (инертной) среды в металлургии кремния. При больших концентрациях в воздухе вызывает удушье.</w:t>
      </w:r>
    </w:p>
    <w:p w:rsidR="008A07AE" w:rsidRPr="005350C7" w:rsidRDefault="006E535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Хладон 30 (фреон 30, дихлорметан, метиленхлорид) является наркотиком, </w:t>
      </w:r>
      <w:r w:rsidR="008A07AE" w:rsidRPr="005350C7">
        <w:rPr>
          <w:sz w:val="28"/>
          <w:szCs w:val="32"/>
        </w:rPr>
        <w:t xml:space="preserve">вызыванющим поражение внутренних органов. Технический продукт токсичнее чистого. </w:t>
      </w:r>
    </w:p>
    <w:p w:rsidR="008A07AE" w:rsidRPr="005350C7" w:rsidRDefault="008A07AE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При остром отравлении дихлорметаном наблюдаются головокружение, временное затемнение сознания, повторяющаяся рвота, раздражение верхних дыхательных путей, конъюнктивит.</w:t>
      </w:r>
    </w:p>
    <w:p w:rsidR="008A07AE" w:rsidRPr="005350C7" w:rsidRDefault="008A07AE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Для индивидуальной защиты работающих применяют фильтрующий противогаз марки А или БКФ, при высоких концентрациях – шланговые изолирующие противогазы. Добавка сильно пахнущего вещества помогает сразу заметить утечку дихлорметана. Необходимо тщательно следить за герметичностью оборудования и трубопроводов.</w:t>
      </w:r>
    </w:p>
    <w:p w:rsidR="008A07AE" w:rsidRPr="005350C7" w:rsidRDefault="008A07AE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Дихлорметан – трудногорючее вещество, горит только при действии источника зажигания или нагрева выше температуры самовоспламенения (853 К).</w:t>
      </w:r>
    </w:p>
    <w:p w:rsidR="00EB1766" w:rsidRPr="005350C7" w:rsidRDefault="008A07AE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Для обеспечения безопасных условий работы при производстве трихлорсилана предусмотрена автоматическая схема контроля, управления и блокировки: регулирование температуры в реакторе синтеза трихлорсилана в пределах 563 – 623 К с подачей воды в рубашку охлаждения; регулирование температуры азота в подогревателях в пределах 648 – 698 К; блокировка работы нагревателей азота </w:t>
      </w:r>
      <w:r w:rsidR="00EB1766" w:rsidRPr="005350C7">
        <w:rPr>
          <w:sz w:val="28"/>
          <w:szCs w:val="32"/>
        </w:rPr>
        <w:t>и реактора синтеза по давлению защитного азота в кремневых коробках и оболочках электронагревателей.</w:t>
      </w:r>
    </w:p>
    <w:p w:rsidR="00EB1766" w:rsidRPr="005350C7" w:rsidRDefault="00EB176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Технологическое оборудование, используемое в технологии полупроводникового кремния, во многих случаях имеет электрические приводы и нагревательные устройства. Обслуживание электрооборудования связано с опасностью поражения электрическим током. Электрический ток, протекающий через организм человека, воздействует на него термически, электролитически и биологически.</w:t>
      </w:r>
    </w:p>
    <w:p w:rsidR="00EB1766" w:rsidRPr="005350C7" w:rsidRDefault="00EB176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Термическое действие характеризуется нагревом тканей вплоть до ожогов, электрическое – разложение органических жидкостей, в том числе разложение крови, биологическое действие электрического тока проявляется в нарушении биоэлектрических процессов и сопровождается раздражением, возбуждением и параличом нервных тканей и сокращением мышц.</w:t>
      </w:r>
    </w:p>
    <w:p w:rsidR="000C0083" w:rsidRPr="005350C7" w:rsidRDefault="00EB176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Степень воздействия электрического тока на организм человека зависит от состояния нервной системы и всего организма. Так, в состоянии возбуждения нервной системы, депрессии, болезни (особенно болезни кожи, сердечно – сосудистой системы, нервной системы и т. д.) </w:t>
      </w:r>
      <w:r w:rsidR="000C0083" w:rsidRPr="005350C7">
        <w:rPr>
          <w:sz w:val="28"/>
          <w:szCs w:val="32"/>
        </w:rPr>
        <w:t>и опьянения люди более чувствительны к воздействию протекающего через организм человека тока.</w:t>
      </w:r>
    </w:p>
    <w:p w:rsidR="000C0083" w:rsidRPr="005350C7" w:rsidRDefault="000C008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При обслуживании высококачественных установок (например, установок бестигельной заной плавки) появляется опасность воздействия на человека высокочастотного электрического поля. </w:t>
      </w:r>
    </w:p>
    <w:p w:rsidR="000C0083" w:rsidRPr="005350C7" w:rsidRDefault="000C008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Санитарными нормами предусмотрены предельно допустимы значения напряженности электрического поля на рабочих местах [297] в диапазоне частот 60 кГц – 3 МГц 50 В/м и</w:t>
      </w:r>
      <w:r w:rsidR="005350C7">
        <w:rPr>
          <w:sz w:val="28"/>
          <w:szCs w:val="32"/>
        </w:rPr>
        <w:t xml:space="preserve"> </w:t>
      </w:r>
      <w:r w:rsidRPr="005350C7">
        <w:rPr>
          <w:sz w:val="28"/>
          <w:szCs w:val="32"/>
        </w:rPr>
        <w:t>3 – 30 МГц 20 В/м.</w:t>
      </w:r>
    </w:p>
    <w:p w:rsidR="000C0083" w:rsidRPr="005350C7" w:rsidRDefault="000C008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Для защиты от прикосновения к находящимся под напряжением частям установок применяют изолирующие устройства и приспособления, дистанционное управление, блокировки и предохранительную сигнализацию.</w:t>
      </w:r>
    </w:p>
    <w:p w:rsidR="000C0083" w:rsidRPr="005350C7" w:rsidRDefault="000C008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В случае поражения электрическим током</w:t>
      </w:r>
      <w:r w:rsidR="005350C7">
        <w:rPr>
          <w:sz w:val="28"/>
          <w:szCs w:val="32"/>
        </w:rPr>
        <w:t xml:space="preserve"> </w:t>
      </w:r>
      <w:r w:rsidRPr="005350C7">
        <w:rPr>
          <w:sz w:val="28"/>
          <w:szCs w:val="32"/>
        </w:rPr>
        <w:t>необходимо срочно оказать первую помощь пострадавшему. Основными условиями успеха при этом являются спокойствие, находчивость, быстрота действий, знание и умение оказывающего помощь.</w:t>
      </w:r>
    </w:p>
    <w:p w:rsidR="00DE228E" w:rsidRPr="005350C7" w:rsidRDefault="000C008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Если пострадавший не может самостоятельно освободиться от токоведущих частей, то необходимо немедленно отключить </w:t>
      </w:r>
      <w:r w:rsidR="00DE228E" w:rsidRPr="005350C7">
        <w:rPr>
          <w:sz w:val="28"/>
          <w:szCs w:val="32"/>
        </w:rPr>
        <w:t>электроустановку или, если это сделать не удается, отделить пострадавшего от действия тока, для чего следует надеть диэлектрические перчатки и боты, действовать изолирующими клещами. После этого необходимо расстегнуть его одежду, стесняющую дыхание, создать приток воздуха и обеспечить полный покой.</w:t>
      </w:r>
    </w:p>
    <w:p w:rsidR="00115968" w:rsidRPr="005350C7" w:rsidRDefault="00115968" w:rsidP="005350C7">
      <w:pPr>
        <w:spacing w:line="360" w:lineRule="auto"/>
        <w:ind w:firstLine="709"/>
        <w:jc w:val="both"/>
        <w:rPr>
          <w:sz w:val="28"/>
          <w:szCs w:val="32"/>
        </w:rPr>
      </w:pPr>
    </w:p>
    <w:p w:rsidR="00A43424" w:rsidRPr="005350C7" w:rsidRDefault="005350C7" w:rsidP="005350C7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b/>
          <w:sz w:val="28"/>
          <w:szCs w:val="36"/>
        </w:rPr>
        <w:t>Фотолитография</w:t>
      </w:r>
    </w:p>
    <w:p w:rsidR="005350C7" w:rsidRDefault="005350C7" w:rsidP="005350C7">
      <w:pPr>
        <w:spacing w:line="360" w:lineRule="auto"/>
        <w:ind w:firstLine="709"/>
        <w:jc w:val="both"/>
        <w:rPr>
          <w:sz w:val="28"/>
          <w:szCs w:val="32"/>
        </w:rPr>
      </w:pPr>
    </w:p>
    <w:p w:rsidR="00D4741E" w:rsidRPr="005350C7" w:rsidRDefault="00D4741E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Литография – это процесс формирования в актиночувствительном слое, нанесенном на поверхность подложек, рельефного рисунка, повторяющего топологию полупроводниковых приборов или ИМС, и последующего переноса этого рисунка на подложки.</w:t>
      </w:r>
    </w:p>
    <w:p w:rsidR="00D4741E" w:rsidRPr="005350C7" w:rsidRDefault="00D4741E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Процесс литографии состоит из двух стадий: </w:t>
      </w:r>
    </w:p>
    <w:p w:rsidR="00D4741E" w:rsidRPr="005350C7" w:rsidRDefault="00D4741E" w:rsidP="005350C7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- формирование необходимого рисунка элементов в слое актиночевствительного вещества (резиста) его экспонированием и проявлением;</w:t>
      </w:r>
    </w:p>
    <w:p w:rsidR="00D532E2" w:rsidRPr="005350C7" w:rsidRDefault="00D4741E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- травления нижележащего технологического слоя (диэлектрика, металла) через сформированную</w:t>
      </w:r>
      <w:r w:rsidR="00D532E2" w:rsidRPr="005350C7">
        <w:rPr>
          <w:sz w:val="28"/>
          <w:szCs w:val="32"/>
        </w:rPr>
        <w:t xml:space="preserve"> технологическую маску или непосредственного использования слоя резиста в качестве топологической маски при ионном легировании.</w:t>
      </w:r>
    </w:p>
    <w:p w:rsidR="00D532E2" w:rsidRPr="005350C7" w:rsidRDefault="00D532E2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В качестве диэлектрических слоев обычно служат пленки диоксида </w:t>
      </w:r>
      <w:r w:rsidRPr="005350C7">
        <w:rPr>
          <w:sz w:val="28"/>
          <w:szCs w:val="32"/>
          <w:lang w:val="en-US"/>
        </w:rPr>
        <w:t>SiO</w:t>
      </w:r>
      <w:r w:rsidRPr="005350C7">
        <w:rPr>
          <w:sz w:val="28"/>
          <w:szCs w:val="32"/>
          <w:vertAlign w:val="subscript"/>
        </w:rPr>
        <w:t>2</w:t>
      </w:r>
      <w:r w:rsidRPr="005350C7">
        <w:rPr>
          <w:sz w:val="28"/>
          <w:szCs w:val="32"/>
        </w:rPr>
        <w:t xml:space="preserve"> и нитрата </w:t>
      </w:r>
      <w:r w:rsidRPr="005350C7">
        <w:rPr>
          <w:sz w:val="28"/>
          <w:szCs w:val="32"/>
          <w:lang w:val="en-US"/>
        </w:rPr>
        <w:t>Si</w:t>
      </w:r>
      <w:r w:rsidRPr="005350C7">
        <w:rPr>
          <w:sz w:val="28"/>
          <w:szCs w:val="32"/>
          <w:vertAlign w:val="subscript"/>
        </w:rPr>
        <w:t>3</w:t>
      </w:r>
      <w:r w:rsidRPr="005350C7">
        <w:rPr>
          <w:sz w:val="28"/>
          <w:szCs w:val="32"/>
          <w:lang w:val="en-US"/>
        </w:rPr>
        <w:t>N</w:t>
      </w:r>
      <w:r w:rsidRPr="005350C7">
        <w:rPr>
          <w:sz w:val="28"/>
          <w:szCs w:val="32"/>
          <w:vertAlign w:val="subscript"/>
        </w:rPr>
        <w:t>4</w:t>
      </w:r>
      <w:r w:rsidRPr="005350C7">
        <w:rPr>
          <w:sz w:val="28"/>
          <w:szCs w:val="32"/>
        </w:rPr>
        <w:t xml:space="preserve"> кремния, а межсоединений – пленки некоторых металлов. Все пленки называют технологическим слоем.</w:t>
      </w:r>
    </w:p>
    <w:p w:rsidR="00D532E2" w:rsidRPr="005350C7" w:rsidRDefault="00D532E2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В зависимости от длины волны используемого излучения применяют следующие методы литографии:</w:t>
      </w:r>
    </w:p>
    <w:p w:rsidR="00D532E2" w:rsidRPr="005350C7" w:rsidRDefault="00D532E2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- фотолитографию (длина волны актиничного ультрафиолетового излучения λ = 250</w:t>
      </w:r>
      <w:r w:rsidR="00A40B33" w:rsidRPr="005350C7">
        <w:rPr>
          <w:sz w:val="28"/>
          <w:szCs w:val="32"/>
        </w:rPr>
        <w:t xml:space="preserve"> : 440 нм);</w:t>
      </w:r>
    </w:p>
    <w:p w:rsidR="00A40B33" w:rsidRPr="005350C7" w:rsidRDefault="00A40B3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-</w:t>
      </w:r>
      <w:r w:rsidR="005350C7">
        <w:rPr>
          <w:sz w:val="28"/>
          <w:szCs w:val="32"/>
        </w:rPr>
        <w:t xml:space="preserve"> </w:t>
      </w:r>
      <w:r w:rsidRPr="005350C7">
        <w:rPr>
          <w:sz w:val="28"/>
          <w:szCs w:val="32"/>
        </w:rPr>
        <w:t>рентгенолитографию (длина волны рентгеновского излучения λ = 0.5 : 2 нм);</w:t>
      </w:r>
    </w:p>
    <w:p w:rsidR="00A40B33" w:rsidRPr="005350C7" w:rsidRDefault="00A40B3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-</w:t>
      </w:r>
      <w:r w:rsidR="005350C7">
        <w:rPr>
          <w:sz w:val="28"/>
          <w:szCs w:val="32"/>
        </w:rPr>
        <w:t xml:space="preserve"> </w:t>
      </w:r>
      <w:r w:rsidRPr="005350C7">
        <w:rPr>
          <w:sz w:val="28"/>
          <w:szCs w:val="32"/>
        </w:rPr>
        <w:t>электронолитографию (поток электронов, имеющих энергию 10 – 100 КэВ или длину волны λ = 0.05 нм);</w:t>
      </w:r>
    </w:p>
    <w:p w:rsidR="00A40B33" w:rsidRPr="005350C7" w:rsidRDefault="00A40B3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-</w:t>
      </w:r>
      <w:r w:rsidR="005350C7">
        <w:rPr>
          <w:sz w:val="28"/>
          <w:szCs w:val="32"/>
        </w:rPr>
        <w:t xml:space="preserve"> </w:t>
      </w:r>
      <w:r w:rsidRPr="005350C7">
        <w:rPr>
          <w:sz w:val="28"/>
          <w:szCs w:val="32"/>
        </w:rPr>
        <w:t>ионолитографию длина волны излучения ионов λ = 0.05 : 0.1 нм).</w:t>
      </w:r>
    </w:p>
    <w:p w:rsidR="00B2247F" w:rsidRPr="005350C7" w:rsidRDefault="00A40B3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В зависимости от способа переноса изображения методы литографии могут быть контрактными и проекционными, а также непосредственной генерации всего изображения или </w:t>
      </w:r>
      <w:r w:rsidR="00B2247F" w:rsidRPr="005350C7">
        <w:rPr>
          <w:sz w:val="28"/>
          <w:szCs w:val="32"/>
        </w:rPr>
        <w:t>м</w:t>
      </w:r>
      <w:r w:rsidRPr="005350C7">
        <w:rPr>
          <w:sz w:val="28"/>
          <w:szCs w:val="32"/>
        </w:rPr>
        <w:t>ультипликации</w:t>
      </w:r>
      <w:r w:rsidR="00B2247F" w:rsidRPr="005350C7">
        <w:rPr>
          <w:sz w:val="28"/>
          <w:szCs w:val="32"/>
        </w:rPr>
        <w:t xml:space="preserve"> единичного изображения. В свою очередь, проекционные методы могут</w:t>
      </w:r>
      <w:r w:rsidR="005350C7">
        <w:rPr>
          <w:sz w:val="28"/>
          <w:szCs w:val="32"/>
        </w:rPr>
        <w:t xml:space="preserve"> </w:t>
      </w:r>
      <w:r w:rsidR="00B2247F" w:rsidRPr="005350C7">
        <w:rPr>
          <w:sz w:val="28"/>
          <w:szCs w:val="32"/>
        </w:rPr>
        <w:t>быть</w:t>
      </w:r>
      <w:r w:rsidR="005350C7">
        <w:rPr>
          <w:sz w:val="28"/>
          <w:szCs w:val="32"/>
        </w:rPr>
        <w:t xml:space="preserve"> </w:t>
      </w:r>
      <w:r w:rsidR="00B2247F" w:rsidRPr="005350C7">
        <w:rPr>
          <w:sz w:val="28"/>
          <w:szCs w:val="32"/>
        </w:rPr>
        <w:t>без</w:t>
      </w:r>
      <w:r w:rsidR="005350C7">
        <w:rPr>
          <w:sz w:val="28"/>
          <w:szCs w:val="32"/>
        </w:rPr>
        <w:t xml:space="preserve"> </w:t>
      </w:r>
      <w:r w:rsidR="00B2247F" w:rsidRPr="005350C7">
        <w:rPr>
          <w:sz w:val="28"/>
          <w:szCs w:val="32"/>
        </w:rPr>
        <w:t>изменения</w:t>
      </w:r>
      <w:r w:rsidR="005350C7">
        <w:rPr>
          <w:sz w:val="28"/>
          <w:szCs w:val="32"/>
        </w:rPr>
        <w:t xml:space="preserve"> </w:t>
      </w:r>
      <w:r w:rsidR="00B2247F" w:rsidRPr="005350C7">
        <w:rPr>
          <w:sz w:val="28"/>
          <w:szCs w:val="32"/>
        </w:rPr>
        <w:t>масштаба</w:t>
      </w:r>
      <w:r w:rsidR="005350C7">
        <w:rPr>
          <w:sz w:val="28"/>
          <w:szCs w:val="32"/>
        </w:rPr>
        <w:t xml:space="preserve"> </w:t>
      </w:r>
      <w:r w:rsidR="00B2247F" w:rsidRPr="005350C7">
        <w:rPr>
          <w:sz w:val="28"/>
          <w:szCs w:val="32"/>
        </w:rPr>
        <w:t>переносимого изображения (М1 : 1) и с уменьшением его масштаба (М10 : 1; М5 : 1).</w:t>
      </w:r>
    </w:p>
    <w:p w:rsidR="00A40B33" w:rsidRPr="005350C7" w:rsidRDefault="00B2247F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В зависимости от типа используемого резиста (негативный или позитивный) методы литографии по характеру переноса изображения делятся на негативные и позитивные.</w:t>
      </w:r>
      <w:r w:rsidR="005350C7">
        <w:rPr>
          <w:sz w:val="28"/>
          <w:szCs w:val="32"/>
        </w:rPr>
        <w:t xml:space="preserve"> </w:t>
      </w:r>
    </w:p>
    <w:p w:rsidR="00D21BBA" w:rsidRPr="005350C7" w:rsidRDefault="00B2247F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Фотолитография – технологический процесс производства полупроводниковых приборов и интегральных схем, позволяющих создавать </w:t>
      </w:r>
      <w:r w:rsidR="00AD2998" w:rsidRPr="005350C7">
        <w:rPr>
          <w:sz w:val="28"/>
          <w:szCs w:val="32"/>
        </w:rPr>
        <w:t xml:space="preserve">приборы с высокими электрическими характеристиками, получать микроизображения любой сложной формы и легко изменять конфигурацию прибора, а также вытравливать меза- и другие структуры в объеме германия, кремния и др. </w:t>
      </w:r>
      <w:r w:rsidR="002C38B8" w:rsidRPr="005350C7">
        <w:rPr>
          <w:sz w:val="28"/>
          <w:szCs w:val="32"/>
        </w:rPr>
        <w:t xml:space="preserve">процесс фотолитографии заключается в том, что на поверхности пластины полупроводникового материала выращивают слой окисла (на рис. а), на который наносят тонкий слой особого светочувствительного состава – фоторезистора (рис. б), затем светочувствительный слой экспонируют через специальный трафарет (фотошаблон) с множеством изображений рабочих областей будущего прибора (рис. в и г). Под действием света фоторезист изменяет свои свойства, и в результате </w:t>
      </w:r>
      <w:r w:rsidR="00365D1D" w:rsidRPr="005350C7">
        <w:rPr>
          <w:sz w:val="28"/>
          <w:szCs w:val="32"/>
        </w:rPr>
        <w:t>проявления (рис. д) на поверхности пластины получают защитный рельефный слой, повторяющий рисунок фотошаблона. При дальнейшем травлении химическому воздействию подвергаются только незащищенные участки полупроводниковой пластины (рис. е); оставшийся фоторезист удаляют (рис. ж и з)</w:t>
      </w:r>
      <w:r w:rsidR="00D21BBA" w:rsidRPr="005350C7">
        <w:rPr>
          <w:sz w:val="28"/>
          <w:szCs w:val="32"/>
        </w:rPr>
        <w:t>.</w:t>
      </w:r>
    </w:p>
    <w:p w:rsidR="00D21BBA" w:rsidRPr="005350C7" w:rsidRDefault="00D21BBA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При фотолитографии применяют различные материалы: фотографические (для получения на поверхности полупроводниковых пластин светочувствительных слоев – фотоэмульсии); химические (растворители, проявители, закрепители) и электроизоляционные (оптическое стекло, краски, эмали, лаки).</w:t>
      </w:r>
    </w:p>
    <w:p w:rsidR="00D21BBA" w:rsidRPr="005350C7" w:rsidRDefault="00D21BBA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Основное значение фоторезистов – образование на поверхности полупроводниковой пластины тонкой защитной пленки нужной конфигурации, получающейся в результате светового воздействия. После проявления часть пленки (нужный рисунок) фоторезиста остается на поверхности полупроводниковой пластины и является маской для дальнейших технологических операций (травлений, вакуумного и гальванического осаждения металлов и др.). в основе создания рельефа на поверхности полупроводниковой пластины с помощью фоторезистов лежат фотохимические реакции фотоприсоединения и фоторазложения.</w:t>
      </w:r>
    </w:p>
    <w:p w:rsidR="00F038AD" w:rsidRPr="005350C7" w:rsidRDefault="00F038AD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Параметры и свойства фоторезистов. Светочувствительность – величина, обратная экспозиции, требуемой для перевода ФР в растворимое или нерастворимое (в зависимости от того, позитивный или негативный резист) состояние.</w:t>
      </w:r>
    </w:p>
    <w:p w:rsidR="00F038AD" w:rsidRPr="005350C7" w:rsidRDefault="00F038AD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Разрешающая способность – максимально возможное количество полос ФР, разделенных промежутками такой же ширины, на </w:t>
      </w:r>
      <w:smartTag w:uri="urn:schemas-microsoft-com:office:smarttags" w:element="metricconverter">
        <w:smartTagPr>
          <w:attr w:name="ProductID" w:val="1 мм"/>
        </w:smartTagPr>
        <w:r w:rsidRPr="005350C7">
          <w:rPr>
            <w:sz w:val="28"/>
            <w:szCs w:val="32"/>
          </w:rPr>
          <w:t>1 мм</w:t>
        </w:r>
      </w:smartTag>
      <w:r w:rsidRPr="005350C7">
        <w:rPr>
          <w:sz w:val="28"/>
          <w:szCs w:val="32"/>
        </w:rPr>
        <w:t>.</w:t>
      </w:r>
    </w:p>
    <w:p w:rsidR="00F038AD" w:rsidRPr="005350C7" w:rsidRDefault="00F038AD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Кислотостойкость – это способность слоя фоторезиста защищать поверхность подложки от воздействия кислотного травителя. Критерием кислотостойкости является время, в течение которого фоторезист выдерживает действие травителя до момента появления таких дефектов, как частичное разрушение, отслаивание от подложки, локальное точечное расстравливание слоя или подтравливание его на границе с подложкой.</w:t>
      </w:r>
    </w:p>
    <w:p w:rsidR="00DF145F" w:rsidRPr="005350C7" w:rsidRDefault="00F038AD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Адгезия </w:t>
      </w:r>
      <w:r w:rsidR="00DF145F" w:rsidRPr="005350C7">
        <w:rPr>
          <w:sz w:val="28"/>
          <w:szCs w:val="32"/>
        </w:rPr>
        <w:t>–</w:t>
      </w:r>
      <w:r w:rsidRPr="005350C7">
        <w:rPr>
          <w:sz w:val="28"/>
          <w:szCs w:val="32"/>
        </w:rPr>
        <w:t xml:space="preserve"> </w:t>
      </w:r>
      <w:r w:rsidR="00DF145F" w:rsidRPr="005350C7">
        <w:rPr>
          <w:sz w:val="28"/>
          <w:szCs w:val="32"/>
        </w:rPr>
        <w:t>это способность слоя фоторезиста препятствовать проникновению травителя к подложке по периметру создаваемого рельефа элементов. Критерием адгезии является время отрыва слоя фоторезиста заданных размеров от подложки в ламинарном потоке проявителя. В большинстве случаев адгезию считают удовлетворительной, если слой фоторезиста 20 * 20 мкм</w:t>
      </w:r>
      <w:r w:rsidR="00DF145F" w:rsidRPr="005350C7">
        <w:rPr>
          <w:sz w:val="28"/>
          <w:szCs w:val="32"/>
          <w:vertAlign w:val="superscript"/>
        </w:rPr>
        <w:t>2</w:t>
      </w:r>
      <w:r w:rsidR="00DF145F" w:rsidRPr="005350C7">
        <w:rPr>
          <w:sz w:val="28"/>
          <w:szCs w:val="32"/>
        </w:rPr>
        <w:t xml:space="preserve"> отрывается за 20 мин.</w:t>
      </w:r>
    </w:p>
    <w:p w:rsidR="006F4D34" w:rsidRPr="005350C7" w:rsidRDefault="00DF145F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По способу образования рисунка на поверхности полупроводниковой пластины фоторезисты делятся на негативные и позитивные. Негативные фоторезисты под действием света образуют </w:t>
      </w:r>
      <w:r w:rsidR="006F4D34" w:rsidRPr="005350C7">
        <w:rPr>
          <w:sz w:val="28"/>
          <w:szCs w:val="32"/>
        </w:rPr>
        <w:t>нерастворимые участки, после проявления остаются на ее поверхности, а рисунок на поверхности пластины представляет негативное изображение оригинала. Позитивные фоторезисты, наоборот, под действием света образуют растворимые участки, а рисунок на поверхности пластины точно повторяет оригинал.</w:t>
      </w:r>
    </w:p>
    <w:p w:rsidR="006C0C03" w:rsidRPr="005350C7" w:rsidRDefault="006F4D34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Для полного удовлетворения нужд планарной и </w:t>
      </w:r>
      <w:r w:rsidR="00C249D1" w:rsidRPr="005350C7">
        <w:rPr>
          <w:sz w:val="28"/>
          <w:szCs w:val="32"/>
        </w:rPr>
        <w:t xml:space="preserve">эпитаксиальной </w:t>
      </w:r>
      <w:r w:rsidR="006C0C03" w:rsidRPr="005350C7">
        <w:rPr>
          <w:sz w:val="28"/>
          <w:szCs w:val="32"/>
        </w:rPr>
        <w:t>технологии в полупроводниковом производстве используют как негативные, так и позитивные фоторезисты. Только сочетание этих фоторезистов позволяет изготавливать полупроводниковые приборы и интегральные схемы с высокими электрофизическими параметрами.</w:t>
      </w:r>
    </w:p>
    <w:p w:rsidR="006C0C03" w:rsidRPr="005350C7" w:rsidRDefault="006C0C0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В качестве негативного фоторезиста в полупроводниковой технологии используют состав на основе сложного эфира поливинилового спирта и коричной кислоты – поливинилциннамат (ПВЦ). Синтез ПВЦ обычно осуществляют, перемешивая суспензию поливинилового спирта и хлорангидрида коричной кислоты в пиридине. Готовый полимер тщательно отмывают от следов пиридина.</w:t>
      </w:r>
    </w:p>
    <w:p w:rsidR="00BD1C54" w:rsidRPr="005350C7" w:rsidRDefault="006C0C03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Другой способ получения ПВЦ исключает использование пиридина. Одномолярный раствор поливинилового спирта и четырехмолярный раствор едкого натра смешивают с метилэтилкетоном, а затем полученный раствор смешивают со вторым раствором, состоящим из метиэтилкетона, толуола и хлорангидрида коричной кислоты, взятых в соотношении 1.6 : 0.24 : 1. смесь охлаждают </w:t>
      </w:r>
      <w:r w:rsidR="00BD1C54" w:rsidRPr="005350C7">
        <w:rPr>
          <w:sz w:val="28"/>
          <w:szCs w:val="32"/>
        </w:rPr>
        <w:t>до температуры – 5</w:t>
      </w:r>
      <w:r w:rsidR="00BD1C54" w:rsidRPr="005350C7">
        <w:rPr>
          <w:sz w:val="28"/>
          <w:szCs w:val="32"/>
          <w:vertAlign w:val="superscript"/>
        </w:rPr>
        <w:t>0</w:t>
      </w:r>
      <w:r w:rsidR="00BD1C54" w:rsidRPr="005350C7">
        <w:rPr>
          <w:sz w:val="28"/>
          <w:szCs w:val="32"/>
        </w:rPr>
        <w:t>С, перемешивают в темноте в течение 1.5 ч, а затем отстаивают. В результате отстоя смесь расслаивается на два слоя, из которых нижний удаляют, а в верхний вводят сенсибилизирующие добавки.</w:t>
      </w:r>
    </w:p>
    <w:p w:rsidR="00BD1C54" w:rsidRPr="005350C7" w:rsidRDefault="00BD1C54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В качестве позитивных фоторезистов в полупроводниковой технике используют составы на основе хинондиазидов и диазосоединений (НХДА), действие которых заключается в легко протекающей замене диазогруппы на другие функциональные группы, в результате чего изменяются физико-химические свойства пленки фоторезиста.</w:t>
      </w:r>
    </w:p>
    <w:p w:rsidR="00CE0F36" w:rsidRPr="005350C7" w:rsidRDefault="00BD1C54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Широкое применение в полупроводниковой фотолитографии нашел состав фоторезиста на основе 1,2-</w:t>
      </w:r>
      <w:r w:rsidR="00CE0F36" w:rsidRPr="005350C7">
        <w:rPr>
          <w:sz w:val="28"/>
          <w:szCs w:val="32"/>
        </w:rPr>
        <w:t>нафтохинондиазида (2)-5-сульфоэфира новолака.</w:t>
      </w:r>
    </w:p>
    <w:p w:rsidR="00CE0F36" w:rsidRPr="005350C7" w:rsidRDefault="00CE0F3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Экспонирование и проявление в процессе ФЛ неразрывно связаны между собой. </w:t>
      </w:r>
    </w:p>
    <w:p w:rsidR="00CB5E68" w:rsidRPr="005350C7" w:rsidRDefault="00CE0F3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Для экспонирования в ФЛ используют проекционный метод переноса изображения путем одновременной передачи изображения ФШ на всю технологическую площадь</w:t>
      </w:r>
      <w:r w:rsidR="00CB5E68" w:rsidRPr="005350C7">
        <w:rPr>
          <w:sz w:val="28"/>
          <w:szCs w:val="32"/>
        </w:rPr>
        <w:t>.</w:t>
      </w:r>
    </w:p>
    <w:p w:rsidR="005350C7" w:rsidRDefault="005350C7" w:rsidP="005350C7">
      <w:pPr>
        <w:spacing w:line="360" w:lineRule="auto"/>
        <w:ind w:firstLine="709"/>
        <w:jc w:val="both"/>
        <w:rPr>
          <w:sz w:val="28"/>
          <w:szCs w:val="32"/>
        </w:rPr>
      </w:pPr>
    </w:p>
    <w:p w:rsidR="00F038AD" w:rsidRPr="005350C7" w:rsidRDefault="00CB5E68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Характеристики установок для совмещения в экспонировании.</w:t>
      </w: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620"/>
        <w:gridCol w:w="1798"/>
        <w:gridCol w:w="900"/>
        <w:gridCol w:w="900"/>
        <w:gridCol w:w="2884"/>
      </w:tblGrid>
      <w:tr w:rsidR="005164FC" w:rsidRPr="00F068EB" w:rsidTr="00F068EB">
        <w:trPr>
          <w:cantSplit/>
          <w:trHeight w:val="2724"/>
        </w:trPr>
        <w:tc>
          <w:tcPr>
            <w:tcW w:w="1368" w:type="dxa"/>
            <w:shd w:val="clear" w:color="auto" w:fill="auto"/>
            <w:textDirection w:val="btLr"/>
          </w:tcPr>
          <w:p w:rsidR="005164FC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Модель</w:t>
            </w:r>
          </w:p>
        </w:tc>
        <w:tc>
          <w:tcPr>
            <w:tcW w:w="1620" w:type="dxa"/>
            <w:shd w:val="clear" w:color="auto" w:fill="auto"/>
            <w:textDirection w:val="btL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Размер обрабатываемых пластин, мм</w:t>
            </w:r>
            <w:r w:rsidR="005350C7" w:rsidRPr="00F068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8" w:type="dxa"/>
            <w:shd w:val="clear" w:color="auto" w:fill="auto"/>
            <w:textDirection w:val="btL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 xml:space="preserve">Размер фотошаблона, мм 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Точность совмещения, мкм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Производительность, шт./ч</w:t>
            </w:r>
          </w:p>
        </w:tc>
        <w:tc>
          <w:tcPr>
            <w:tcW w:w="2884" w:type="dxa"/>
            <w:shd w:val="clear" w:color="auto" w:fill="auto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 xml:space="preserve">Примечание </w:t>
            </w:r>
          </w:p>
        </w:tc>
      </w:tr>
      <w:tr w:rsidR="005164FC" w:rsidRPr="00F068EB" w:rsidTr="00F068EB">
        <w:tc>
          <w:tcPr>
            <w:tcW w:w="1368" w:type="dxa"/>
            <w:shd w:val="clear" w:color="auto" w:fill="auto"/>
            <w:vAlign w:val="cente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УСПЭ-2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60*48*0,6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120*90*1,5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50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5E68" w:rsidRPr="00F068EB" w:rsidRDefault="00CB5E68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Увеличение микроскопа -50Х, 80Х, 160Х.</w:t>
            </w:r>
            <w:r w:rsidR="005164FC" w:rsidRPr="00F068EB">
              <w:rPr>
                <w:sz w:val="20"/>
                <w:szCs w:val="20"/>
              </w:rPr>
              <w:t xml:space="preserve"> Время экспонирования 0,1 с …4 мин.</w:t>
            </w:r>
          </w:p>
        </w:tc>
      </w:tr>
      <w:tr w:rsidR="005164FC" w:rsidRPr="00F068EB" w:rsidTr="00F068EB">
        <w:tc>
          <w:tcPr>
            <w:tcW w:w="1368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ЭМ-517А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60*48*0,5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70*70 (3…10)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±5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100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Время экспонирования 0,1…59,9 с</w:t>
            </w:r>
          </w:p>
        </w:tc>
      </w:tr>
      <w:tr w:rsidR="005164FC" w:rsidRPr="00F068EB" w:rsidTr="00F068EB">
        <w:tc>
          <w:tcPr>
            <w:tcW w:w="1368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УПСЭ-1 ДЕМ.</w:t>
            </w:r>
            <w:r w:rsidR="005350C7" w:rsidRPr="00F068EB">
              <w:rPr>
                <w:sz w:val="20"/>
                <w:szCs w:val="20"/>
              </w:rPr>
              <w:t xml:space="preserve"> </w:t>
            </w:r>
            <w:r w:rsidRPr="00F068EB">
              <w:rPr>
                <w:sz w:val="20"/>
                <w:szCs w:val="20"/>
              </w:rPr>
              <w:t>207.002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60*48* (0,5…0,6)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100*90*10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40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Общее увеличение микроскопа МБС-2…87,5Х. Время экспонирования в автоматическом режиме (8…240) с, в ручном – 240 с.</w:t>
            </w:r>
          </w:p>
        </w:tc>
      </w:tr>
      <w:tr w:rsidR="005164FC" w:rsidRPr="00F068EB" w:rsidTr="00F068EB">
        <w:tc>
          <w:tcPr>
            <w:tcW w:w="1368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ЭМ-512А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40 – 60 (толщина 0,1…0,5)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90*90 (3…7) 70*70 (3…10)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60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5E68" w:rsidRPr="00F068EB" w:rsidRDefault="005164FC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 xml:space="preserve">Время экспонирования 0,5…99,9 с. Минимальный размер элемента и зазора </w:t>
            </w:r>
            <w:r w:rsidR="00F52256" w:rsidRPr="00F068EB">
              <w:rPr>
                <w:sz w:val="20"/>
                <w:szCs w:val="20"/>
              </w:rPr>
              <w:t>между элементами 5 мкм. Входит в линию ДЕМ.142000</w:t>
            </w:r>
          </w:p>
        </w:tc>
      </w:tr>
      <w:tr w:rsidR="005164FC" w:rsidRPr="00F068EB" w:rsidTr="00F068EB">
        <w:tc>
          <w:tcPr>
            <w:tcW w:w="1368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ЭМ-524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30-40 (толщина 0,15…0,5)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100*100*10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1,5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30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Минимальный размер элемента и зазора между элементами 5 мкм. Время экспонирования 1…200 с. Метод совмещения – проекционный.</w:t>
            </w:r>
          </w:p>
        </w:tc>
      </w:tr>
      <w:tr w:rsidR="005164FC" w:rsidRPr="00F068EB" w:rsidTr="00F068EB">
        <w:tc>
          <w:tcPr>
            <w:tcW w:w="1368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ЭМ-526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40…60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70*70*(3…10)100*100* (3…10)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0,6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60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52256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Минимальный размер элемента и зазора между элементами 2…3 мкм. Время экспонирования 0,5…59,9 с.</w:t>
            </w:r>
          </w:p>
        </w:tc>
      </w:tr>
      <w:tr w:rsidR="005164FC" w:rsidRPr="00F068EB" w:rsidTr="00F068EB">
        <w:tc>
          <w:tcPr>
            <w:tcW w:w="1368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ЭМ-544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40…60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70*70*(3…10)100*100* (3…10)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100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CB5E68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Минимальный размер элемента 5 мкм. Установка с фотоэлектрическим контролем.</w:t>
            </w:r>
          </w:p>
        </w:tc>
      </w:tr>
      <w:tr w:rsidR="00F52256" w:rsidRPr="00F068EB" w:rsidTr="00F068EB">
        <w:tc>
          <w:tcPr>
            <w:tcW w:w="1368" w:type="dxa"/>
            <w:shd w:val="clear" w:color="auto" w:fill="auto"/>
            <w:vAlign w:val="center"/>
          </w:tcPr>
          <w:p w:rsidR="00F52256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УСП-03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F52256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F52256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До 50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256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52256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0,5</w:t>
            </w:r>
          </w:p>
        </w:tc>
        <w:tc>
          <w:tcPr>
            <w:tcW w:w="2884" w:type="dxa"/>
            <w:shd w:val="clear" w:color="auto" w:fill="auto"/>
            <w:vAlign w:val="center"/>
          </w:tcPr>
          <w:p w:rsidR="00F52256" w:rsidRPr="00F068EB" w:rsidRDefault="00F52256" w:rsidP="00F068E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068EB">
              <w:rPr>
                <w:sz w:val="20"/>
                <w:szCs w:val="20"/>
              </w:rPr>
              <w:t>Общее увеличение 20…400Х.</w:t>
            </w:r>
          </w:p>
        </w:tc>
      </w:tr>
    </w:tbl>
    <w:p w:rsidR="00CB5E68" w:rsidRPr="005350C7" w:rsidRDefault="00CB5E68" w:rsidP="005350C7">
      <w:pPr>
        <w:spacing w:line="360" w:lineRule="auto"/>
        <w:ind w:firstLine="709"/>
        <w:jc w:val="both"/>
        <w:rPr>
          <w:sz w:val="28"/>
          <w:szCs w:val="32"/>
        </w:rPr>
      </w:pPr>
    </w:p>
    <w:p w:rsidR="00F52256" w:rsidRPr="005350C7" w:rsidRDefault="00F52256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При </w:t>
      </w:r>
      <w:r w:rsidR="009E13CB" w:rsidRPr="005350C7">
        <w:rPr>
          <w:sz w:val="28"/>
          <w:szCs w:val="32"/>
        </w:rPr>
        <w:t xml:space="preserve">проявлении контролируют температуру и величину рН проявителя. При изменении величины рН всего лишь на десятую долю, возможно, изменение размера элемента примерно на 10%. </w:t>
      </w:r>
    </w:p>
    <w:p w:rsidR="009E13CB" w:rsidRPr="005350C7" w:rsidRDefault="00B56762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 xml:space="preserve">Сушка проявленного слоя проводится при температуре 393…453 К. температура и характер ее изменения во время сушки также определяют точность передачи размеров изображений. </w:t>
      </w:r>
    </w:p>
    <w:p w:rsidR="00115968" w:rsidRPr="005350C7" w:rsidRDefault="00B56762" w:rsidP="005350C7">
      <w:pPr>
        <w:spacing w:line="360" w:lineRule="auto"/>
        <w:ind w:firstLine="709"/>
        <w:jc w:val="both"/>
        <w:rPr>
          <w:sz w:val="28"/>
          <w:szCs w:val="32"/>
        </w:rPr>
      </w:pPr>
      <w:r w:rsidRPr="005350C7">
        <w:rPr>
          <w:sz w:val="28"/>
          <w:szCs w:val="32"/>
        </w:rPr>
        <w:t>Для удаления ФР используют деструкцию полимера (например, сульфированием в серной кислоте); обработку в органических растворителях, плазмохимическую, термическую или фототермическую обработку, сводящуюся в основном к окислительной деструкции в кислороде или кислородосодержащих газах.</w:t>
      </w:r>
      <w:r w:rsidR="00D4741E" w:rsidRPr="005350C7">
        <w:rPr>
          <w:sz w:val="28"/>
          <w:szCs w:val="32"/>
        </w:rPr>
        <w:t xml:space="preserve"> </w:t>
      </w:r>
      <w:bookmarkStart w:id="0" w:name="_GoBack"/>
      <w:bookmarkEnd w:id="0"/>
    </w:p>
    <w:sectPr w:rsidR="00115968" w:rsidRPr="005350C7" w:rsidSect="005350C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95FEE"/>
    <w:multiLevelType w:val="hybridMultilevel"/>
    <w:tmpl w:val="3D1CB02E"/>
    <w:lvl w:ilvl="0" w:tplc="804081C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7413477D"/>
    <w:multiLevelType w:val="hybridMultilevel"/>
    <w:tmpl w:val="641CE296"/>
    <w:lvl w:ilvl="0" w:tplc="3EE8ADA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3EC2"/>
    <w:rsid w:val="000C0083"/>
    <w:rsid w:val="00115968"/>
    <w:rsid w:val="002565C0"/>
    <w:rsid w:val="002C38B8"/>
    <w:rsid w:val="00365D1D"/>
    <w:rsid w:val="003C4010"/>
    <w:rsid w:val="00453EC2"/>
    <w:rsid w:val="005164FC"/>
    <w:rsid w:val="005350C7"/>
    <w:rsid w:val="005B7397"/>
    <w:rsid w:val="00622A92"/>
    <w:rsid w:val="006C0C03"/>
    <w:rsid w:val="006D3073"/>
    <w:rsid w:val="006E5356"/>
    <w:rsid w:val="006F4D34"/>
    <w:rsid w:val="007635DC"/>
    <w:rsid w:val="0078581B"/>
    <w:rsid w:val="00794249"/>
    <w:rsid w:val="007B491F"/>
    <w:rsid w:val="008A07AE"/>
    <w:rsid w:val="008A2CEC"/>
    <w:rsid w:val="00951EFD"/>
    <w:rsid w:val="009A2AB3"/>
    <w:rsid w:val="009D39F1"/>
    <w:rsid w:val="009E13CB"/>
    <w:rsid w:val="00A40B33"/>
    <w:rsid w:val="00A43424"/>
    <w:rsid w:val="00AD2998"/>
    <w:rsid w:val="00B2247F"/>
    <w:rsid w:val="00B56762"/>
    <w:rsid w:val="00BD1C54"/>
    <w:rsid w:val="00C249D1"/>
    <w:rsid w:val="00C31E81"/>
    <w:rsid w:val="00C37BC0"/>
    <w:rsid w:val="00CB5E68"/>
    <w:rsid w:val="00CE0F36"/>
    <w:rsid w:val="00D21BBA"/>
    <w:rsid w:val="00D4741E"/>
    <w:rsid w:val="00D532E2"/>
    <w:rsid w:val="00D64762"/>
    <w:rsid w:val="00DA1331"/>
    <w:rsid w:val="00DE228E"/>
    <w:rsid w:val="00DF145F"/>
    <w:rsid w:val="00E666EC"/>
    <w:rsid w:val="00E72192"/>
    <w:rsid w:val="00EB1766"/>
    <w:rsid w:val="00F038AD"/>
    <w:rsid w:val="00F03FA1"/>
    <w:rsid w:val="00F068EB"/>
    <w:rsid w:val="00F52256"/>
    <w:rsid w:val="00FF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38CE2D-3373-466F-BEA8-4C60CF69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7B49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3038</Words>
  <Characters>17318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admin</cp:lastModifiedBy>
  <cp:revision>2</cp:revision>
  <cp:lastPrinted>2006-07-04T18:51:00Z</cp:lastPrinted>
  <dcterms:created xsi:type="dcterms:W3CDTF">2014-03-09T20:54:00Z</dcterms:created>
  <dcterms:modified xsi:type="dcterms:W3CDTF">2014-03-09T20:54:00Z</dcterms:modified>
</cp:coreProperties>
</file>