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473" w:rsidRPr="00FC648C" w:rsidRDefault="004D5473" w:rsidP="00BF2C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4D5473" w:rsidRPr="00FC648C" w:rsidRDefault="004D5473" w:rsidP="00BF2C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Федеральное агентство по образованию ГОУ ВПО</w:t>
      </w:r>
    </w:p>
    <w:p w:rsidR="004D5473" w:rsidRPr="00FC648C" w:rsidRDefault="004D5473" w:rsidP="00BF2C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Всероссийский заочный финансово-экономический институт</w:t>
      </w:r>
    </w:p>
    <w:p w:rsidR="004D5473" w:rsidRPr="00FC648C" w:rsidRDefault="004D5473" w:rsidP="00BF2C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Кафедра экономической теории</w:t>
      </w:r>
    </w:p>
    <w:p w:rsidR="004D5473" w:rsidRPr="00FC648C" w:rsidRDefault="004D5473" w:rsidP="00BF2C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473" w:rsidRPr="00FC648C" w:rsidRDefault="004D5473" w:rsidP="00BF2C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473" w:rsidRPr="00FC648C" w:rsidRDefault="004D5473" w:rsidP="00BF2C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473" w:rsidRPr="00FC648C" w:rsidRDefault="004D5473" w:rsidP="00BF2C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473" w:rsidRPr="00FC648C" w:rsidRDefault="004D5473" w:rsidP="00BF2C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CE1" w:rsidRPr="00FC648C" w:rsidRDefault="00BF2CE1" w:rsidP="00BF2C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CE1" w:rsidRPr="00FC648C" w:rsidRDefault="00BF2CE1" w:rsidP="00BF2C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CE1" w:rsidRPr="00FC648C" w:rsidRDefault="00BF2CE1" w:rsidP="00BF2C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473" w:rsidRPr="00FC648C" w:rsidRDefault="004D5473" w:rsidP="00BF2C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473" w:rsidRPr="00FC648C" w:rsidRDefault="004D5473" w:rsidP="00BF2C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4D5473" w:rsidRPr="00FC648C" w:rsidRDefault="004D5473" w:rsidP="00BF2C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по экономической теории на тему:</w:t>
      </w:r>
    </w:p>
    <w:p w:rsidR="004D5473" w:rsidRPr="00FC648C" w:rsidRDefault="004D5473" w:rsidP="00BF2C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Государственный долг и его последствия</w:t>
      </w:r>
    </w:p>
    <w:p w:rsidR="004D5473" w:rsidRPr="00FC648C" w:rsidRDefault="004D5473" w:rsidP="00BF2C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473" w:rsidRPr="00FC648C" w:rsidRDefault="004D5473" w:rsidP="00BF2C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473" w:rsidRPr="00FC648C" w:rsidRDefault="004D5473" w:rsidP="00BF2C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CE1" w:rsidRPr="00FC648C" w:rsidRDefault="00BF2CE1" w:rsidP="00BF2C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473" w:rsidRPr="00FC648C" w:rsidRDefault="004D5473" w:rsidP="00BF2C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473" w:rsidRPr="00FC648C" w:rsidRDefault="004D5473" w:rsidP="00BF2C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473" w:rsidRPr="00FC648C" w:rsidRDefault="004D5473" w:rsidP="00BF2C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CE1" w:rsidRPr="00FC648C" w:rsidRDefault="00BF2CE1" w:rsidP="00BF2C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473" w:rsidRPr="00FC648C" w:rsidRDefault="004D5473" w:rsidP="00BF2C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473" w:rsidRPr="00FC648C" w:rsidRDefault="004D5473" w:rsidP="00BF2C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D5473" w:rsidRPr="00FC648C" w:rsidRDefault="004D5473" w:rsidP="00BF2C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D5473" w:rsidRPr="00FC648C" w:rsidRDefault="004D5473" w:rsidP="00BF2C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473" w:rsidRPr="00FC648C" w:rsidRDefault="004D5473" w:rsidP="00BF2C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473" w:rsidRPr="00FC648C" w:rsidRDefault="004D5473" w:rsidP="00BF2C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Владимир - 2008</w:t>
      </w:r>
    </w:p>
    <w:p w:rsidR="00A11D8B" w:rsidRPr="00FC648C" w:rsidRDefault="00BF2CE1" w:rsidP="00BF2CE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48C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A11D8B" w:rsidRPr="00FC648C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Pr="00FC64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11D8B" w:rsidRPr="00FC648C" w:rsidRDefault="00A11D8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8B" w:rsidRPr="00FC648C" w:rsidRDefault="00A11D8B" w:rsidP="00BF2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Введение</w:t>
      </w:r>
    </w:p>
    <w:p w:rsidR="00A11D8B" w:rsidRPr="00FC648C" w:rsidRDefault="00A11D8B" w:rsidP="00392BC4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Причины возникновения государственного долга и его виды</w:t>
      </w:r>
    </w:p>
    <w:p w:rsidR="00A11D8B" w:rsidRPr="00FC648C" w:rsidRDefault="00A11D8B" w:rsidP="00392BC4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Последствия государственного долга и методы управления и</w:t>
      </w:r>
      <w:r w:rsidR="004D5473" w:rsidRPr="00FC648C">
        <w:rPr>
          <w:rFonts w:ascii="Times New Roman" w:hAnsi="Times New Roman" w:cs="Times New Roman"/>
          <w:sz w:val="28"/>
          <w:szCs w:val="28"/>
        </w:rPr>
        <w:t>м</w:t>
      </w:r>
    </w:p>
    <w:p w:rsidR="00A11D8B" w:rsidRPr="00FC648C" w:rsidRDefault="00A11D8B" w:rsidP="00392BC4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Влияние государственного долга на развитие экономики Росс</w:t>
      </w:r>
      <w:r w:rsidR="004D5473" w:rsidRPr="00FC648C">
        <w:rPr>
          <w:rFonts w:ascii="Times New Roman" w:hAnsi="Times New Roman" w:cs="Times New Roman"/>
          <w:sz w:val="28"/>
          <w:szCs w:val="28"/>
        </w:rPr>
        <w:t>ии</w:t>
      </w:r>
    </w:p>
    <w:p w:rsidR="00A11D8B" w:rsidRPr="00FC648C" w:rsidRDefault="00F016B9" w:rsidP="00BF2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 xml:space="preserve">4. </w:t>
      </w:r>
      <w:r w:rsidR="00A11D8B" w:rsidRPr="00FC648C">
        <w:rPr>
          <w:rFonts w:ascii="Times New Roman" w:hAnsi="Times New Roman" w:cs="Times New Roman"/>
          <w:sz w:val="28"/>
          <w:szCs w:val="28"/>
        </w:rPr>
        <w:t>Практику</w:t>
      </w:r>
      <w:r w:rsidR="004D5473" w:rsidRPr="00FC648C">
        <w:rPr>
          <w:rFonts w:ascii="Times New Roman" w:hAnsi="Times New Roman" w:cs="Times New Roman"/>
          <w:sz w:val="28"/>
          <w:szCs w:val="28"/>
        </w:rPr>
        <w:t>м</w:t>
      </w:r>
    </w:p>
    <w:p w:rsidR="00A11D8B" w:rsidRPr="00FC648C" w:rsidRDefault="00A11D8B" w:rsidP="00BF2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Заключ</w:t>
      </w:r>
      <w:r w:rsidR="004D5473" w:rsidRPr="00FC648C">
        <w:rPr>
          <w:rFonts w:ascii="Times New Roman" w:hAnsi="Times New Roman" w:cs="Times New Roman"/>
          <w:sz w:val="28"/>
          <w:szCs w:val="28"/>
        </w:rPr>
        <w:t>ение</w:t>
      </w:r>
    </w:p>
    <w:p w:rsidR="00F016B9" w:rsidRPr="00FC648C" w:rsidRDefault="00F016B9" w:rsidP="00F016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Литература</w:t>
      </w:r>
    </w:p>
    <w:p w:rsidR="004D5473" w:rsidRPr="00FC648C" w:rsidRDefault="004D5473" w:rsidP="00BF2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D5473" w:rsidRPr="00FC648C" w:rsidRDefault="004D5473" w:rsidP="00BF2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D5473" w:rsidRPr="00FC648C" w:rsidRDefault="004D5473" w:rsidP="00BF2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Приложение 3</w:t>
      </w:r>
    </w:p>
    <w:p w:rsidR="00FC623B" w:rsidRPr="00FC648C" w:rsidRDefault="00BF2CE1" w:rsidP="00BF2CE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br w:type="page"/>
      </w:r>
      <w:r w:rsidR="00FC623B" w:rsidRPr="00FC648C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FC623B" w:rsidRPr="00FC648C" w:rsidRDefault="00FC623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473" w:rsidRPr="00FC648C" w:rsidRDefault="004D5473" w:rsidP="00BF2CE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Вопрос о том, означает ли финансирование государственных расходов с помощью займов большее бремя для будущих поколений по сравнению с налогами, вызывает жаркие споры среди профессионалов. Одно из недоразумений связано с тем, что государственный долг зачастую рассматривают по аналогии с частным долгом. Это действительно справедливо для внешнего государственного долга, но совсем не для внутренней задолженности государства своим гражданам. Вот как выразился по этому поводу американский экономист А. Лернер (1948):</w:t>
      </w:r>
    </w:p>
    <w:p w:rsidR="004D5473" w:rsidRPr="00FC648C" w:rsidRDefault="004D5473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«Нация, которая должна другим нациям ... нищает или обременяет себя точно так же, как человек, задолжавший другим людям. Но это не распространяется на национальный долг, когда нация находится в долгу у граждан того же самого государства... В этом случае мы оказываемся должны сами себе».</w:t>
      </w:r>
    </w:p>
    <w:p w:rsidR="004D5473" w:rsidRPr="00FC648C" w:rsidRDefault="004D5473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Почему в таком случае столь устрашающе звучит выражение «бремя государственного долга» и в чем смысл перекладывания этого бремени на будущее? Ответ зависит от того, как наличие задолженности воздействует на поведение национальной экономики.</w:t>
      </w:r>
    </w:p>
    <w:p w:rsidR="004D5473" w:rsidRPr="00FC648C" w:rsidRDefault="004D5473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Для экономистов 40</w:t>
      </w:r>
      <w:r w:rsidR="00392BC4" w:rsidRPr="00FC648C">
        <w:rPr>
          <w:rFonts w:ascii="Times New Roman" w:hAnsi="Times New Roman" w:cs="Times New Roman"/>
          <w:sz w:val="28"/>
          <w:szCs w:val="28"/>
        </w:rPr>
        <w:t>-</w:t>
      </w:r>
      <w:r w:rsidRPr="00FC648C">
        <w:rPr>
          <w:rFonts w:ascii="Times New Roman" w:hAnsi="Times New Roman" w:cs="Times New Roman"/>
          <w:sz w:val="28"/>
          <w:szCs w:val="28"/>
        </w:rPr>
        <w:t>50-х гг., исповедовавших в большинстве своем кейнсианские воззрения, бремя задолженности означало сокращение совокупного потребления. Как выразился П. Самуэльсон, «чтобы вести войну сегодня, мы должны кинуть на врага наше сегодняшнее вооружение, а не долларовые бумажки и не будущие товары и услуги». Отдавая предпочтение не налогам, а займам, мы обязываем будущих налогоплательщиков выплатить как сам долг, так и проценты по нему.Политика правительства в области госдолга является одним из инструментов желательного межвременного распределения, и выбор финансирования с помощью налогов или займов, в ко</w:t>
      </w:r>
      <w:r w:rsidR="00F016B9" w:rsidRPr="00FC648C">
        <w:rPr>
          <w:rFonts w:ascii="Times New Roman" w:hAnsi="Times New Roman" w:cs="Times New Roman"/>
          <w:sz w:val="28"/>
          <w:szCs w:val="28"/>
        </w:rPr>
        <w:t>нечном счете.</w:t>
      </w:r>
    </w:p>
    <w:p w:rsidR="00CF005A" w:rsidRPr="00FC648C" w:rsidRDefault="00FC623B" w:rsidP="00BF2CE1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br w:type="page"/>
      </w:r>
      <w:r w:rsidR="00CF005A" w:rsidRPr="00FC648C">
        <w:rPr>
          <w:rFonts w:ascii="Times New Roman" w:hAnsi="Times New Roman" w:cs="Times New Roman"/>
          <w:b/>
          <w:bCs/>
          <w:sz w:val="28"/>
          <w:szCs w:val="28"/>
        </w:rPr>
        <w:t>Причины возникновения государственного долга и его виды</w:t>
      </w:r>
    </w:p>
    <w:p w:rsidR="00FC623B" w:rsidRPr="00FC648C" w:rsidRDefault="00FC623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9E2" w:rsidRPr="00FC648C" w:rsidRDefault="005339E2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Государственный долг – неизбежное порождение дефицита</w:t>
      </w:r>
      <w:r w:rsidR="00BF2CE1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 xml:space="preserve">бюджета, причины которого связаны со спадом производства, с ростом предельных издержек, необъяснимой эмиссией денег, возрастанием затрат по финансированию военно-промышленного комплекса, ростом объемов теневой экономики, непроизводственных расходов, потерь, хищений и т.д. </w:t>
      </w:r>
    </w:p>
    <w:p w:rsidR="00CF005A" w:rsidRPr="00FC648C" w:rsidRDefault="00CF005A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Бюджетный дефицит и государственный долг взаимосвязаны. При оценке размера бюджетного дефицита возникает целый ряд проблем:</w:t>
      </w:r>
    </w:p>
    <w:p w:rsidR="00CF005A" w:rsidRPr="00FC648C" w:rsidRDefault="00CF005A" w:rsidP="00BF2CE1">
      <w:pPr>
        <w:tabs>
          <w:tab w:val="left" w:pos="58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1.</w:t>
      </w:r>
      <w:r w:rsidR="00FC623B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Первая проблема возникает при оценке реального дефицита госбюджета.</w:t>
      </w:r>
    </w:p>
    <w:p w:rsidR="00CF005A" w:rsidRPr="00FC648C" w:rsidRDefault="00CF005A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 xml:space="preserve">Реальный дефицит бюджета </w:t>
      </w:r>
      <w:r w:rsidR="00392BC4" w:rsidRPr="00FC648C">
        <w:rPr>
          <w:rFonts w:ascii="Times New Roman" w:hAnsi="Times New Roman" w:cs="Times New Roman"/>
          <w:sz w:val="28"/>
          <w:szCs w:val="28"/>
        </w:rPr>
        <w:t>-</w:t>
      </w:r>
      <w:r w:rsidRPr="00FC648C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CF005A" w:rsidRPr="00FC648C" w:rsidRDefault="00CF005A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Номинальный дефицит бюджета - Величина госдолга на начало года х Темп инфляции.</w:t>
      </w:r>
    </w:p>
    <w:p w:rsidR="00CF005A" w:rsidRPr="00FC648C" w:rsidRDefault="00CF005A" w:rsidP="00BF2CE1">
      <w:pPr>
        <w:numPr>
          <w:ilvl w:val="0"/>
          <w:numId w:val="2"/>
        </w:numPr>
        <w:tabs>
          <w:tab w:val="left" w:pos="58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 xml:space="preserve">При расчете бюджета необходимо проводить процедуру </w:t>
      </w:r>
      <w:r w:rsidRPr="00FC648C">
        <w:rPr>
          <w:rFonts w:ascii="Times New Roman" w:hAnsi="Times New Roman" w:cs="Times New Roman"/>
          <w:b/>
          <w:bCs/>
          <w:sz w:val="28"/>
          <w:szCs w:val="28"/>
        </w:rPr>
        <w:t xml:space="preserve">бюджетирования капитала, </w:t>
      </w:r>
      <w:r w:rsidRPr="00FC648C">
        <w:rPr>
          <w:rFonts w:ascii="Times New Roman" w:hAnsi="Times New Roman" w:cs="Times New Roman"/>
          <w:sz w:val="28"/>
          <w:szCs w:val="28"/>
        </w:rPr>
        <w:t>т. е. учитывать какактивы, так и обязательства.</w:t>
      </w:r>
    </w:p>
    <w:p w:rsidR="00CF005A" w:rsidRPr="00FC648C" w:rsidRDefault="00CF005A" w:rsidP="00BF2CE1">
      <w:pPr>
        <w:numPr>
          <w:ilvl w:val="0"/>
          <w:numId w:val="2"/>
        </w:numPr>
        <w:tabs>
          <w:tab w:val="left" w:pos="58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 xml:space="preserve">Бюджет должен включать </w:t>
      </w:r>
      <w:r w:rsidRPr="00FC648C">
        <w:rPr>
          <w:rFonts w:ascii="Times New Roman" w:hAnsi="Times New Roman" w:cs="Times New Roman"/>
          <w:b/>
          <w:bCs/>
          <w:sz w:val="28"/>
          <w:szCs w:val="28"/>
        </w:rPr>
        <w:t xml:space="preserve">неучтенные обязательства: </w:t>
      </w:r>
      <w:r w:rsidRPr="00FC648C">
        <w:rPr>
          <w:rFonts w:ascii="Times New Roman" w:hAnsi="Times New Roman" w:cs="Times New Roman"/>
          <w:sz w:val="28"/>
          <w:szCs w:val="28"/>
        </w:rPr>
        <w:t>т. е. будущие пенсии и пособия на социальное страхование, отчисления, которые делаются в текущем году.</w:t>
      </w:r>
    </w:p>
    <w:p w:rsidR="005339E2" w:rsidRPr="00FC648C" w:rsidRDefault="005339E2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При образовании дефицита государственного бюджета возникают проблемы его покрытия с наименьшими потерями для экономики. Существует несколько путей:</w:t>
      </w:r>
    </w:p>
    <w:p w:rsidR="005339E2" w:rsidRPr="00FC648C" w:rsidRDefault="005339E2" w:rsidP="00BF2CE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i/>
          <w:iCs/>
          <w:sz w:val="28"/>
          <w:szCs w:val="28"/>
        </w:rPr>
        <w:t>Сокращение расходов госбюджета.</w:t>
      </w:r>
      <w:r w:rsidR="00BF2CE1" w:rsidRPr="00FC64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Данный путь не всегда выполним, т.к. уменьшение дотаций может усилить спад в экономике, а сокращение социальных про</w:t>
      </w:r>
      <w:r w:rsidR="00AF718D" w:rsidRPr="00FC648C">
        <w:rPr>
          <w:rFonts w:ascii="Times New Roman" w:hAnsi="Times New Roman" w:cs="Times New Roman"/>
          <w:sz w:val="28"/>
          <w:szCs w:val="28"/>
        </w:rPr>
        <w:t>грамм провоцирует социальную напряженность и ведет к уменьшению совокупного спроса, что снижает стимулы производства.</w:t>
      </w:r>
    </w:p>
    <w:p w:rsidR="00AF718D" w:rsidRPr="00FC648C" w:rsidRDefault="00AF718D" w:rsidP="00BF2CE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i/>
          <w:iCs/>
          <w:sz w:val="28"/>
          <w:szCs w:val="28"/>
        </w:rPr>
        <w:t>Увеличение налогов.</w:t>
      </w:r>
      <w:r w:rsidRPr="00FC648C">
        <w:rPr>
          <w:rFonts w:ascii="Times New Roman" w:hAnsi="Times New Roman" w:cs="Times New Roman"/>
          <w:sz w:val="28"/>
          <w:szCs w:val="28"/>
        </w:rPr>
        <w:t xml:space="preserve"> Данный путь ведет к уменьшению инвестиций и потребления, снижет возможность роста ВВП.</w:t>
      </w:r>
    </w:p>
    <w:p w:rsidR="00AF718D" w:rsidRPr="00FC648C" w:rsidRDefault="00AF718D" w:rsidP="00BF2CE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i/>
          <w:iCs/>
          <w:sz w:val="28"/>
          <w:szCs w:val="28"/>
        </w:rPr>
        <w:t xml:space="preserve">Превращение дефицита бюджета в государственный долг. </w:t>
      </w:r>
      <w:r w:rsidRPr="00FC648C">
        <w:rPr>
          <w:rFonts w:ascii="Times New Roman" w:hAnsi="Times New Roman" w:cs="Times New Roman"/>
          <w:sz w:val="28"/>
          <w:szCs w:val="28"/>
        </w:rPr>
        <w:t>Это происходит из-за обращения государства за кредитом к национальным банкам; превращения кредита во внешний долг при получении его от иностранных государств; выпуска облигаций.</w:t>
      </w:r>
    </w:p>
    <w:p w:rsidR="00AF718D" w:rsidRPr="00FC648C" w:rsidRDefault="00AF718D" w:rsidP="00BF2CE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i/>
          <w:iCs/>
          <w:sz w:val="28"/>
          <w:szCs w:val="28"/>
        </w:rPr>
        <w:t>Выплата государственного долга за счет увеличения предложения денег на основе их эмиссии.</w:t>
      </w:r>
      <w:r w:rsidRPr="00FC648C">
        <w:rPr>
          <w:rFonts w:ascii="Times New Roman" w:hAnsi="Times New Roman" w:cs="Times New Roman"/>
          <w:sz w:val="28"/>
          <w:szCs w:val="28"/>
        </w:rPr>
        <w:t xml:space="preserve"> Данный путь погашения бюджетного дефицита – самый опасный, он ведет к лавинообразному течению инфляции. К этому способу государства прибегают в случае невозможности или неумения использовать иные источники. Это способ отказа от части долга, т.к. его выплата происходит обесцененными деньгами.</w:t>
      </w:r>
    </w:p>
    <w:p w:rsidR="00CF005A" w:rsidRPr="00FC648C" w:rsidRDefault="00CF005A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 xml:space="preserve">Обслуживание государственного долга приводит к вытеснению частного капитала, так как рыночная ставка процента растет; рост налогов для оплаты долга снижает экономическую активность </w:t>
      </w:r>
      <w:r w:rsidR="00392BC4" w:rsidRPr="00FC648C">
        <w:rPr>
          <w:rFonts w:ascii="Times New Roman" w:hAnsi="Times New Roman" w:cs="Times New Roman"/>
          <w:sz w:val="28"/>
          <w:szCs w:val="28"/>
        </w:rPr>
        <w:t>-</w:t>
      </w:r>
      <w:r w:rsidRPr="00FC648C">
        <w:rPr>
          <w:rFonts w:ascii="Times New Roman" w:hAnsi="Times New Roman" w:cs="Times New Roman"/>
          <w:sz w:val="28"/>
          <w:szCs w:val="28"/>
        </w:rPr>
        <w:t xml:space="preserve"> происходит перераспределение дохода в пользу держателей государственных облигаций.</w:t>
      </w:r>
    </w:p>
    <w:p w:rsidR="00CF005A" w:rsidRPr="00FC648C" w:rsidRDefault="00CF005A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Соотношение долг/ВВП характеризует бремя долга, его величина зависит от размера реальной ставки процента, темпов роста реального ВВП и величины первичного дефицита.</w:t>
      </w:r>
    </w:p>
    <w:p w:rsidR="005339E2" w:rsidRPr="00FC648C" w:rsidRDefault="005339E2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Взаимосвязь бюджетного дефицита и государственного долга проявляется и в выпуске займов для его покрытия и последующим нарастанием долговых последствий. Увеличивается государственный долг и необходимость выплаты его с процентами. Со временем текущие займы превращаются в последующие налоги.</w:t>
      </w:r>
    </w:p>
    <w:p w:rsidR="005339E2" w:rsidRPr="00FC648C" w:rsidRDefault="005339E2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Поэтому государства, имеющие большие долги, вынуждены постоянно к ним прибегать для погашения процентов по долгу. Покрывая старые долги, государство прибегает к еще большим займам. Критическим моментом, угрожающим стабильности экономики и нормальному денежному обращению, считается ситуация, когда задолженность превышает величину годового ВНП.</w:t>
      </w:r>
    </w:p>
    <w:p w:rsidR="00CF005A" w:rsidRPr="00FC648C" w:rsidRDefault="005339E2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 xml:space="preserve">Государственный долг подразделяется на </w:t>
      </w:r>
      <w:r w:rsidRPr="00FC648C">
        <w:rPr>
          <w:rFonts w:ascii="Times New Roman" w:hAnsi="Times New Roman" w:cs="Times New Roman"/>
          <w:b/>
          <w:bCs/>
          <w:sz w:val="28"/>
          <w:szCs w:val="28"/>
        </w:rPr>
        <w:t>внутренний и внешний</w:t>
      </w:r>
      <w:r w:rsidRPr="00FC648C">
        <w:rPr>
          <w:rFonts w:ascii="Times New Roman" w:hAnsi="Times New Roman" w:cs="Times New Roman"/>
          <w:sz w:val="28"/>
          <w:szCs w:val="28"/>
        </w:rPr>
        <w:t>.</w:t>
      </w:r>
      <w:r w:rsidR="00BF2CE1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Внутренний долг</w:t>
      </w:r>
      <w:r w:rsidRPr="00FC64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представляет собой величину задолженности своим гражданам и предприятиям. Он существует в виде суммы выпущенных и непогашенных долговых обязательств.</w:t>
      </w:r>
    </w:p>
    <w:p w:rsidR="00CF005A" w:rsidRPr="00FC648C" w:rsidRDefault="005339E2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Внешний долг</w:t>
      </w:r>
      <w:r w:rsidRPr="00FC64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92BC4" w:rsidRPr="00FC648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FC64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 xml:space="preserve">задолженность гражданам и организациям иностранных государств. Это наиболее тяжелый долг, поскольку по нему государство связано рядом целевых обязательств, с одной стороны, а с другой </w:t>
      </w:r>
      <w:r w:rsidR="00392BC4" w:rsidRPr="00FC648C">
        <w:rPr>
          <w:rFonts w:ascii="Times New Roman" w:hAnsi="Times New Roman" w:cs="Times New Roman"/>
          <w:sz w:val="28"/>
          <w:szCs w:val="28"/>
        </w:rPr>
        <w:t>-</w:t>
      </w:r>
      <w:r w:rsidRPr="00FC648C">
        <w:rPr>
          <w:rFonts w:ascii="Times New Roman" w:hAnsi="Times New Roman" w:cs="Times New Roman"/>
          <w:sz w:val="28"/>
          <w:szCs w:val="28"/>
        </w:rPr>
        <w:t xml:space="preserve"> в его уплату приходится рассчитываться ценными товарами и платить большие проценты. В некоторых развивающихся странах ежегодные обязательства выплат по займам превышают все поступления от внешнеэкономической деятельности.</w:t>
      </w:r>
      <w:r w:rsidR="00CF005A" w:rsidRPr="00FC6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05A" w:rsidRPr="00FC648C" w:rsidRDefault="00CF005A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Внешний долг более опасен для экономики, так как нужно расплачиваться ресурсами страны.</w:t>
      </w:r>
    </w:p>
    <w:p w:rsidR="000B42C8" w:rsidRPr="00FC648C" w:rsidRDefault="000B42C8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F34" w:rsidRPr="00FC648C" w:rsidRDefault="00364F34" w:rsidP="00BF2CE1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b/>
          <w:bCs/>
          <w:sz w:val="28"/>
          <w:szCs w:val="28"/>
        </w:rPr>
        <w:t>Последствия государственного долга и методы управления им</w:t>
      </w:r>
    </w:p>
    <w:p w:rsidR="00FC623B" w:rsidRPr="00FC648C" w:rsidRDefault="00FC623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1A4" w:rsidRPr="00FC648C" w:rsidRDefault="00ED41A4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Последствия государственного долга</w:t>
      </w:r>
      <w:r w:rsidR="00446468" w:rsidRPr="00FC648C">
        <w:rPr>
          <w:rFonts w:ascii="Times New Roman" w:hAnsi="Times New Roman" w:cs="Times New Roman"/>
          <w:sz w:val="28"/>
          <w:szCs w:val="28"/>
        </w:rPr>
        <w:t>.</w:t>
      </w:r>
    </w:p>
    <w:p w:rsidR="00ED41A4" w:rsidRPr="00FC648C" w:rsidRDefault="00ED41A4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Последствия государственного долга</w:t>
      </w:r>
      <w:r w:rsidRPr="00FC64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приводят к существенному сокращению возможностей роста потребления для населения данной страны, а также увеличению налогов для оплаты растущего долга и связанных с ним процентов.</w:t>
      </w:r>
    </w:p>
    <w:p w:rsidR="00ED41A4" w:rsidRPr="00FC648C" w:rsidRDefault="00ED41A4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При наличии значительного долга происходит перераспределение доходов различных слоев населения, а также утечка национального капитала за рубеж.</w:t>
      </w:r>
    </w:p>
    <w:p w:rsidR="00ED41A4" w:rsidRPr="00FC648C" w:rsidRDefault="00ED41A4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Рост государственного долга вызывает определенные негативные последствия для национальной экономики. Во-первых, поиски источников его погашения приводят к необходимости повышения налогов, что является антистимулом хозяйственной активности (сокращение спроса, сбережений). Во-вторых, отвлечение денежных ресурсов ограничивает возможности частного предпринимательства и роста экономики. В-третьих, возникает проблема ухудшения материального благополучия населения в результате необходимости обслуживания внешнего долга. В-четвертых, происходит перераспределение доходов в пользу держателей государственных ценных бумаг. В-пятых, в конечном счете, происходит подрыв финансово-кредитной системы, что чревато негативными последствиями для экономики в целом.</w:t>
      </w:r>
    </w:p>
    <w:p w:rsidR="007C558B" w:rsidRPr="00FC648C" w:rsidRDefault="007C558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Обращение к банковским структурам за кредитом существенно меняет состояние денежного рынка, ведя к увеличению спроса на деньги и как следствие</w:t>
      </w:r>
      <w:r w:rsidR="00BF2CE1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- к росту процентных ставок, т.е. к удорожанию кредита. Предприниматели, прибегнув к более дорогому кредиту, пытаются компенсировать удорожание издержек</w:t>
      </w:r>
      <w:r w:rsidR="00BF2CE1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 xml:space="preserve">ростом цен. В то же время дорогой кредит угнетает инвестиции, т.к. для многих они становятся недоступными. В результате в долговременном периоде бюджетный дефицит ведет к инфляции и падению темпов роста ВВП. </w:t>
      </w:r>
    </w:p>
    <w:p w:rsidR="007C558B" w:rsidRPr="00FC648C" w:rsidRDefault="00896F77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Рынок государственных обязательств, из которого правительство</w:t>
      </w:r>
      <w:r w:rsidR="00BF2CE1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черпает ресурсы для своих закупок, уводит свободные деньги из банков.</w:t>
      </w:r>
      <w:r w:rsidR="00BF2CE1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Это уменьшает их кредитные ресурсы и ведет к удорожанию кредита.</w:t>
      </w:r>
    </w:p>
    <w:p w:rsidR="00896F77" w:rsidRPr="00FC648C" w:rsidRDefault="00896F77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Постоянное использование займов для покрытия дефицита государственного бюджета</w:t>
      </w:r>
      <w:r w:rsidR="00BF2CE1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ведет к падению эффективности подобного шага. Это происходит в связи с возрастанием средств по обслуживанию</w:t>
      </w:r>
      <w:r w:rsidR="00BF2CE1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государственного долга, исчерпанием свободных сбережений населения, что создает серьезные препятствия для частных инвестиций.</w:t>
      </w:r>
    </w:p>
    <w:p w:rsidR="00896F77" w:rsidRPr="00FC648C" w:rsidRDefault="00896F77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Помимо экономических последствий государственный долг ведет и к негативным социальным последствиям. Одно из них – усиление</w:t>
      </w:r>
      <w:r w:rsidR="00BF2CE1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дифференциации</w:t>
      </w:r>
      <w:r w:rsidR="00BF2CE1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населения.</w:t>
      </w:r>
    </w:p>
    <w:p w:rsidR="00896F77" w:rsidRPr="00FC648C" w:rsidRDefault="00896F77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Дифференциация населения происходит вследствие выплаты долга за счет налогов. Доходы его уменьшаются на величину выплаченных налогов. Средства эти попадают узкому кругу богачей, ранее купивших ценные бумаги. В результате разрыв в благосостоянии между слоями населения становится все больше.</w:t>
      </w:r>
    </w:p>
    <w:p w:rsidR="007C558B" w:rsidRPr="00FC648C" w:rsidRDefault="00ED41A4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Ценой политики наращивания государственного долга является переложение сегодняшних трудностей на правительство, которое придет ему на смену. Здесь есть два пути: 1) добиться экономического роста и получить доходы, обеспечивающие</w:t>
      </w:r>
      <w:r w:rsidR="00BF2CE1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постепенное погашение долга; 2) когда придет срок уплаты долга, выпустить новые займы, за счет которых погасить старый долг.</w:t>
      </w:r>
    </w:p>
    <w:p w:rsidR="007C558B" w:rsidRPr="00FC648C" w:rsidRDefault="007C558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Управление государственным долгом</w:t>
      </w:r>
      <w:r w:rsidR="00446468" w:rsidRPr="00FC648C">
        <w:rPr>
          <w:rFonts w:ascii="Times New Roman" w:hAnsi="Times New Roman" w:cs="Times New Roman"/>
          <w:sz w:val="28"/>
          <w:szCs w:val="28"/>
        </w:rPr>
        <w:t>.</w:t>
      </w:r>
    </w:p>
    <w:p w:rsidR="007C558B" w:rsidRPr="00FC648C" w:rsidRDefault="007C558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 xml:space="preserve">Возникновение и рост государственного долга вызвали к жизни необходимость управления им. </w:t>
      </w:r>
      <w:r w:rsidRPr="00FC64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Управление государственным долгом</w:t>
      </w:r>
      <w:r w:rsidRPr="00FC64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92BC4" w:rsidRPr="00FC648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FC64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это совокупность финансовых мероприятий государства, связанных с погашением займов, организацией выплат доходов по ним, проведением конверсии и консолидации государственных займов.</w:t>
      </w:r>
    </w:p>
    <w:p w:rsidR="007C558B" w:rsidRPr="00FC648C" w:rsidRDefault="007C558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Конверсия государственных займов</w:t>
      </w:r>
      <w:r w:rsidRPr="00FC64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 xml:space="preserve">предполагает изменение первоначальных их условий (процента, срока и других условий погашений). Различают несколько методов конверсии: добровольная, принудительная и факультативная. При </w:t>
      </w:r>
      <w:r w:rsidRPr="00FC648C">
        <w:rPr>
          <w:rFonts w:ascii="Times New Roman" w:hAnsi="Times New Roman" w:cs="Times New Roman"/>
          <w:i/>
          <w:iCs/>
          <w:sz w:val="28"/>
          <w:szCs w:val="28"/>
        </w:rPr>
        <w:t xml:space="preserve">добровольной конверсии </w:t>
      </w:r>
      <w:r w:rsidRPr="00FC648C">
        <w:rPr>
          <w:rFonts w:ascii="Times New Roman" w:hAnsi="Times New Roman" w:cs="Times New Roman"/>
          <w:sz w:val="28"/>
          <w:szCs w:val="28"/>
        </w:rPr>
        <w:t xml:space="preserve">владелец облигации имеет право выбора: либо согласиться с новыми условиями, либо погасить облигацию. При </w:t>
      </w:r>
      <w:r w:rsidRPr="00FC648C">
        <w:rPr>
          <w:rFonts w:ascii="Times New Roman" w:hAnsi="Times New Roman" w:cs="Times New Roman"/>
          <w:i/>
          <w:iCs/>
          <w:sz w:val="28"/>
          <w:szCs w:val="28"/>
        </w:rPr>
        <w:t xml:space="preserve">принудительной конверсии </w:t>
      </w:r>
      <w:r w:rsidRPr="00FC648C">
        <w:rPr>
          <w:rFonts w:ascii="Times New Roman" w:hAnsi="Times New Roman" w:cs="Times New Roman"/>
          <w:sz w:val="28"/>
          <w:szCs w:val="28"/>
        </w:rPr>
        <w:t xml:space="preserve">владелец облигации обязан согласиться с новыми условиями займа, а при </w:t>
      </w:r>
      <w:r w:rsidRPr="00FC648C">
        <w:rPr>
          <w:rFonts w:ascii="Times New Roman" w:hAnsi="Times New Roman" w:cs="Times New Roman"/>
          <w:i/>
          <w:iCs/>
          <w:sz w:val="28"/>
          <w:szCs w:val="28"/>
        </w:rPr>
        <w:t xml:space="preserve">факультативной конверсии </w:t>
      </w:r>
      <w:r w:rsidRPr="00FC648C">
        <w:rPr>
          <w:rFonts w:ascii="Times New Roman" w:hAnsi="Times New Roman" w:cs="Times New Roman"/>
          <w:sz w:val="28"/>
          <w:szCs w:val="28"/>
        </w:rPr>
        <w:t>кредитор может либо согласиться, либо отказаться от новых условий займа. Конверсия, как правило, осуществляется при избытке ссудного капитала и снижении проц</w:t>
      </w:r>
      <w:r w:rsidR="00446468" w:rsidRPr="00FC648C">
        <w:rPr>
          <w:rFonts w:ascii="Times New Roman" w:hAnsi="Times New Roman" w:cs="Times New Roman"/>
          <w:sz w:val="28"/>
          <w:szCs w:val="28"/>
        </w:rPr>
        <w:t>ентной ставки.</w:t>
      </w:r>
    </w:p>
    <w:p w:rsidR="007C558B" w:rsidRPr="00FC648C" w:rsidRDefault="007C558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Консолидация государственного долга</w:t>
      </w:r>
      <w:r w:rsidRPr="00FC64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происходит путем продления срока действия кратко- и среднесрочных займов или путем объединения (унификации) ранее выпущенных средне- и краткосрочных займов в один долгосрочный заем. Таким образом, формируется консолидированный долг как часть общей суммы государственной задолженности в результате выпуска долгосрочных займов.</w:t>
      </w:r>
    </w:p>
    <w:p w:rsidR="007C558B" w:rsidRPr="00FC648C" w:rsidRDefault="007C558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 xml:space="preserve">Процесс погашения старой государственной задолженности путем выпуска новых займов называется </w:t>
      </w:r>
      <w:r w:rsidRPr="00FC64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рефинансированием</w:t>
      </w:r>
      <w:r w:rsidRPr="00FC648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C648C">
        <w:rPr>
          <w:rFonts w:ascii="Times New Roman" w:hAnsi="Times New Roman" w:cs="Times New Roman"/>
          <w:sz w:val="28"/>
          <w:szCs w:val="28"/>
        </w:rPr>
        <w:t>Поэтому можно сказать, что консолидированный государственный долг есть результат рефинансирования. Однако результатом далеко не любого рефинансирования является консолидированный долг, так как под последним понимается такое рефинансирование, которое ведет к долгосрочной задолженности.</w:t>
      </w:r>
    </w:p>
    <w:p w:rsidR="007C558B" w:rsidRPr="00FC648C" w:rsidRDefault="006D2062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Управление государственным долгом включает также следующие меры:</w:t>
      </w:r>
    </w:p>
    <w:p w:rsidR="006D2062" w:rsidRPr="00FC648C" w:rsidRDefault="006D2062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- эффективное использование средств заимствования;</w:t>
      </w:r>
    </w:p>
    <w:p w:rsidR="006D2062" w:rsidRPr="00FC648C" w:rsidRDefault="006D2062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- поиск средств для выплаты долга;</w:t>
      </w:r>
    </w:p>
    <w:p w:rsidR="006D2062" w:rsidRPr="00FC648C" w:rsidRDefault="006D2062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- нейтрализация негативных последствий государственного долга.</w:t>
      </w:r>
    </w:p>
    <w:p w:rsidR="006D2062" w:rsidRPr="00FC648C" w:rsidRDefault="006D2062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Эффективное использование средств заимствования предполагает направление их в проектах, позволяющих за отведенный срок получить доход, превышающий не только сумму долга</w:t>
      </w:r>
      <w:r w:rsidR="002674C9" w:rsidRPr="00FC648C">
        <w:rPr>
          <w:rFonts w:ascii="Times New Roman" w:hAnsi="Times New Roman" w:cs="Times New Roman"/>
          <w:sz w:val="28"/>
          <w:szCs w:val="28"/>
        </w:rPr>
        <w:t>,</w:t>
      </w:r>
      <w:r w:rsidRPr="00FC648C">
        <w:rPr>
          <w:rFonts w:ascii="Times New Roman" w:hAnsi="Times New Roman" w:cs="Times New Roman"/>
          <w:sz w:val="28"/>
          <w:szCs w:val="28"/>
        </w:rPr>
        <w:t xml:space="preserve"> но и выплат по нему процента. </w:t>
      </w:r>
      <w:r w:rsidR="002674C9" w:rsidRPr="00FC648C">
        <w:rPr>
          <w:rFonts w:ascii="Times New Roman" w:hAnsi="Times New Roman" w:cs="Times New Roman"/>
          <w:sz w:val="28"/>
          <w:szCs w:val="28"/>
        </w:rPr>
        <w:t>Величина процента становится минимальным критерием</w:t>
      </w:r>
      <w:r w:rsidR="00BF2CE1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="002674C9" w:rsidRPr="00FC648C">
        <w:rPr>
          <w:rFonts w:ascii="Times New Roman" w:hAnsi="Times New Roman" w:cs="Times New Roman"/>
          <w:sz w:val="28"/>
          <w:szCs w:val="28"/>
        </w:rPr>
        <w:t>эффективности использования заемных средств. Их доходность должна превышать эту величину. В таком случае государство не только выплатит процент, но и получит дополнительный доход. Невыполнение данного условия создает проблемы поиска средств из других источников для выплаты долга. Задержка выплаты долга чревата нарастанием убытков, связанных с увеличением процентных ставок к качестве штрафных санкций.</w:t>
      </w:r>
    </w:p>
    <w:p w:rsidR="002674C9" w:rsidRPr="00FC648C" w:rsidRDefault="002674C9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Обременительность государственного долга и навязывание условий при его формировании приводят к тому, что в современных условиях страны стараются перейти от политики дефицитного финансирования к бездефицитным бюджетам. Новая бюджетная политика находит выражение, прежде всего, в изменениях в доходной части государственных бюджетов, стимулировании инвестиционной деятельности и расширении налоговой базы за счет роста доходов и рентабельности национальной экономики.</w:t>
      </w:r>
    </w:p>
    <w:p w:rsidR="000B42C8" w:rsidRPr="00FC648C" w:rsidRDefault="000B42C8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4C9" w:rsidRPr="00FC648C" w:rsidRDefault="002674C9" w:rsidP="00BF2CE1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b/>
          <w:bCs/>
          <w:sz w:val="28"/>
          <w:szCs w:val="28"/>
        </w:rPr>
        <w:t>Влияние государственного долга на развитие экономики России</w:t>
      </w:r>
    </w:p>
    <w:p w:rsidR="00FC623B" w:rsidRPr="00FC648C" w:rsidRDefault="00FC623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77B" w:rsidRPr="00FC648C" w:rsidRDefault="00AE177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Государственным долгом являются все накопленные обязательства по возврату средств (с процентами), принятые от имени государства или от имени его уполномоченных органов перед кредиторами.</w:t>
      </w:r>
    </w:p>
    <w:p w:rsidR="00AE177B" w:rsidRPr="00FC648C" w:rsidRDefault="00AE177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 xml:space="preserve">Государственный долг </w:t>
      </w:r>
      <w:r w:rsidR="00392BC4" w:rsidRPr="00FC648C">
        <w:rPr>
          <w:rFonts w:ascii="Times New Roman" w:hAnsi="Times New Roman" w:cs="Times New Roman"/>
          <w:sz w:val="28"/>
          <w:szCs w:val="28"/>
        </w:rPr>
        <w:t>-</w:t>
      </w:r>
      <w:r w:rsidRPr="00FC648C">
        <w:rPr>
          <w:rFonts w:ascii="Times New Roman" w:hAnsi="Times New Roman" w:cs="Times New Roman"/>
          <w:sz w:val="28"/>
          <w:szCs w:val="28"/>
        </w:rPr>
        <w:t xml:space="preserve"> это по существу сумма задолженностей государства по размещенным и непогашенным государственным займам (включая начисленные по ним проценты). И в зависимости от валюты, в которой размещен займ, государственный долг бывает внутренним или внешним. Соответственно, внешние заимствования привлекаются в иностранной валюте, а внутренние </w:t>
      </w:r>
      <w:r w:rsidR="00392BC4" w:rsidRPr="00FC648C">
        <w:rPr>
          <w:rFonts w:ascii="Times New Roman" w:hAnsi="Times New Roman" w:cs="Times New Roman"/>
          <w:sz w:val="28"/>
          <w:szCs w:val="28"/>
        </w:rPr>
        <w:t>-</w:t>
      </w:r>
      <w:r w:rsidRPr="00FC648C">
        <w:rPr>
          <w:rFonts w:ascii="Times New Roman" w:hAnsi="Times New Roman" w:cs="Times New Roman"/>
          <w:sz w:val="28"/>
          <w:szCs w:val="28"/>
        </w:rPr>
        <w:t xml:space="preserve"> в рублях. Поэтому займы, которые Правительство РФ берет у Центрального банка РФ в иностранной валюте, относятся к внешнему долгу России.</w:t>
      </w:r>
    </w:p>
    <w:p w:rsidR="00AE177B" w:rsidRPr="00FC648C" w:rsidRDefault="00AE177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(ст. 98 БК РФ) долговые обязательства Российской Федерации могут существовать в форме:</w:t>
      </w:r>
    </w:p>
    <w:p w:rsidR="00AE177B" w:rsidRPr="00FC648C" w:rsidRDefault="00AE177B" w:rsidP="00BF2CE1">
      <w:pPr>
        <w:tabs>
          <w:tab w:val="left" w:pos="61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- кредитных соглашений и договоров, заключенных от</w:t>
      </w:r>
      <w:r w:rsidR="00FC623B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имени Российской Федерации как заемщика с кредитными</w:t>
      </w:r>
      <w:r w:rsidR="00FC623B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организациями, иностранными государствами и международными финансовыми организациями;</w:t>
      </w:r>
    </w:p>
    <w:p w:rsidR="00AE177B" w:rsidRPr="00FC648C" w:rsidRDefault="00AE177B" w:rsidP="00BF2CE1">
      <w:pPr>
        <w:tabs>
          <w:tab w:val="left" w:pos="61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- государственных займов, осуществленных путем выпуска ценных бумаг от имени Российской Федерации;</w:t>
      </w:r>
    </w:p>
    <w:p w:rsidR="00AE177B" w:rsidRPr="00FC648C" w:rsidRDefault="00AE177B" w:rsidP="00BF2CE1">
      <w:pPr>
        <w:tabs>
          <w:tab w:val="left" w:pos="61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- договоров и соглашений о получении Российской Федерацией бюджетных ссуд и бюджетных кредитов от бюджетов</w:t>
      </w:r>
      <w:r w:rsidR="00FC623B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других уровней бюджетной системы Российской Федерации;</w:t>
      </w:r>
    </w:p>
    <w:p w:rsidR="00AE177B" w:rsidRPr="00FC648C" w:rsidRDefault="00AE177B" w:rsidP="00BF2CE1">
      <w:pPr>
        <w:tabs>
          <w:tab w:val="left" w:pos="61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- договоров о предоставлении Российской Федерацией</w:t>
      </w:r>
      <w:r w:rsidR="00FC623B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государственных гарантий;</w:t>
      </w:r>
    </w:p>
    <w:p w:rsidR="00AE177B" w:rsidRPr="00FC648C" w:rsidRDefault="00AE177B" w:rsidP="00BF2CE1">
      <w:pPr>
        <w:tabs>
          <w:tab w:val="left" w:pos="61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- соглашений и договоров, в том числе международных,</w:t>
      </w:r>
      <w:r w:rsidR="00FC623B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заключенных от имени Российской Федерации, о пролонгации и реструктуризации долговых обязательств Российской</w:t>
      </w:r>
      <w:r w:rsidR="00FC623B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Федерации прошлых лет.</w:t>
      </w:r>
    </w:p>
    <w:p w:rsidR="00AE177B" w:rsidRPr="00FC648C" w:rsidRDefault="00AE177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В общую сумму государственного внутреннего долга Российской Федерации включаются:</w:t>
      </w:r>
    </w:p>
    <w:p w:rsidR="00AE177B" w:rsidRPr="00FC648C" w:rsidRDefault="00AE177B" w:rsidP="00BF2CE1">
      <w:pPr>
        <w:tabs>
          <w:tab w:val="left" w:pos="61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- основная номинальная сумма долга по государственным</w:t>
      </w:r>
      <w:r w:rsidR="00FC623B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ценным бумагам Российской Федерации:</w:t>
      </w:r>
    </w:p>
    <w:p w:rsidR="00AE177B" w:rsidRPr="00FC648C" w:rsidRDefault="00AE177B" w:rsidP="00BF2CE1">
      <w:pPr>
        <w:tabs>
          <w:tab w:val="left" w:pos="619"/>
          <w:tab w:val="left" w:pos="43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- объем основного долга по кредитам, полученным Российской Федерации;</w:t>
      </w:r>
    </w:p>
    <w:p w:rsidR="00AE177B" w:rsidRPr="00FC648C" w:rsidRDefault="00AE177B" w:rsidP="00BF2CE1">
      <w:pPr>
        <w:tabs>
          <w:tab w:val="left" w:pos="619"/>
          <w:tab w:val="left" w:pos="43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-</w:t>
      </w:r>
      <w:r w:rsidR="00BF2CE1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объем основного долга по бюджетным ссудам и бюджетным кредитам, полученным Российской Федерацией от</w:t>
      </w:r>
      <w:r w:rsidR="00FC623B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бюджетов других уровней;</w:t>
      </w:r>
    </w:p>
    <w:p w:rsidR="00AE177B" w:rsidRPr="00FC648C" w:rsidRDefault="00AE177B" w:rsidP="00BF2CE1">
      <w:pPr>
        <w:tabs>
          <w:tab w:val="left" w:pos="61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- объем обязательств по государственным гарантиям,</w:t>
      </w:r>
      <w:r w:rsidR="00FC623B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предоставленным Российской Федерацией.</w:t>
      </w:r>
    </w:p>
    <w:p w:rsidR="00AE177B" w:rsidRPr="00FC648C" w:rsidRDefault="00AE177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В общую сумму государственного внешнего долга Российской Федерации включаются:</w:t>
      </w:r>
    </w:p>
    <w:p w:rsidR="00AE177B" w:rsidRPr="00FC648C" w:rsidRDefault="00AE177B" w:rsidP="00BF2CE1">
      <w:pPr>
        <w:tabs>
          <w:tab w:val="left" w:pos="61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- объем обязательств по государственным гарантиям,</w:t>
      </w:r>
      <w:r w:rsidR="00FC623B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предоставленным Российской Федерацией;</w:t>
      </w:r>
    </w:p>
    <w:p w:rsidR="00AE177B" w:rsidRPr="00FC648C" w:rsidRDefault="00AE177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- объем основного долга по полученным Российской Федерацией кредитам от правительств иностранных государств,</w:t>
      </w:r>
      <w:r w:rsidR="00FC623B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 xml:space="preserve">кредитных организаций, фирм и международных финансовых организаций. </w:t>
      </w:r>
    </w:p>
    <w:p w:rsidR="00AE177B" w:rsidRPr="00FC648C" w:rsidRDefault="00AE177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Включение в состав государственного долга обязательств по соглашениям и договорам о пролонгации/реструктуризации в качестве самостоятельного элемента государственных обязательств методологически неверно ввиду того, что пролонгации и реструктуризации обязательств определяют, как правило, лишь порядок и условия замены одних долговых обязательств другими, с иными условиями обслуживания и погашения.</w:t>
      </w:r>
    </w:p>
    <w:p w:rsidR="00AE177B" w:rsidRPr="00FC648C" w:rsidRDefault="00AE177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Среди проблем современной бюджетной политики проблема государственного долга занимает особое место. Она является одной из основных проблем российской экономики, оказывающей непосредственное влияние как на темпы экономического роста страны в целом, так и на направления финансовой и бюджетной политики.</w:t>
      </w:r>
    </w:p>
    <w:p w:rsidR="00AE177B" w:rsidRPr="00FC648C" w:rsidRDefault="0095063D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Экономическую ситуацию РФ серьезно осложнила проводившаяся в 1996</w:t>
      </w:r>
      <w:r w:rsidR="00392BC4" w:rsidRPr="00FC648C">
        <w:rPr>
          <w:rFonts w:ascii="Times New Roman" w:hAnsi="Times New Roman" w:cs="Times New Roman"/>
          <w:sz w:val="28"/>
          <w:szCs w:val="28"/>
        </w:rPr>
        <w:t>-</w:t>
      </w:r>
      <w:r w:rsidRPr="00FC648C">
        <w:rPr>
          <w:rFonts w:ascii="Times New Roman" w:hAnsi="Times New Roman" w:cs="Times New Roman"/>
          <w:sz w:val="28"/>
          <w:szCs w:val="28"/>
        </w:rPr>
        <w:t>1998 гг. политика российских властей по управлению государственным долгом, направленная на замещение долговых инструментов, номинированных в рублях, внешними заимствованиями, потому что они были значительно дешевле внутренних. В результате внешний долг России вырос в 1996</w:t>
      </w:r>
      <w:r w:rsidR="00392BC4" w:rsidRPr="00FC648C">
        <w:rPr>
          <w:rFonts w:ascii="Times New Roman" w:hAnsi="Times New Roman" w:cs="Times New Roman"/>
          <w:sz w:val="28"/>
          <w:szCs w:val="28"/>
        </w:rPr>
        <w:t>-</w:t>
      </w:r>
      <w:r w:rsidRPr="00FC648C">
        <w:rPr>
          <w:rFonts w:ascii="Times New Roman" w:hAnsi="Times New Roman" w:cs="Times New Roman"/>
          <w:sz w:val="28"/>
          <w:szCs w:val="28"/>
        </w:rPr>
        <w:t xml:space="preserve">1998 гг. более чем вдвое, а только за первые восемь месяцев 1998 г. </w:t>
      </w:r>
      <w:r w:rsidR="00392BC4" w:rsidRPr="00FC648C">
        <w:rPr>
          <w:rFonts w:ascii="Times New Roman" w:hAnsi="Times New Roman" w:cs="Times New Roman"/>
          <w:sz w:val="28"/>
          <w:szCs w:val="28"/>
        </w:rPr>
        <w:t>-</w:t>
      </w:r>
      <w:r w:rsidRPr="00FC648C">
        <w:rPr>
          <w:rFonts w:ascii="Times New Roman" w:hAnsi="Times New Roman" w:cs="Times New Roman"/>
          <w:sz w:val="28"/>
          <w:szCs w:val="28"/>
        </w:rPr>
        <w:t xml:space="preserve"> на 18,5 </w:t>
      </w:r>
      <w:r w:rsidR="00AE177B" w:rsidRPr="00FC648C">
        <w:rPr>
          <w:rFonts w:ascii="Times New Roman" w:hAnsi="Times New Roman" w:cs="Times New Roman"/>
          <w:sz w:val="28"/>
          <w:szCs w:val="28"/>
        </w:rPr>
        <w:t>млрд.</w:t>
      </w:r>
      <w:r w:rsidRPr="00FC648C">
        <w:rPr>
          <w:rFonts w:ascii="Times New Roman" w:hAnsi="Times New Roman" w:cs="Times New Roman"/>
          <w:sz w:val="28"/>
          <w:szCs w:val="28"/>
        </w:rPr>
        <w:t xml:space="preserve"> долл. (</w:t>
      </w:r>
      <w:r w:rsidR="00AE177B" w:rsidRPr="00FC648C">
        <w:rPr>
          <w:rFonts w:ascii="Times New Roman" w:hAnsi="Times New Roman" w:cs="Times New Roman"/>
          <w:sz w:val="28"/>
          <w:szCs w:val="28"/>
        </w:rPr>
        <w:t>Приложение 1 табл. 1</w:t>
      </w:r>
      <w:r w:rsidRPr="00FC648C">
        <w:rPr>
          <w:rFonts w:ascii="Times New Roman" w:hAnsi="Times New Roman" w:cs="Times New Roman"/>
          <w:sz w:val="28"/>
          <w:szCs w:val="28"/>
        </w:rPr>
        <w:t>).</w:t>
      </w:r>
    </w:p>
    <w:p w:rsidR="0095063D" w:rsidRPr="00FC648C" w:rsidRDefault="0095063D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Однако переход России на внешние заимствования пришелся на конец подъема мировой экономики и начало финансового кризиса, охватившего финансовые рынки развивающихся стран в 1997</w:t>
      </w:r>
      <w:r w:rsidR="00392BC4" w:rsidRPr="00FC648C">
        <w:rPr>
          <w:rFonts w:ascii="Times New Roman" w:hAnsi="Times New Roman" w:cs="Times New Roman"/>
          <w:sz w:val="28"/>
          <w:szCs w:val="28"/>
        </w:rPr>
        <w:t>-</w:t>
      </w:r>
      <w:r w:rsidRPr="00FC648C">
        <w:rPr>
          <w:rFonts w:ascii="Times New Roman" w:hAnsi="Times New Roman" w:cs="Times New Roman"/>
          <w:sz w:val="28"/>
          <w:szCs w:val="28"/>
        </w:rPr>
        <w:t xml:space="preserve"> 1999 гг. В результате девальвации российского рубля в 1998 г. государственный долг, номинированный в иностранной валюте, за несколько месяцев увеличился более чем втрое, а весь государственный долг </w:t>
      </w:r>
      <w:r w:rsidR="00392BC4" w:rsidRPr="00FC648C">
        <w:rPr>
          <w:rFonts w:ascii="Times New Roman" w:hAnsi="Times New Roman" w:cs="Times New Roman"/>
          <w:sz w:val="28"/>
          <w:szCs w:val="28"/>
        </w:rPr>
        <w:t>-</w:t>
      </w:r>
      <w:r w:rsidRPr="00FC648C">
        <w:rPr>
          <w:rFonts w:ascii="Times New Roman" w:hAnsi="Times New Roman" w:cs="Times New Roman"/>
          <w:sz w:val="28"/>
          <w:szCs w:val="28"/>
        </w:rPr>
        <w:t xml:space="preserve"> почти вдвое</w:t>
      </w:r>
      <w:r w:rsidR="007929ED" w:rsidRPr="00FC648C">
        <w:rPr>
          <w:rFonts w:ascii="Times New Roman" w:hAnsi="Times New Roman" w:cs="Times New Roman"/>
          <w:sz w:val="28"/>
          <w:szCs w:val="28"/>
        </w:rPr>
        <w:t>.</w:t>
      </w:r>
    </w:p>
    <w:p w:rsidR="00AE177B" w:rsidRPr="00FC648C" w:rsidRDefault="0095063D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 xml:space="preserve">Объем государственного долга России до августа 1998 г. был не очень велик по международным стандартам, что отчасти способствовало недооценке российскими властями реальной угрозы долгового кризиса. Доля государственного долга в ВВП в 1997 г. составляла 54%, при этом 26% приходилось на внешний, а 28% </w:t>
      </w:r>
      <w:r w:rsidR="00392BC4" w:rsidRPr="00FC648C">
        <w:rPr>
          <w:rFonts w:ascii="Times New Roman" w:hAnsi="Times New Roman" w:cs="Times New Roman"/>
          <w:sz w:val="28"/>
          <w:szCs w:val="28"/>
        </w:rPr>
        <w:t>-</w:t>
      </w:r>
      <w:r w:rsidRPr="00FC648C">
        <w:rPr>
          <w:rFonts w:ascii="Times New Roman" w:hAnsi="Times New Roman" w:cs="Times New Roman"/>
          <w:sz w:val="28"/>
          <w:szCs w:val="28"/>
        </w:rPr>
        <w:t xml:space="preserve"> на совокупный внутренний долг (при этом доля ГКО</w:t>
      </w:r>
      <w:r w:rsidR="00392BC4" w:rsidRPr="00FC648C">
        <w:rPr>
          <w:rFonts w:ascii="Times New Roman" w:hAnsi="Times New Roman" w:cs="Times New Roman"/>
          <w:sz w:val="28"/>
          <w:szCs w:val="28"/>
        </w:rPr>
        <w:t>-</w:t>
      </w:r>
      <w:r w:rsidRPr="00FC648C">
        <w:rPr>
          <w:rFonts w:ascii="Times New Roman" w:hAnsi="Times New Roman" w:cs="Times New Roman"/>
          <w:sz w:val="28"/>
          <w:szCs w:val="28"/>
        </w:rPr>
        <w:t xml:space="preserve">ОФЗ превышала 14%). Для сравнения: отношение совокупного долга стран ЕС к их ВВП в 1996 г. составляло 70,4%, а в США </w:t>
      </w:r>
      <w:r w:rsidR="00392BC4" w:rsidRPr="00FC648C">
        <w:rPr>
          <w:rFonts w:ascii="Times New Roman" w:hAnsi="Times New Roman" w:cs="Times New Roman"/>
          <w:sz w:val="28"/>
          <w:szCs w:val="28"/>
        </w:rPr>
        <w:t>-</w:t>
      </w:r>
      <w:r w:rsidRPr="00FC648C">
        <w:rPr>
          <w:rFonts w:ascii="Times New Roman" w:hAnsi="Times New Roman" w:cs="Times New Roman"/>
          <w:sz w:val="28"/>
          <w:szCs w:val="28"/>
        </w:rPr>
        <w:t xml:space="preserve"> 63,1%. Причем высокие объемы российского внешнего долга в значительной степени определяются задолженностью бывшего СССР. Величина собственно российского долга к началу 1998 г. составила 7,6% ВВП.</w:t>
      </w:r>
    </w:p>
    <w:p w:rsidR="0095063D" w:rsidRPr="00FC648C" w:rsidRDefault="0095063D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Внешние заимствования обычно делаются на более длительные сроки по сравнению с внутренними. Если бы консолидация долга (замена краткосрочного долга на долгосрочный путем изменения соотношений внутренних и внешних заимствований) проводилась в более благоприятных условиях, то угрозу нараставшего с осени 1997 г. финансового кризиса, видимо, можно было несколько ослабить.</w:t>
      </w:r>
    </w:p>
    <w:p w:rsidR="0095063D" w:rsidRPr="00FC648C" w:rsidRDefault="0095063D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Существует еще один аспект оценки государственного долга России, а именно относительно небольшие размеры легального ВВП, который только и может служить источником обслуживания этого долга. По оценке, совокупный объем государственного долга всегда был существенно выше 50%, а за 1995-1997 гг. увеличился с 65 до 70% легального ВВП.</w:t>
      </w:r>
    </w:p>
    <w:p w:rsidR="0095063D" w:rsidRPr="00FC648C" w:rsidRDefault="0095063D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 xml:space="preserve">Постоянный рост государственного долга неизбежно приводил к увеличению абсолютных и относительных расходов на его обслуживание. Процентные расходы возросли с менее чем 2% совокупных расходов федерального бюджета в 1992 г. до почти 35% в январе </w:t>
      </w:r>
      <w:r w:rsidR="00392BC4" w:rsidRPr="00FC648C">
        <w:rPr>
          <w:rFonts w:ascii="Times New Roman" w:hAnsi="Times New Roman" w:cs="Times New Roman"/>
          <w:sz w:val="28"/>
          <w:szCs w:val="28"/>
        </w:rPr>
        <w:t>-</w:t>
      </w:r>
      <w:r w:rsidRPr="00FC648C">
        <w:rPr>
          <w:rFonts w:ascii="Times New Roman" w:hAnsi="Times New Roman" w:cs="Times New Roman"/>
          <w:sz w:val="28"/>
          <w:szCs w:val="28"/>
        </w:rPr>
        <w:t xml:space="preserve"> июле 1998 г.</w:t>
      </w:r>
    </w:p>
    <w:p w:rsidR="00AE177B" w:rsidRPr="00FC648C" w:rsidRDefault="0095063D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В результате под воздействием увеличения государственного долга произошло существенное изменение структуры расходов федерального бюджета в сторону платежей по обслуживанию внутренней и внешней задолженности (</w:t>
      </w:r>
      <w:r w:rsidR="00AE177B" w:rsidRPr="00FC648C"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Pr="00FC648C">
        <w:rPr>
          <w:rFonts w:ascii="Times New Roman" w:hAnsi="Times New Roman" w:cs="Times New Roman"/>
          <w:sz w:val="28"/>
          <w:szCs w:val="28"/>
        </w:rPr>
        <w:t>табл.</w:t>
      </w:r>
      <w:r w:rsidR="00AE177B" w:rsidRPr="00FC648C">
        <w:rPr>
          <w:rFonts w:ascii="Times New Roman" w:hAnsi="Times New Roman" w:cs="Times New Roman"/>
          <w:sz w:val="28"/>
          <w:szCs w:val="28"/>
        </w:rPr>
        <w:t>2</w:t>
      </w:r>
      <w:r w:rsidRPr="00FC648C">
        <w:rPr>
          <w:rFonts w:ascii="Times New Roman" w:hAnsi="Times New Roman" w:cs="Times New Roman"/>
          <w:sz w:val="28"/>
          <w:szCs w:val="28"/>
        </w:rPr>
        <w:t>).</w:t>
      </w:r>
    </w:p>
    <w:p w:rsidR="0095063D" w:rsidRPr="00FC648C" w:rsidRDefault="0095063D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Так, платежи по обслуживанию и погашению внешнего долга в период до 2015 г. должны составлять 12</w:t>
      </w:r>
      <w:r w:rsidR="00392BC4" w:rsidRPr="00FC648C">
        <w:rPr>
          <w:rFonts w:ascii="Times New Roman" w:hAnsi="Times New Roman" w:cs="Times New Roman"/>
          <w:sz w:val="28"/>
          <w:szCs w:val="28"/>
        </w:rPr>
        <w:t>-</w:t>
      </w:r>
      <w:r w:rsidRPr="00FC648C">
        <w:rPr>
          <w:rFonts w:ascii="Times New Roman" w:hAnsi="Times New Roman" w:cs="Times New Roman"/>
          <w:sz w:val="28"/>
          <w:szCs w:val="28"/>
        </w:rPr>
        <w:t>15 млрд. долл. ежегодно, даже если больше ничего не занимать. Это составляет примерно половину доходов федерального бюджета. Сохранение таких условий обслуживания внешнего долга грозит России отсутствием перспектив экономического роста на весь этот период.</w:t>
      </w:r>
    </w:p>
    <w:p w:rsidR="00AE177B" w:rsidRPr="00FC648C" w:rsidRDefault="0095063D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 xml:space="preserve">Достигнутое в феврале 2000 г. соглашение с Лондонским клубом коммерческих банков </w:t>
      </w:r>
      <w:r w:rsidR="00392BC4" w:rsidRPr="00FC648C">
        <w:rPr>
          <w:rFonts w:ascii="Times New Roman" w:hAnsi="Times New Roman" w:cs="Times New Roman"/>
          <w:sz w:val="28"/>
          <w:szCs w:val="28"/>
        </w:rPr>
        <w:t>-</w:t>
      </w:r>
      <w:r w:rsidRPr="00FC648C">
        <w:rPr>
          <w:rFonts w:ascii="Times New Roman" w:hAnsi="Times New Roman" w:cs="Times New Roman"/>
          <w:sz w:val="28"/>
          <w:szCs w:val="28"/>
        </w:rPr>
        <w:t xml:space="preserve"> кредиторов позволяет России сэкономить на обслуживании этой части долга примерно 13 млрд. долл. в 2001 </w:t>
      </w:r>
      <w:r w:rsidR="00392BC4" w:rsidRPr="00FC648C">
        <w:rPr>
          <w:rFonts w:ascii="Times New Roman" w:hAnsi="Times New Roman" w:cs="Times New Roman"/>
          <w:sz w:val="28"/>
          <w:szCs w:val="28"/>
        </w:rPr>
        <w:t>-</w:t>
      </w:r>
      <w:r w:rsidRPr="00FC648C">
        <w:rPr>
          <w:rFonts w:ascii="Times New Roman" w:hAnsi="Times New Roman" w:cs="Times New Roman"/>
          <w:sz w:val="28"/>
          <w:szCs w:val="28"/>
        </w:rPr>
        <w:t xml:space="preserve"> 2007 гг.</w:t>
      </w:r>
    </w:p>
    <w:p w:rsidR="00787905" w:rsidRPr="00FC648C" w:rsidRDefault="00611CD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 xml:space="preserve">Динамика и структура государственного долга Российской Федерации 1997-2005 гг. приведена в </w:t>
      </w:r>
      <w:r w:rsidR="00AE177B" w:rsidRPr="00FC648C">
        <w:rPr>
          <w:rFonts w:ascii="Times New Roman" w:hAnsi="Times New Roman" w:cs="Times New Roman"/>
          <w:sz w:val="28"/>
          <w:szCs w:val="28"/>
        </w:rPr>
        <w:t xml:space="preserve">Приложении 2 </w:t>
      </w:r>
      <w:r w:rsidRPr="00FC648C">
        <w:rPr>
          <w:rFonts w:ascii="Times New Roman" w:hAnsi="Times New Roman" w:cs="Times New Roman"/>
          <w:sz w:val="28"/>
          <w:szCs w:val="28"/>
        </w:rPr>
        <w:t>табл. 1.</w:t>
      </w:r>
      <w:r w:rsidR="00787905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="007929ED" w:rsidRPr="00FC648C">
        <w:rPr>
          <w:rFonts w:ascii="Times New Roman" w:hAnsi="Times New Roman" w:cs="Times New Roman"/>
          <w:sz w:val="28"/>
          <w:szCs w:val="28"/>
        </w:rPr>
        <w:t>Структура государственного внешнего долга России приведена в Приложении 2 табл. 3.</w:t>
      </w:r>
    </w:p>
    <w:p w:rsidR="00AE177B" w:rsidRPr="00FC648C" w:rsidRDefault="00611CD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Объем государственного долга Российской Федерации в настоящее время составляет около 26% ВВП, что является невысоким показателем, учитывая зависимость экономики страны от мировой конъюнктуры цен на энергоносители.</w:t>
      </w:r>
    </w:p>
    <w:p w:rsidR="00611CDB" w:rsidRPr="00FC648C" w:rsidRDefault="00611CD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Выплаты по погашению основной суммы внешнего государственного долга Российской Федерации в 2005 г. составили 11,5 млрд. долл. США, что на 2,5 млрд. долл. США больше объема погашения государственного долга в 2004 г.</w:t>
      </w:r>
    </w:p>
    <w:p w:rsidR="00611CDB" w:rsidRPr="00FC648C" w:rsidRDefault="00611CD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В 2005 г. внешние государственные долговые обязательства Российской Федерации сократились с прогнозируемых на 1 января 2005 г. 115,7 млрд. долл. США до 106,9 млрд. долл. США на 1 января 2006 г., внутренние государственные заимствования Российской Федерации увеличились с 843,2 млрд. руб. на 1 января 2005 г. до 995,8 млрд. руб. Таким образом, совокупный государственный долг на 1 января 2006 г. составил 4202,8 млрд. рублей, что составляет 22,2% ВВП.</w:t>
      </w:r>
    </w:p>
    <w:p w:rsidR="00611CDB" w:rsidRPr="00FC648C" w:rsidRDefault="00611CD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В целом приоритет государственных внутренних заимствований над внешними в целях рефинансирования государственного долга в сложившихся условиях представляется оправданным. Сложившиеся позитивные изменения на рынке государственных внутренних заимствований в условиях сохранения устойчивого платежного баланса позволили правительству РФ в 2005 г. планировать привлечение финансовых ресурсов на внутреннем рынке заимствований в объеме 210,8 млрд. руб. При этом погашение ранее размещенных государственных бумаг составит 122 млрд. руб. Соответственно чистое привлечение финансовых ресурсов с внутреннего рынка заимствований в 2005 г. составило 88,8 млрд. руб., что не повлияло на увеличение процентной ставки на внутреннем кредитном рынке. Положительным фактом является то, что данные заимствования носят среднесрочный и долгосрочный характер от 3 до 15 лет.</w:t>
      </w:r>
    </w:p>
    <w:p w:rsidR="00611CDB" w:rsidRPr="00FC648C" w:rsidRDefault="00611CD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В целом анализ показывает, что рынок государственного внутреннего долга фактически способен выполнять функции аккумулирования источников бюджетного дефицита, стабилизации денежного оборота и способа регулирования ликвидности банковской системы. Вместе с тем он пока не стал инструментом поддержки экономического роста и инвестиционной активности.</w:t>
      </w:r>
    </w:p>
    <w:p w:rsidR="00611CDB" w:rsidRPr="00FC648C" w:rsidRDefault="00611CD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Расширение объемов государственных внутренних заимствований должно осуществляться с учетом мер по минимизации финансовых рисков. Это предусматривает увеличение средних сроков обращения размещаемых долговых инструментов и сокращения спекулятивной составляющей, расширение спектра применяемых долговых инструментов, а также удержанием процентных ставок на уровне, близком к показателю инфляции, в целях дальнейшего сокращения доли расходов на обслуживание государственного внутреннего долга в общих расходах федерального бюджета и объеме ВВП.</w:t>
      </w:r>
    </w:p>
    <w:p w:rsidR="00787905" w:rsidRPr="00FC648C" w:rsidRDefault="00787905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648C">
        <w:rPr>
          <w:rFonts w:ascii="Times New Roman" w:hAnsi="Times New Roman" w:cs="Times New Roman"/>
          <w:sz w:val="28"/>
          <w:szCs w:val="28"/>
        </w:rPr>
        <w:t>Государственный внутренний долг РФ, выраженный в ценных бумагах, за 7 месяцев 2008 г. увеличился на 9,3% до 1,365 трлн.руб. Об этом</w:t>
      </w:r>
      <w:r w:rsidR="00BF2CE1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свидетельствует информация Департамента международных финансовых отношений, государственного долга и государственный финансовых активов Министерства РФ.</w:t>
      </w:r>
      <w:r w:rsidRPr="00FC648C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611CDB" w:rsidRPr="00FC648C" w:rsidRDefault="00611CD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Соотношение расходов на обслуживание государственного долга к доходам федерального бюджета у Российской Федерации является высоким по сравнению со странами с сопоставимым уровнем экономического развития.</w:t>
      </w:r>
    </w:p>
    <w:p w:rsidR="00611CDB" w:rsidRPr="00FC648C" w:rsidRDefault="00611CD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Динамика изменения объема и структуры государственного долга за последние годы</w:t>
      </w:r>
      <w:r w:rsidR="00BF2CE1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повлияла на объем ассигнований федерального бюджета по его обслуживанию. Планируемые расходы на обслуживание государственного долга Российской Федерации в 2005 г. сократились</w:t>
      </w:r>
      <w:r w:rsidR="00BF2CE1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по сравнению с 2004 г. на 33,3 млрд. руб. и составили 254,2 млрд. руб. (287,5 млрд. руб. в 2004 г.).</w:t>
      </w:r>
    </w:p>
    <w:p w:rsidR="00787905" w:rsidRPr="00FC648C" w:rsidRDefault="00611CD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Снижение объемов расходов федерального бюджета в 2005 г. по обслуживанию государственного долга обусловлено существенным сокращением размера внешнего государственного долга Российской Федерации за последние годы.</w:t>
      </w:r>
    </w:p>
    <w:p w:rsidR="00611CDB" w:rsidRPr="00FC648C" w:rsidRDefault="00611CD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В связи с сокращением внешнего государственного долга Российской Федерации расходы по его обслуживанию сократятся на 37,2 млрд. руб. и составят 185,9 млрд. руб.</w:t>
      </w:r>
    </w:p>
    <w:p w:rsidR="00611CDB" w:rsidRPr="00FC648C" w:rsidRDefault="00611CD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При этом в связи с увеличением государственных внутренних заимствований, а также ростом государственного внутреннего долга в 2005 г. расходы по его обслуживанию возросли</w:t>
      </w:r>
      <w:r w:rsidR="00BF2CE1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на 3,9 млрд. рублей и составили 68,2 млрд. руб.</w:t>
      </w:r>
    </w:p>
    <w:p w:rsidR="001B1342" w:rsidRPr="00FC648C" w:rsidRDefault="00611CD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Из вышеприведенных данных видно, что абсолютная величина государственного внешнего долга Российской Федерации за последние годы стала снижаться, и на сегодняшний день основная проблема заключается не в самой величине внешнего долга, а в непомерной тяжести его обслуживания (уплаты процентов и сумм погашения, которые по оригинальному графику платежей приходятся на данный календарный год) за счет расходов федерального бюджета (</w:t>
      </w:r>
      <w:r w:rsidR="00AE177B" w:rsidRPr="00FC648C">
        <w:rPr>
          <w:rFonts w:ascii="Times New Roman" w:hAnsi="Times New Roman" w:cs="Times New Roman"/>
          <w:sz w:val="28"/>
          <w:szCs w:val="28"/>
        </w:rPr>
        <w:t>Приложение 2</w:t>
      </w:r>
      <w:r w:rsidRPr="00FC648C">
        <w:rPr>
          <w:rFonts w:ascii="Times New Roman" w:hAnsi="Times New Roman" w:cs="Times New Roman"/>
          <w:sz w:val="28"/>
          <w:szCs w:val="28"/>
        </w:rPr>
        <w:t xml:space="preserve"> табл. 2).</w:t>
      </w:r>
    </w:p>
    <w:p w:rsidR="00611CDB" w:rsidRPr="00FC648C" w:rsidRDefault="00611CD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 xml:space="preserve">Расходы по обслуживанию государственного долга становятся фактором торможения реализации политики преодоления опасности техногенных катастроф, запредельного износа фондов и, в целом, обеспечения перевода экономики на уровень развития высоких технологий. В сочетании с продолжающемся процессом утечки капитала из финансового оборота национальной экономики выведение финансовых ресурсов из бюджетной системы резко снижает потенциал развития экономики (отсутствие средств на: 1) развитие производств с нанотехнологиями; 2)разведку новых месторождений; 3)реконструкцию и модернизацию предприятий авиатранспорта; 4) финансирование сельскохозяйственной отрасли и т.д.). </w:t>
      </w:r>
    </w:p>
    <w:p w:rsidR="006905F8" w:rsidRPr="00FC648C" w:rsidRDefault="007253F2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До недавнего времени рынки облигаций в России показывали значительный рост по всем сегментам, что было связано с улучшением кредитного качества национальных компаний,</w:t>
      </w:r>
      <w:r w:rsidR="00BF2CE1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с увеличением количества инвесторов и с благоприятным общим фонов на долговых рынках.</w:t>
      </w:r>
      <w:r w:rsidR="00BF2CE1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 xml:space="preserve">Однако, мировой кредитный кризис, разразившийся во втором полугодии 2007 года, внес серьезные коррективы в данный сегмент экономики. Не помогли даже рекордно высокие цены на нефть и активная поддержка государства. Иностранные инвесторы сбавили темпы покупки российского долга и перестали активно участвовать в новых размещениях, некоторые из них закрыли лимиты на уровень долга ниже суверенного. Для российских корпораций резко снизилось количество возможностей по рефинансированию, это не замедлило отразиться на рынке </w:t>
      </w:r>
      <w:r w:rsidR="006905F8" w:rsidRPr="00FC648C">
        <w:rPr>
          <w:rFonts w:ascii="Times New Roman" w:hAnsi="Times New Roman" w:cs="Times New Roman"/>
          <w:sz w:val="28"/>
          <w:szCs w:val="28"/>
        </w:rPr>
        <w:t xml:space="preserve">первых технических дефолтов из-за невозможности рассчитаться по оферте или даже выплатить купоны. </w:t>
      </w:r>
    </w:p>
    <w:p w:rsidR="007253F2" w:rsidRPr="00FC648C" w:rsidRDefault="006905F8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Подлили масла в огонь крупные кредиты государственных заемщиков со значительной премией к рынку. Это в совокупности с сокращением количества рыночных выпусков привело к существенной переоценке риска на рынке и повышению</w:t>
      </w:r>
      <w:r w:rsidR="00BF2CE1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 xml:space="preserve">стоимости заимствований. </w:t>
      </w:r>
    </w:p>
    <w:p w:rsidR="006905F8" w:rsidRPr="00FC648C" w:rsidRDefault="006905F8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Но рынок не закрылся окончательно, уже начиная с февраля-марта 2008 года объемы первичных размещений начали соответствовать докризисным.</w:t>
      </w:r>
      <w:r w:rsidR="00BF2CE1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="00787905" w:rsidRPr="00FC648C">
        <w:rPr>
          <w:rFonts w:ascii="Times New Roman" w:hAnsi="Times New Roman" w:cs="Times New Roman"/>
          <w:sz w:val="28"/>
          <w:szCs w:val="28"/>
        </w:rPr>
        <w:t>Основной поддержкой для рынка стала уже состоявшаяся и имеющая серьезные позиции внутренняя база инвесторов – местные банки и управляющие компании. Можно отметить явный рост в рейтингах организаторов частных российских банков и выпадение из Топ-15 некоторых иностранных участников. (Приложение 3 табл. 1). Другим важным фактором восстановления рынка облигаций является возможность занимать на внешних рынках, где присутствует положительная динамика.</w:t>
      </w:r>
    </w:p>
    <w:p w:rsidR="00787905" w:rsidRPr="00FC648C" w:rsidRDefault="00787905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До недавнего времени в большинстве прогнозов по рынку облигационных заимствований присутствовала положительная направленность. Предполагалось, что несмотря на возросшую инфляцию, размещения будут сохранять свои объемы, либо возможно их незначительное уменьшение, а ставки привлечения будут выше, но не намного. При достаточной общей ликвидности на рынке мало кто прогнозировал кризисную ситуацию. Более того,</w:t>
      </w:r>
      <w:r w:rsidR="00BF2CE1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некоторые аналитики считали, что сектор облигационных займов будет только укрепляться. Однако в возникших условиях нестабильности ставки привлечения средств значительно выросли. Ставки по высококачественным облигациям выросли на 1,5 процента. В связи с ухудшением общей ситуации на рынке заимствований складываются негативные условия, когда у предприятий появляются кассовые разрывы, эмитенты не способны выплачивать по офертам, возникают технические дефолты. Как следствие кредитные организации стали давать взаймы только надежным эмитентам, причем под более высокие ставки. Таким образом, в условиях кризиса произошел сдвиг в сторону высококачественных бумаг с государственным участием, с рейтингами от международных рейтинговых агентств (Приложение 3 табл. 2). Другие эмитенты становятся неликвидны, их бумаги приходится держать до погашения. Однако в условиях кредитного кризиса появляются инвесторы-спекулянты и фонды, пытающиеся сыграть на скупке высокодоходных рискованных инструментов. На ближайший год на валютном облигационном рынке ожидается ухудшение ситуации как минимум на 6 месяцев. Основными негативными факторами являются рост процентных ставок</w:t>
      </w:r>
      <w:r w:rsidR="00BF2CE1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и выход нерезидентов с рынка из-за политических рисков. Восстановление рынка может начаться через один год. Инвесторам не имеет смысла покупать бумаги с низкой доходностью, если доходность банковских депозитов будет выше.</w:t>
      </w:r>
    </w:p>
    <w:p w:rsidR="00FC623B" w:rsidRPr="00FC648C" w:rsidRDefault="00787905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Общий внешний долг России за 2007 г. вырос на 48% - до 459,6 млрд. долл., говорится в материалах ЦБ РФ. Задолженность органов госуправления за год уменьшилась на 16,2% до 37,4 млрд.долл. а долг российских банков перед нерезидентами, напротив, увеличился сразу на 618% до 163,7 млрд.долл.</w:t>
      </w:r>
    </w:p>
    <w:p w:rsidR="00FC623B" w:rsidRPr="00FC648C" w:rsidRDefault="00787905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Председатель Счетной палаты РФ Сергей Степашин сообщил, что на 1 января 2008 года корпоративный долг РФ составлял430 млрд.долл. (33% ВВП). Из этой суммы почти 90% приходится на долг российских корпораций и банков по кредитам иностранным банкам. Такая зависимость при ухудшении конъюнктуры и снижении финансовой устойчивости создает риски, в том числе и для бюджетной системы. Именно на это Счетная палата обращала внимание Правительства и Президента, и С. Степашин полагает, что соответствующие меры будут приняты.</w:t>
      </w:r>
    </w:p>
    <w:p w:rsidR="00787905" w:rsidRPr="00FC648C" w:rsidRDefault="00787905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Внешний долг России за 1 квартал 2008 г. сократился с 44,9 млрд.долл. до 44,1 млрд.долл. задолженность перед странами – членами Парижского клуба на 1 апреля 2008 г. составила 1,6 млрд.долл., сообщает Минфин РФ. Перед странами, не входящими в Парижский клуб – 2,2 млрд.долл. Перед бывшими странами Совета экономической взаимопомощи – 1,65 млрд. другим странам бывший СССР задолжал 0,7 млрд.долл.</w:t>
      </w:r>
      <w:r w:rsidR="00BF2CE1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Задолженность перед международными финансовыми организациями составила 4,8 млрд., по еврооблигационным займам – 28,2 млрд., по облигациям внутреннего валютного займа – 4,5 млрд.долл.</w:t>
      </w:r>
    </w:p>
    <w:p w:rsidR="00787905" w:rsidRPr="00FC648C" w:rsidRDefault="00611CD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Все это говорит о необходимости продолжения переговорного процесса по реструктуризации внешнего долга. Надо не только стремиться к</w:t>
      </w:r>
      <w:r w:rsidR="00BF2CE1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 xml:space="preserve">избавлению от внешнего долга, но главное </w:t>
      </w:r>
      <w:r w:rsidR="00392BC4" w:rsidRPr="00FC648C">
        <w:rPr>
          <w:rFonts w:ascii="Times New Roman" w:hAnsi="Times New Roman" w:cs="Times New Roman"/>
          <w:sz w:val="28"/>
          <w:szCs w:val="28"/>
        </w:rPr>
        <w:t>-</w:t>
      </w:r>
      <w:r w:rsidRPr="00FC648C">
        <w:rPr>
          <w:rFonts w:ascii="Times New Roman" w:hAnsi="Times New Roman" w:cs="Times New Roman"/>
          <w:sz w:val="28"/>
          <w:szCs w:val="28"/>
        </w:rPr>
        <w:t xml:space="preserve"> уметь эффективно его использовать на благо отечественной экономики. Для этого нужны глобальные и эффективные инвестиционные проекты и надежная кредитно-банковская система.</w:t>
      </w:r>
    </w:p>
    <w:p w:rsidR="00611CDB" w:rsidRPr="00FC648C" w:rsidRDefault="00611CD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Текущая ситуация в области государственных заимствований характеризуется проведением достаточно взвешенной политики в области внешних и внутренних заимствований, а также переходом к применению методов активного управления долгом с целью сокращения расходов на его обслуживание.</w:t>
      </w:r>
    </w:p>
    <w:p w:rsidR="00611CDB" w:rsidRPr="00FC648C" w:rsidRDefault="00611CD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При этом акцент в политике государственного заимствования на неуклонное снижение внешнего долга (вне зависимости от реального финансового состояния и потребностей развития) снижает потенциал этого важнейшего института развития национальной экономики, особенно важного в условиях активной ее интеграции в мировое экономическое</w:t>
      </w:r>
      <w:r w:rsidR="00FC623B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сообщество.</w:t>
      </w:r>
    </w:p>
    <w:p w:rsidR="00F016B9" w:rsidRPr="00FC648C" w:rsidRDefault="00F016B9" w:rsidP="00BF2CE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1F06" w:rsidRPr="00FC648C" w:rsidRDefault="00FC623B" w:rsidP="00BF2CE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48C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6E1F06" w:rsidRPr="00FC648C">
        <w:rPr>
          <w:rFonts w:ascii="Times New Roman" w:hAnsi="Times New Roman" w:cs="Times New Roman"/>
          <w:b/>
          <w:bCs/>
          <w:sz w:val="28"/>
          <w:szCs w:val="28"/>
        </w:rPr>
        <w:t>Практикум</w:t>
      </w:r>
    </w:p>
    <w:p w:rsidR="00FC623B" w:rsidRPr="00FC648C" w:rsidRDefault="00FC623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F06" w:rsidRPr="00FC648C" w:rsidRDefault="006E1F06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Правительство для реализации инвестиционного проекта получило от транснационального банка заем в размере 300 млн. долл. По годовой ставке 5%, который позволяет ежегодно увеличивать ВВП на 30 млн. долл.</w:t>
      </w:r>
    </w:p>
    <w:p w:rsidR="006E1F06" w:rsidRPr="00FC648C" w:rsidRDefault="006E1F06" w:rsidP="00BF2CE1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Возрастет ли при этих условиях сумма долга правительства?</w:t>
      </w:r>
    </w:p>
    <w:p w:rsidR="00B1281B" w:rsidRPr="00FC648C" w:rsidRDefault="006E1F06" w:rsidP="00BF2CE1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 xml:space="preserve">Увеличатся ли </w:t>
      </w:r>
      <w:r w:rsidR="00B1281B" w:rsidRPr="00FC648C">
        <w:rPr>
          <w:rFonts w:ascii="Times New Roman" w:hAnsi="Times New Roman" w:cs="Times New Roman"/>
          <w:sz w:val="28"/>
          <w:szCs w:val="28"/>
        </w:rPr>
        <w:t>налоги на граждан данной страны в связи с новыми долговыми обязательствами</w:t>
      </w:r>
      <w:r w:rsidR="00BF2CE1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="00B1281B" w:rsidRPr="00FC648C">
        <w:rPr>
          <w:rFonts w:ascii="Times New Roman" w:hAnsi="Times New Roman" w:cs="Times New Roman"/>
          <w:sz w:val="28"/>
          <w:szCs w:val="28"/>
        </w:rPr>
        <w:t>правительства? Почему?</w:t>
      </w:r>
    </w:p>
    <w:p w:rsidR="006E1F06" w:rsidRPr="00FC648C" w:rsidRDefault="002402CF" w:rsidP="00BF2CE1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Ч</w:t>
      </w:r>
      <w:r w:rsidR="00B1281B" w:rsidRPr="00FC648C">
        <w:rPr>
          <w:rFonts w:ascii="Times New Roman" w:hAnsi="Times New Roman" w:cs="Times New Roman"/>
          <w:sz w:val="28"/>
          <w:szCs w:val="28"/>
        </w:rPr>
        <w:t xml:space="preserve">ерез сколько </w:t>
      </w:r>
      <w:r w:rsidR="00557D11" w:rsidRPr="00FC648C">
        <w:rPr>
          <w:rFonts w:ascii="Times New Roman" w:hAnsi="Times New Roman" w:cs="Times New Roman"/>
          <w:sz w:val="28"/>
          <w:szCs w:val="28"/>
        </w:rPr>
        <w:t>лет</w:t>
      </w:r>
      <w:r w:rsidR="00B1281B" w:rsidRPr="00FC648C">
        <w:rPr>
          <w:rFonts w:ascii="Times New Roman" w:hAnsi="Times New Roman" w:cs="Times New Roman"/>
          <w:sz w:val="28"/>
          <w:szCs w:val="28"/>
        </w:rPr>
        <w:t xml:space="preserve"> возможно будет полностью погасить долг?</w:t>
      </w:r>
    </w:p>
    <w:p w:rsidR="00B04942" w:rsidRPr="00FC648C" w:rsidRDefault="00B04942" w:rsidP="00BF2CE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48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4522E" w:rsidRPr="00FC648C" w:rsidRDefault="00B04942" w:rsidP="00BF2CE1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 xml:space="preserve">В данных условиях сумма долга правительства </w:t>
      </w:r>
      <w:r w:rsidR="00263092" w:rsidRPr="00FC648C">
        <w:rPr>
          <w:rFonts w:ascii="Times New Roman" w:hAnsi="Times New Roman" w:cs="Times New Roman"/>
          <w:sz w:val="28"/>
          <w:szCs w:val="28"/>
        </w:rPr>
        <w:t xml:space="preserve">не возрастет, так как </w:t>
      </w:r>
      <w:r w:rsidRPr="00FC648C">
        <w:rPr>
          <w:rFonts w:ascii="Times New Roman" w:hAnsi="Times New Roman" w:cs="Times New Roman"/>
          <w:sz w:val="28"/>
          <w:szCs w:val="28"/>
        </w:rPr>
        <w:t>сумма ежегодных платежей по долгу не будет превышать годового объема ВВП, что позволит уменьшать сумму долга правительства</w:t>
      </w:r>
      <w:r w:rsidR="00D4522E" w:rsidRPr="00FC648C">
        <w:rPr>
          <w:rFonts w:ascii="Times New Roman" w:hAnsi="Times New Roman" w:cs="Times New Roman"/>
          <w:sz w:val="28"/>
          <w:szCs w:val="28"/>
        </w:rPr>
        <w:t>.</w:t>
      </w:r>
    </w:p>
    <w:p w:rsidR="00D4522E" w:rsidRPr="00FC648C" w:rsidRDefault="00D4522E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15 млн. долл. – ежегодный платеж (300 млн. долл. – 100%, х – 5%, х=15 млн. долл.)</w:t>
      </w:r>
    </w:p>
    <w:p w:rsidR="00D4522E" w:rsidRPr="00FC648C" w:rsidRDefault="00D4522E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 xml:space="preserve">30 млн. долл. – годовой объем ВВП. </w:t>
      </w:r>
    </w:p>
    <w:p w:rsidR="00D4522E" w:rsidRPr="00FC648C" w:rsidRDefault="00D4522E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 xml:space="preserve">15 млн. долл. &lt; 30 млн. долл. </w:t>
      </w:r>
    </w:p>
    <w:p w:rsidR="00D4522E" w:rsidRPr="00FC648C" w:rsidRDefault="00D4522E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2.</w:t>
      </w:r>
      <w:r w:rsidR="00BF2CE1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В связи с новыми долговыми обязательствами правительства налоги на граждан данной страны не увеличатся, т.к. ужесточение налоговой политики используется правительством в периоды увеличения задолженности (государство может использовать налоговую политику в целях нейтрализации нежелательных явлений государственного долга: ее ужесточение в период увеличения задолженности и смягчение в период погашения долговых обязательств</w:t>
      </w:r>
      <w:r w:rsidRPr="00FC648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C648C">
        <w:rPr>
          <w:rFonts w:ascii="Times New Roman" w:hAnsi="Times New Roman" w:cs="Times New Roman"/>
          <w:sz w:val="28"/>
          <w:szCs w:val="28"/>
        </w:rPr>
        <w:t>), чего не происходит в данных условиях.</w:t>
      </w:r>
    </w:p>
    <w:p w:rsidR="00B1281B" w:rsidRPr="00FC648C" w:rsidRDefault="00263092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3. Полностью погасить долг можно будет через 20 лет.</w:t>
      </w:r>
    </w:p>
    <w:p w:rsidR="00263092" w:rsidRPr="00FC648C" w:rsidRDefault="00263092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300 млн. долл. – общая сумма долга.</w:t>
      </w:r>
    </w:p>
    <w:p w:rsidR="00263092" w:rsidRPr="00FC648C" w:rsidRDefault="00263092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15 млн. долл. – ежегодный платеж.</w:t>
      </w:r>
    </w:p>
    <w:p w:rsidR="00263092" w:rsidRPr="00FC648C" w:rsidRDefault="00263092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300 млн. долл./15 млн. долл. = 20 лет – срок полного погашения долга.</w:t>
      </w:r>
    </w:p>
    <w:p w:rsidR="004D5473" w:rsidRPr="00FC648C" w:rsidRDefault="00FC623B" w:rsidP="00BF2CE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br w:type="page"/>
      </w:r>
      <w:r w:rsidR="004D5473" w:rsidRPr="00FC648C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FC623B" w:rsidRPr="00FC648C" w:rsidRDefault="00FC623B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473" w:rsidRPr="00FC648C" w:rsidRDefault="004D5473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Государственный долг – совокупность дефицита государственного бюджета за определенный период. Основными причинами образования государственного долга являются дефицит бюджета и наличие свободных денежных средств у физических и юридических лиц.</w:t>
      </w:r>
    </w:p>
    <w:p w:rsidR="004D5473" w:rsidRPr="00FC648C" w:rsidRDefault="004D5473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Государственный долг можно классифицировать по различным критериям. По валютному критерию государственный долг делится на внутренний и внешний: рублевые долги относятся к внутреннему долгу, а валютные – к внешнему.</w:t>
      </w:r>
      <w:r w:rsidR="00BF2CE1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 xml:space="preserve">В международной практике есть и другое определение внешнего долга – как совокупного долга нерезидентам, а внутреннего долга – как совокупного долга резидентам. </w:t>
      </w:r>
    </w:p>
    <w:p w:rsidR="004D5473" w:rsidRPr="00FC648C" w:rsidRDefault="004D5473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Государственный долг также делится на капитальный и текущий. Капитальный долг – вся сумма выпущенных и непогашенных долговых обязательств государства,</w:t>
      </w:r>
      <w:r w:rsidR="00BF2CE1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>включая проценты. Текущий долг – это расходы по выплате доходов и погашению обязательств.</w:t>
      </w:r>
    </w:p>
    <w:p w:rsidR="004D5473" w:rsidRPr="00FC648C" w:rsidRDefault="004D5473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Управление государственным долгом является составной частью финансовой политики любой страны. Существуют различные формы управления государственным долгом.</w:t>
      </w:r>
    </w:p>
    <w:p w:rsidR="004D5473" w:rsidRPr="00FC648C" w:rsidRDefault="004D5473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Проблемы государственного долга затрагивают широкий спектр социально-экономических последствий внутренних и внешних заимствований как в краткосрочной, так и долгосрочной перспективе.</w:t>
      </w:r>
    </w:p>
    <w:p w:rsidR="004D5473" w:rsidRPr="00FC648C" w:rsidRDefault="004D5473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В России действует единая система учета и регистрации государственного долга. Основным результатом реформирования системы управления государственным долгом должно явиться улучшение репутации Российской Федерации на международных рынках, существенное уменьшение рисков, связанных с заимствованиями и управлением государственным долгом, сокращение зависимости расходов федерального бюджета по погашению и обслуживанию государственного долга от изменения рыночной конъюнктуры, обеспечение доступа России на внутренние и внешние рынки заимствований, снижение стоимости заимствований, повышение степени доверия кредиторов и инвесторов к заемной политике Правительства РФ, выход России на качественный уровень заимствований и управления государственным долгом, соответствующий международным критериям.</w:t>
      </w:r>
    </w:p>
    <w:p w:rsidR="004C645C" w:rsidRPr="00FC648C" w:rsidRDefault="004C645C" w:rsidP="004C645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48C">
        <w:rPr>
          <w:rFonts w:ascii="Times New Roman" w:hAnsi="Times New Roman" w:cs="Times New Roman"/>
          <w:vanish/>
          <w:sz w:val="28"/>
          <w:szCs w:val="28"/>
        </w:rPr>
        <w:br w:type="page"/>
      </w:r>
      <w:r w:rsidRPr="00FC648C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4C645C" w:rsidRPr="00FC648C" w:rsidRDefault="004C645C" w:rsidP="004C64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45C" w:rsidRPr="00FC648C" w:rsidRDefault="004C645C" w:rsidP="004C645C">
      <w:pPr>
        <w:widowControl/>
        <w:numPr>
          <w:ilvl w:val="0"/>
          <w:numId w:val="5"/>
        </w:numPr>
        <w:tabs>
          <w:tab w:val="left" w:pos="36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Бункина М.К., Семенов А.М., Семенов В.А. Макроэкономика: Учебник. – 3-е изд., перераб. и доп. – М.: Издательство «Дело и сервис», 2000.</w:t>
      </w:r>
    </w:p>
    <w:p w:rsidR="004C645C" w:rsidRPr="00FC648C" w:rsidRDefault="004C645C" w:rsidP="004C645C">
      <w:pPr>
        <w:widowControl/>
        <w:numPr>
          <w:ilvl w:val="0"/>
          <w:numId w:val="5"/>
        </w:numPr>
        <w:tabs>
          <w:tab w:val="left" w:pos="36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Вечканов Г.С., Вечканова Г.Р. Макроэкономика. – СПб.: Питер, 2001.</w:t>
      </w:r>
    </w:p>
    <w:p w:rsidR="004C645C" w:rsidRPr="00FC648C" w:rsidRDefault="004C645C" w:rsidP="004C645C">
      <w:pPr>
        <w:widowControl/>
        <w:numPr>
          <w:ilvl w:val="0"/>
          <w:numId w:val="5"/>
        </w:numPr>
        <w:tabs>
          <w:tab w:val="left" w:pos="36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Виноградов В.В. Экономика России: Учеб. Пособие. – М.: Юритсъ, 2002.</w:t>
      </w:r>
    </w:p>
    <w:p w:rsidR="004C645C" w:rsidRPr="00FC648C" w:rsidRDefault="004C645C" w:rsidP="004C645C">
      <w:pPr>
        <w:widowControl/>
        <w:numPr>
          <w:ilvl w:val="0"/>
          <w:numId w:val="5"/>
        </w:numPr>
        <w:tabs>
          <w:tab w:val="left" w:pos="36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Годин А.М., Максимова Н.С., Подпорина И.В. бюджетная система Российской Федерации: Учебник. – 2-е изд., испр. и доп. – М.: Издательско-торговая корпорация «Дашков и К</w:t>
      </w:r>
      <w:r w:rsidRPr="00FC648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FC648C">
        <w:rPr>
          <w:rFonts w:ascii="Times New Roman" w:hAnsi="Times New Roman" w:cs="Times New Roman"/>
          <w:sz w:val="28"/>
          <w:szCs w:val="28"/>
        </w:rPr>
        <w:t>», 2006.</w:t>
      </w:r>
    </w:p>
    <w:p w:rsidR="004C645C" w:rsidRPr="00FC648C" w:rsidRDefault="004C645C" w:rsidP="004C645C">
      <w:pPr>
        <w:widowControl/>
        <w:numPr>
          <w:ilvl w:val="0"/>
          <w:numId w:val="5"/>
        </w:numPr>
        <w:tabs>
          <w:tab w:val="left" w:pos="36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Куликов Л.М. Основы экономических знаний: Учеб. пособие. – М.: Финансы и статистика, 1997.</w:t>
      </w:r>
    </w:p>
    <w:p w:rsidR="004C645C" w:rsidRPr="00FC648C" w:rsidRDefault="004C645C" w:rsidP="004C645C">
      <w:pPr>
        <w:widowControl/>
        <w:numPr>
          <w:ilvl w:val="0"/>
          <w:numId w:val="5"/>
        </w:numPr>
        <w:tabs>
          <w:tab w:val="left" w:pos="36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Курс экономической теории/ Под ред. М.Н. Чепурина. – М.: АСА, 1996.</w:t>
      </w:r>
    </w:p>
    <w:p w:rsidR="004C645C" w:rsidRPr="00FC648C" w:rsidRDefault="004C645C" w:rsidP="004C645C">
      <w:pPr>
        <w:widowControl/>
        <w:numPr>
          <w:ilvl w:val="0"/>
          <w:numId w:val="5"/>
        </w:numPr>
        <w:tabs>
          <w:tab w:val="left" w:pos="36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Макконнелл К.Р., Брю С.Л. Экономикс. – М.: Республика, 1992.</w:t>
      </w:r>
    </w:p>
    <w:p w:rsidR="004C645C" w:rsidRPr="00FC648C" w:rsidRDefault="004C645C" w:rsidP="004C645C">
      <w:pPr>
        <w:widowControl/>
        <w:numPr>
          <w:ilvl w:val="0"/>
          <w:numId w:val="5"/>
        </w:numPr>
        <w:tabs>
          <w:tab w:val="left" w:pos="36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Теоретическая экономика (политэкономия)./ Под ред. Г.П. Журавлевой. – М.: ЮНИТИ, 1997.</w:t>
      </w:r>
    </w:p>
    <w:p w:rsidR="004C645C" w:rsidRPr="00FC648C" w:rsidRDefault="004C645C" w:rsidP="004C645C">
      <w:pPr>
        <w:widowControl/>
        <w:numPr>
          <w:ilvl w:val="0"/>
          <w:numId w:val="5"/>
        </w:numPr>
        <w:tabs>
          <w:tab w:val="left" w:pos="36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Учебник по основам экономической теории/ Под ред. Камаева В. Д. – М.: ВЛАДОС, 1996.</w:t>
      </w:r>
    </w:p>
    <w:p w:rsidR="004C645C" w:rsidRPr="00FC648C" w:rsidRDefault="004C645C" w:rsidP="004C645C">
      <w:pPr>
        <w:widowControl/>
        <w:numPr>
          <w:ilvl w:val="0"/>
          <w:numId w:val="5"/>
        </w:numPr>
        <w:tabs>
          <w:tab w:val="left" w:pos="36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 xml:space="preserve"> Экономическая теория: Учебник/ Под ред. И.П. Николаевой. – М.: «Проспект», 2000.</w:t>
      </w:r>
    </w:p>
    <w:p w:rsidR="004C645C" w:rsidRPr="00FC648C" w:rsidRDefault="004C645C" w:rsidP="004C645C">
      <w:pPr>
        <w:widowControl/>
        <w:numPr>
          <w:ilvl w:val="0"/>
          <w:numId w:val="5"/>
        </w:numPr>
        <w:tabs>
          <w:tab w:val="left" w:pos="36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Васильев К. Мировой кризис и российский долговой рынок.// Консультант. 2008. № 17.</w:t>
      </w:r>
    </w:p>
    <w:p w:rsidR="004C645C" w:rsidRPr="00FC648C" w:rsidRDefault="004C645C" w:rsidP="004C645C">
      <w:pPr>
        <w:widowControl/>
        <w:numPr>
          <w:ilvl w:val="0"/>
          <w:numId w:val="5"/>
        </w:numPr>
        <w:tabs>
          <w:tab w:val="left" w:pos="36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 xml:space="preserve"> Воистинова Т. Инвесторы стали осторожней.// Консультант. 2008. № 17.</w:t>
      </w:r>
    </w:p>
    <w:p w:rsidR="004C645C" w:rsidRPr="00FC648C" w:rsidRDefault="004C645C" w:rsidP="004C645C">
      <w:pPr>
        <w:widowControl/>
        <w:numPr>
          <w:ilvl w:val="0"/>
          <w:numId w:val="5"/>
        </w:numPr>
        <w:tabs>
          <w:tab w:val="left" w:pos="36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 xml:space="preserve"> Мещерский А. Тяжкий крест долгов наших.// Аргументы и факты. 1999. № 48.</w:t>
      </w:r>
    </w:p>
    <w:p w:rsidR="004C645C" w:rsidRPr="00FC648C" w:rsidRDefault="004C645C" w:rsidP="004C645C">
      <w:pPr>
        <w:widowControl/>
        <w:numPr>
          <w:ilvl w:val="0"/>
          <w:numId w:val="5"/>
        </w:numPr>
        <w:tabs>
          <w:tab w:val="left" w:pos="36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 xml:space="preserve"> Семенищев С. Парадоксы российского государственного долга.// Финансист. 1999. № 5.</w:t>
      </w:r>
    </w:p>
    <w:p w:rsidR="004C645C" w:rsidRPr="00FC648C" w:rsidRDefault="004C645C" w:rsidP="004C645C">
      <w:pPr>
        <w:widowControl/>
        <w:numPr>
          <w:ilvl w:val="0"/>
          <w:numId w:val="5"/>
        </w:numPr>
        <w:tabs>
          <w:tab w:val="left" w:pos="36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 xml:space="preserve"> Хакамада И. Государственный долг: структура и управление.// Вопросы экономики. 1997. № 4.</w:t>
      </w:r>
    </w:p>
    <w:p w:rsidR="004C645C" w:rsidRPr="00FC648C" w:rsidRDefault="004C645C" w:rsidP="004C645C">
      <w:pPr>
        <w:widowControl/>
        <w:numPr>
          <w:ilvl w:val="0"/>
          <w:numId w:val="5"/>
        </w:numPr>
        <w:tabs>
          <w:tab w:val="left" w:pos="36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Хейфец Б.А. Внешний долг России.// Финансы. 1999. № 2.</w:t>
      </w:r>
    </w:p>
    <w:p w:rsidR="004C645C" w:rsidRPr="00FC648C" w:rsidRDefault="004C645C" w:rsidP="004C645C">
      <w:pPr>
        <w:widowControl/>
        <w:numPr>
          <w:ilvl w:val="0"/>
          <w:numId w:val="5"/>
        </w:numPr>
        <w:tabs>
          <w:tab w:val="left" w:pos="36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«Экономика и жизнь», №13, апрель 2008г. С. 2.</w:t>
      </w:r>
    </w:p>
    <w:p w:rsidR="004C645C" w:rsidRPr="00FC648C" w:rsidRDefault="004C645C" w:rsidP="004C645C">
      <w:pPr>
        <w:widowControl/>
        <w:numPr>
          <w:ilvl w:val="0"/>
          <w:numId w:val="5"/>
        </w:numPr>
        <w:tabs>
          <w:tab w:val="left" w:pos="36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«Экономика и жизнь», № 15, апрель 2008 г. С. 2.</w:t>
      </w:r>
    </w:p>
    <w:p w:rsidR="004C645C" w:rsidRPr="00FC648C" w:rsidRDefault="004C645C" w:rsidP="004C645C">
      <w:pPr>
        <w:widowControl/>
        <w:numPr>
          <w:ilvl w:val="0"/>
          <w:numId w:val="5"/>
        </w:numPr>
        <w:tabs>
          <w:tab w:val="left" w:pos="36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«Экономика и жизнь», №18, май 2008 г. С. 2</w:t>
      </w:r>
      <w:r w:rsidR="00F016B9" w:rsidRPr="00FC648C">
        <w:rPr>
          <w:rFonts w:ascii="Times New Roman" w:hAnsi="Times New Roman" w:cs="Times New Roman"/>
          <w:sz w:val="28"/>
          <w:szCs w:val="28"/>
        </w:rPr>
        <w:t>.</w:t>
      </w:r>
    </w:p>
    <w:p w:rsidR="004C645C" w:rsidRPr="00FC648C" w:rsidRDefault="004C645C" w:rsidP="004C645C">
      <w:pPr>
        <w:widowControl/>
        <w:numPr>
          <w:ilvl w:val="0"/>
          <w:numId w:val="5"/>
        </w:numPr>
        <w:tabs>
          <w:tab w:val="left" w:pos="36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Российский статистический ежегодник: Стат. сб./ Госкомстат России. – М.: Финансы и статистика, 2007.</w:t>
      </w:r>
    </w:p>
    <w:p w:rsidR="004D5473" w:rsidRPr="00FC648C" w:rsidRDefault="009B52C9" w:rsidP="00BF2CE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48C">
        <w:rPr>
          <w:rFonts w:ascii="Times New Roman" w:hAnsi="Times New Roman" w:cs="Times New Roman"/>
          <w:vanish/>
          <w:sz w:val="28"/>
          <w:szCs w:val="28"/>
        </w:rPr>
        <w:br w:type="page"/>
      </w:r>
      <w:r w:rsidR="004D5473" w:rsidRPr="00FC648C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9B52C9" w:rsidRPr="00FC648C" w:rsidRDefault="009B52C9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2C9" w:rsidRPr="00FC648C" w:rsidRDefault="004D5473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648C">
        <w:rPr>
          <w:rFonts w:ascii="Times New Roman" w:hAnsi="Times New Roman" w:cs="Times New Roman"/>
          <w:sz w:val="28"/>
          <w:szCs w:val="28"/>
        </w:rPr>
        <w:t>Таблица 1</w:t>
      </w:r>
      <w:r w:rsidR="009B52C9" w:rsidRPr="00FC648C">
        <w:rPr>
          <w:rFonts w:ascii="Times New Roman" w:hAnsi="Times New Roman" w:cs="Times New Roman"/>
          <w:sz w:val="28"/>
          <w:szCs w:val="28"/>
        </w:rPr>
        <w:t xml:space="preserve"> - </w:t>
      </w:r>
      <w:r w:rsidRPr="00FC648C">
        <w:rPr>
          <w:rFonts w:ascii="Times New Roman" w:hAnsi="Times New Roman" w:cs="Times New Roman"/>
          <w:sz w:val="28"/>
          <w:szCs w:val="28"/>
        </w:rPr>
        <w:t>Внешний долг России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22"/>
        <w:gridCol w:w="828"/>
        <w:gridCol w:w="1063"/>
        <w:gridCol w:w="1063"/>
        <w:gridCol w:w="1064"/>
        <w:gridCol w:w="1064"/>
        <w:gridCol w:w="1064"/>
      </w:tblGrid>
      <w:tr w:rsidR="004D5473" w:rsidRPr="00FD5A2A" w:rsidTr="00FD5A2A">
        <w:trPr>
          <w:trHeight w:val="333"/>
        </w:trPr>
        <w:tc>
          <w:tcPr>
            <w:tcW w:w="198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722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828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06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06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06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06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06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1998</w:t>
            </w:r>
          </w:p>
        </w:tc>
      </w:tr>
      <w:tr w:rsidR="004D5473" w:rsidRPr="00FD5A2A" w:rsidTr="00FD5A2A">
        <w:trPr>
          <w:trHeight w:val="333"/>
        </w:trPr>
        <w:tc>
          <w:tcPr>
            <w:tcW w:w="198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Внешний долг</w:t>
            </w:r>
          </w:p>
        </w:tc>
        <w:tc>
          <w:tcPr>
            <w:tcW w:w="722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D5473" w:rsidRPr="00FD5A2A" w:rsidTr="00FD5A2A">
        <w:trPr>
          <w:trHeight w:val="652"/>
        </w:trPr>
        <w:tc>
          <w:tcPr>
            <w:tcW w:w="198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СССР, млрд. долл.</w:t>
            </w:r>
          </w:p>
        </w:tc>
        <w:tc>
          <w:tcPr>
            <w:tcW w:w="722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28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06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6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06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106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95,0</w:t>
            </w:r>
          </w:p>
        </w:tc>
      </w:tr>
      <w:tr w:rsidR="004D5473" w:rsidRPr="00FD5A2A" w:rsidTr="00FD5A2A">
        <w:trPr>
          <w:trHeight w:val="666"/>
        </w:trPr>
        <w:tc>
          <w:tcPr>
            <w:tcW w:w="198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России, млрд. долл.</w:t>
            </w:r>
          </w:p>
        </w:tc>
        <w:tc>
          <w:tcPr>
            <w:tcW w:w="722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28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06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06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06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06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06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55,0</w:t>
            </w:r>
          </w:p>
        </w:tc>
      </w:tr>
      <w:tr w:rsidR="004D5473" w:rsidRPr="00FD5A2A" w:rsidTr="00FD5A2A">
        <w:trPr>
          <w:trHeight w:val="666"/>
        </w:trPr>
        <w:tc>
          <w:tcPr>
            <w:tcW w:w="198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Обслуживание долга % ВВП</w:t>
            </w:r>
          </w:p>
        </w:tc>
        <w:tc>
          <w:tcPr>
            <w:tcW w:w="722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28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6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6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6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6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1,2</w:t>
            </w:r>
          </w:p>
        </w:tc>
      </w:tr>
    </w:tbl>
    <w:p w:rsidR="004D5473" w:rsidRPr="00FC648C" w:rsidRDefault="004D5473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473" w:rsidRPr="00FC648C" w:rsidRDefault="004D5473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Таблица 2</w:t>
      </w:r>
      <w:r w:rsidR="00BF2CE1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="009B52C9" w:rsidRPr="00FC648C">
        <w:rPr>
          <w:rFonts w:ascii="Times New Roman" w:hAnsi="Times New Roman" w:cs="Times New Roman"/>
          <w:sz w:val="28"/>
          <w:szCs w:val="28"/>
        </w:rPr>
        <w:t xml:space="preserve">- </w:t>
      </w:r>
      <w:r w:rsidRPr="00FC648C">
        <w:rPr>
          <w:rFonts w:ascii="Times New Roman" w:hAnsi="Times New Roman" w:cs="Times New Roman"/>
          <w:sz w:val="28"/>
          <w:szCs w:val="28"/>
        </w:rPr>
        <w:t>Процентные расходы федерального бюджета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1074"/>
        <w:gridCol w:w="1073"/>
        <w:gridCol w:w="1073"/>
        <w:gridCol w:w="1073"/>
        <w:gridCol w:w="1081"/>
        <w:gridCol w:w="1081"/>
        <w:gridCol w:w="1081"/>
      </w:tblGrid>
      <w:tr w:rsidR="004D5473" w:rsidRPr="00FD5A2A" w:rsidTr="00FD5A2A">
        <w:trPr>
          <w:trHeight w:val="347"/>
        </w:trPr>
        <w:tc>
          <w:tcPr>
            <w:tcW w:w="148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07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07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07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07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08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08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08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1998</w:t>
            </w:r>
          </w:p>
        </w:tc>
      </w:tr>
      <w:tr w:rsidR="004D5473" w:rsidRPr="00FD5A2A" w:rsidTr="00FD5A2A">
        <w:trPr>
          <w:trHeight w:val="1040"/>
        </w:trPr>
        <w:tc>
          <w:tcPr>
            <w:tcW w:w="148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Процентные расходы, млрд. руб.</w:t>
            </w:r>
          </w:p>
        </w:tc>
        <w:tc>
          <w:tcPr>
            <w:tcW w:w="107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7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07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07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08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125,4</w:t>
            </w:r>
          </w:p>
        </w:tc>
        <w:tc>
          <w:tcPr>
            <w:tcW w:w="108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114,5</w:t>
            </w:r>
          </w:p>
        </w:tc>
        <w:tc>
          <w:tcPr>
            <w:tcW w:w="108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148,2</w:t>
            </w:r>
          </w:p>
        </w:tc>
      </w:tr>
      <w:tr w:rsidR="004D5473" w:rsidRPr="00FD5A2A" w:rsidTr="00FD5A2A">
        <w:trPr>
          <w:trHeight w:val="679"/>
        </w:trPr>
        <w:tc>
          <w:tcPr>
            <w:tcW w:w="148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 xml:space="preserve">В том числе в % к </w:t>
            </w:r>
          </w:p>
        </w:tc>
        <w:tc>
          <w:tcPr>
            <w:tcW w:w="107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D5473" w:rsidRPr="00FD5A2A" w:rsidTr="00FD5A2A">
        <w:trPr>
          <w:trHeight w:val="694"/>
        </w:trPr>
        <w:tc>
          <w:tcPr>
            <w:tcW w:w="148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Официальному ВВП</w:t>
            </w:r>
          </w:p>
        </w:tc>
        <w:tc>
          <w:tcPr>
            <w:tcW w:w="107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7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7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7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08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08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08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5,4</w:t>
            </w:r>
          </w:p>
        </w:tc>
      </w:tr>
      <w:tr w:rsidR="004D5473" w:rsidRPr="00FD5A2A" w:rsidTr="00FD5A2A">
        <w:trPr>
          <w:trHeight w:val="694"/>
        </w:trPr>
        <w:tc>
          <w:tcPr>
            <w:tcW w:w="148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Легальному ВВП</w:t>
            </w:r>
          </w:p>
        </w:tc>
        <w:tc>
          <w:tcPr>
            <w:tcW w:w="107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7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7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07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08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08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08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8,7</w:t>
            </w:r>
          </w:p>
        </w:tc>
      </w:tr>
      <w:tr w:rsidR="004D5473" w:rsidRPr="00FD5A2A" w:rsidTr="00FD5A2A">
        <w:trPr>
          <w:trHeight w:val="1040"/>
        </w:trPr>
        <w:tc>
          <w:tcPr>
            <w:tcW w:w="148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Расходам федерального бюджета</w:t>
            </w:r>
          </w:p>
        </w:tc>
        <w:tc>
          <w:tcPr>
            <w:tcW w:w="107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7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07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07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08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08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08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34,9</w:t>
            </w:r>
          </w:p>
        </w:tc>
      </w:tr>
    </w:tbl>
    <w:p w:rsidR="004D5473" w:rsidRPr="00FC648C" w:rsidRDefault="009B52C9" w:rsidP="00BF2CE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br w:type="page"/>
      </w:r>
      <w:r w:rsidR="004D5473" w:rsidRPr="00FC648C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:rsidR="009B52C9" w:rsidRPr="00FC648C" w:rsidRDefault="009B52C9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473" w:rsidRPr="00FC648C" w:rsidRDefault="009B52C9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>Таблица 3</w:t>
      </w:r>
      <w:r w:rsidR="00BF2CE1" w:rsidRPr="00FC648C">
        <w:rPr>
          <w:rFonts w:ascii="Times New Roman" w:hAnsi="Times New Roman" w:cs="Times New Roman"/>
          <w:sz w:val="28"/>
          <w:szCs w:val="28"/>
        </w:rPr>
        <w:t xml:space="preserve"> </w:t>
      </w:r>
      <w:r w:rsidRPr="00FC648C">
        <w:rPr>
          <w:rFonts w:ascii="Times New Roman" w:hAnsi="Times New Roman" w:cs="Times New Roman"/>
          <w:sz w:val="28"/>
          <w:szCs w:val="28"/>
        </w:rPr>
        <w:t xml:space="preserve">- </w:t>
      </w:r>
      <w:r w:rsidR="004D5473" w:rsidRPr="00FC648C">
        <w:rPr>
          <w:rFonts w:ascii="Times New Roman" w:hAnsi="Times New Roman" w:cs="Times New Roman"/>
          <w:sz w:val="28"/>
          <w:szCs w:val="28"/>
        </w:rPr>
        <w:t>Динамика и структура государственного долга Российской Федерации (на конец года) в % к ВВП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8"/>
        <w:gridCol w:w="2282"/>
        <w:gridCol w:w="2282"/>
        <w:gridCol w:w="2322"/>
      </w:tblGrid>
      <w:tr w:rsidR="004D5473" w:rsidRPr="00FC648C">
        <w:trPr>
          <w:trHeight w:hRule="exact" w:val="475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BF2CE1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 xml:space="preserve"> </w:t>
            </w:r>
            <w:r w:rsidR="004D5473" w:rsidRPr="00FC648C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Внешний долг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Внутренний долг</w:t>
            </w:r>
          </w:p>
        </w:tc>
      </w:tr>
      <w:tr w:rsidR="004D5473" w:rsidRPr="00FC648C">
        <w:trPr>
          <w:trHeight w:hRule="exact" w:val="378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19,8</w:t>
            </w:r>
          </w:p>
        </w:tc>
      </w:tr>
      <w:tr w:rsidR="004D5473" w:rsidRPr="00FC648C">
        <w:trPr>
          <w:trHeight w:hRule="exact" w:val="361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146,4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118,6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27,8</w:t>
            </w:r>
          </w:p>
        </w:tc>
      </w:tr>
      <w:tr w:rsidR="004D5473" w:rsidRPr="00FC648C">
        <w:trPr>
          <w:trHeight w:hRule="exact" w:val="361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12,1</w:t>
            </w:r>
          </w:p>
        </w:tc>
      </w:tr>
      <w:tr w:rsidR="004D5473" w:rsidRPr="00FC648C">
        <w:trPr>
          <w:trHeight w:hRule="exact" w:val="361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7,6</w:t>
            </w:r>
          </w:p>
        </w:tc>
      </w:tr>
      <w:tr w:rsidR="004D5473" w:rsidRPr="00FC648C">
        <w:trPr>
          <w:trHeight w:hRule="exact" w:val="378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5,9</w:t>
            </w:r>
          </w:p>
        </w:tc>
      </w:tr>
      <w:tr w:rsidR="004D5473" w:rsidRPr="00FC648C">
        <w:trPr>
          <w:trHeight w:hRule="exact" w:val="361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6,9</w:t>
            </w:r>
          </w:p>
        </w:tc>
      </w:tr>
      <w:tr w:rsidR="004D5473" w:rsidRPr="00FC648C">
        <w:trPr>
          <w:trHeight w:hRule="exact" w:val="361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6,3</w:t>
            </w:r>
          </w:p>
        </w:tc>
      </w:tr>
      <w:tr w:rsidR="004D5473" w:rsidRPr="00FC648C">
        <w:trPr>
          <w:trHeight w:hRule="exact" w:val="361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5,2</w:t>
            </w:r>
          </w:p>
        </w:tc>
      </w:tr>
      <w:tr w:rsidR="004D5473" w:rsidRPr="00FC648C">
        <w:trPr>
          <w:trHeight w:hRule="exact" w:val="475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5,3</w:t>
            </w:r>
          </w:p>
        </w:tc>
      </w:tr>
    </w:tbl>
    <w:p w:rsidR="004D5473" w:rsidRPr="00FC648C" w:rsidRDefault="004D5473" w:rsidP="00BF2CE1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D5473" w:rsidRPr="00FC648C" w:rsidRDefault="004D5473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B52C9" w:rsidRPr="00FC648C">
        <w:rPr>
          <w:rFonts w:ascii="Times New Roman" w:hAnsi="Times New Roman" w:cs="Times New Roman"/>
          <w:sz w:val="28"/>
          <w:szCs w:val="28"/>
        </w:rPr>
        <w:t>4</w:t>
      </w:r>
      <w:r w:rsidRPr="00FC64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B52C9" w:rsidRPr="00FC648C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FC648C">
        <w:rPr>
          <w:rFonts w:ascii="Times New Roman" w:hAnsi="Times New Roman" w:cs="Times New Roman"/>
          <w:sz w:val="28"/>
          <w:szCs w:val="28"/>
        </w:rPr>
        <w:t>Погашение и обслуживание государственного долга (% ВВП)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7"/>
        <w:gridCol w:w="2062"/>
        <w:gridCol w:w="2433"/>
        <w:gridCol w:w="2447"/>
      </w:tblGrid>
      <w:tr w:rsidR="004D5473" w:rsidRPr="00FC648C">
        <w:trPr>
          <w:trHeight w:hRule="exact" w:val="396"/>
        </w:trPr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Погашение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Обслуживание</w:t>
            </w:r>
          </w:p>
        </w:tc>
      </w:tr>
      <w:tr w:rsidR="004D5473" w:rsidRPr="00FC648C">
        <w:trPr>
          <w:trHeight w:hRule="exact" w:val="378"/>
        </w:trPr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2,6</w:t>
            </w:r>
          </w:p>
        </w:tc>
      </w:tr>
      <w:tr w:rsidR="004D5473" w:rsidRPr="00FC648C">
        <w:trPr>
          <w:trHeight w:hRule="exact" w:val="378"/>
        </w:trPr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2,4</w:t>
            </w:r>
          </w:p>
        </w:tc>
      </w:tr>
      <w:tr w:rsidR="004D5473" w:rsidRPr="00FC648C">
        <w:trPr>
          <w:trHeight w:hRule="exact" w:val="396"/>
        </w:trPr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2,1</w:t>
            </w:r>
          </w:p>
        </w:tc>
      </w:tr>
      <w:tr w:rsidR="004D5473" w:rsidRPr="00FC648C">
        <w:trPr>
          <w:trHeight w:hRule="exact" w:val="378"/>
        </w:trPr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1,5</w:t>
            </w:r>
          </w:p>
        </w:tc>
      </w:tr>
      <w:tr w:rsidR="004D5473" w:rsidRPr="00FC648C">
        <w:trPr>
          <w:trHeight w:hRule="exact" w:val="412"/>
        </w:trPr>
        <w:tc>
          <w:tcPr>
            <w:tcW w:w="24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0,9</w:t>
            </w:r>
          </w:p>
        </w:tc>
      </w:tr>
    </w:tbl>
    <w:p w:rsidR="004D5473" w:rsidRPr="00FC648C" w:rsidRDefault="004D5473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473" w:rsidRPr="00FC648C" w:rsidRDefault="004D5473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B52C9" w:rsidRPr="00FC648C">
        <w:rPr>
          <w:rFonts w:ascii="Times New Roman" w:hAnsi="Times New Roman" w:cs="Times New Roman"/>
          <w:sz w:val="28"/>
          <w:szCs w:val="28"/>
        </w:rPr>
        <w:t xml:space="preserve">5 - </w:t>
      </w:r>
      <w:r w:rsidRPr="00FC648C">
        <w:rPr>
          <w:rFonts w:ascii="Times New Roman" w:hAnsi="Times New Roman" w:cs="Times New Roman"/>
          <w:sz w:val="28"/>
          <w:szCs w:val="28"/>
        </w:rPr>
        <w:t>Государственный внешний долг Российской Федерации (млрд. долл. США)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5"/>
        <w:gridCol w:w="1386"/>
        <w:gridCol w:w="1386"/>
        <w:gridCol w:w="1359"/>
        <w:gridCol w:w="1386"/>
      </w:tblGrid>
      <w:tr w:rsidR="004D5473" w:rsidRPr="00FC648C">
        <w:trPr>
          <w:trHeight w:hRule="exact" w:val="926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 xml:space="preserve">На </w:t>
            </w:r>
            <w:r w:rsidRPr="00FC648C">
              <w:rPr>
                <w:rFonts w:ascii="Times New Roman" w:hAnsi="Times New Roman" w:cs="Times New Roman"/>
                <w:b/>
                <w:bCs/>
              </w:rPr>
              <w:t xml:space="preserve">01.01. </w:t>
            </w:r>
            <w:r w:rsidRPr="00FC648C">
              <w:rPr>
                <w:rFonts w:ascii="Times New Roman" w:hAnsi="Times New Roman" w:cs="Times New Roman"/>
              </w:rPr>
              <w:t>2003 г.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 xml:space="preserve">На </w:t>
            </w:r>
            <w:r w:rsidRPr="00FC648C">
              <w:rPr>
                <w:rFonts w:ascii="Times New Roman" w:hAnsi="Times New Roman" w:cs="Times New Roman"/>
                <w:b/>
                <w:bCs/>
              </w:rPr>
              <w:t>01.01. 2004 г.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  <w:b/>
                <w:bCs/>
              </w:rPr>
              <w:t xml:space="preserve">На 01.01. </w:t>
            </w:r>
            <w:r w:rsidRPr="00FC648C">
              <w:rPr>
                <w:rFonts w:ascii="Times New Roman" w:hAnsi="Times New Roman" w:cs="Times New Roman"/>
              </w:rPr>
              <w:t>2005 г.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 xml:space="preserve">На </w:t>
            </w:r>
            <w:r w:rsidRPr="00FC648C">
              <w:rPr>
                <w:rFonts w:ascii="Times New Roman" w:hAnsi="Times New Roman" w:cs="Times New Roman"/>
                <w:b/>
                <w:bCs/>
              </w:rPr>
              <w:t>01.01. 2006 г.</w:t>
            </w:r>
          </w:p>
        </w:tc>
      </w:tr>
      <w:tr w:rsidR="004D5473" w:rsidRPr="00FC648C">
        <w:trPr>
          <w:trHeight w:hRule="exact" w:val="1470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Государственный внешний долг Российской Федерации (включая обязательства бывшего Союза ССР, принятые Российской Федерацией)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124,4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  <w:b/>
                <w:bCs/>
              </w:rPr>
              <w:t>121,0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113,7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  <w:b/>
                <w:bCs/>
              </w:rPr>
              <w:t>104,9</w:t>
            </w:r>
          </w:p>
        </w:tc>
      </w:tr>
      <w:tr w:rsidR="004D5473" w:rsidRPr="00FC648C">
        <w:trPr>
          <w:trHeight w:hRule="exact" w:val="598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по кредитам правительств иностранных государств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  <w:b/>
                <w:bCs/>
              </w:rPr>
              <w:t>54,0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  <w:b/>
                <w:bCs/>
              </w:rPr>
              <w:t>50,1</w:t>
            </w:r>
          </w:p>
        </w:tc>
      </w:tr>
      <w:tr w:rsidR="004D5473" w:rsidRPr="00FC648C">
        <w:trPr>
          <w:trHeight w:hRule="exact" w:val="585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задолженность официальным кредиторам Парижского клуба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  <w:b/>
                <w:bCs/>
              </w:rPr>
              <w:t>46,6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  <w:b/>
                <w:bCs/>
              </w:rPr>
              <w:t>46,1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  <w:b/>
                <w:bCs/>
              </w:rPr>
              <w:t>44,4</w:t>
            </w:r>
          </w:p>
        </w:tc>
      </w:tr>
      <w:tr w:rsidR="004D5473" w:rsidRPr="00FC648C">
        <w:trPr>
          <w:trHeight w:hRule="exact" w:val="885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задолженность кредиторам, не являющимся членами Парижского клуба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  <w:b/>
                <w:bCs/>
              </w:rPr>
              <w:t>4,4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  <w:b/>
                <w:bCs/>
              </w:rPr>
              <w:t>2,9</w:t>
            </w:r>
          </w:p>
        </w:tc>
      </w:tr>
      <w:tr w:rsidR="004D5473" w:rsidRPr="00FC648C">
        <w:trPr>
          <w:trHeight w:hRule="exact" w:val="598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задолженность бывшим странам СЭВ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  <w:b/>
                <w:bCs/>
              </w:rPr>
              <w:t>2,9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  <w:b/>
                <w:bCs/>
              </w:rPr>
              <w:t>2,8</w:t>
            </w:r>
          </w:p>
        </w:tc>
      </w:tr>
      <w:tr w:rsidR="004D5473" w:rsidRPr="00FC648C">
        <w:trPr>
          <w:trHeight w:hRule="exact" w:val="598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по кредитам иностранных коммерческих банков и фирм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392BC4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392BC4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4D5473" w:rsidRPr="00FC648C">
        <w:trPr>
          <w:trHeight w:hRule="exact" w:val="598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задолженность кредиторам Лондонского клуба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392BC4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392BC4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392BC4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392BC4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4D5473" w:rsidRPr="00FC648C">
        <w:trPr>
          <w:trHeight w:hRule="exact" w:val="299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коммерческая задолженность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392BC4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392BC4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4D5473" w:rsidRPr="00FC648C">
        <w:trPr>
          <w:trHeight w:hRule="exact" w:val="598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по кредитам международных финансовых организаций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  <w:b/>
                <w:bCs/>
              </w:rPr>
              <w:t>8,9</w:t>
            </w:r>
          </w:p>
        </w:tc>
      </w:tr>
      <w:tr w:rsidR="004D5473" w:rsidRPr="00FC648C">
        <w:trPr>
          <w:trHeight w:hRule="exact" w:val="885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Государственные ценные бумаги Российской Федерации, выраженные в иностранной валюте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  <w:b/>
                <w:bCs/>
              </w:rPr>
              <w:t>49,8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  <w:b/>
                <w:bCs/>
              </w:rPr>
              <w:t>41,6</w:t>
            </w:r>
          </w:p>
        </w:tc>
      </w:tr>
      <w:tr w:rsidR="004D5473" w:rsidRPr="00FC648C">
        <w:trPr>
          <w:trHeight w:hRule="exact" w:val="299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Еврооблигационные займы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  <w:b/>
                <w:bCs/>
              </w:rPr>
              <w:t>42,5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  <w:b/>
                <w:bCs/>
              </w:rPr>
              <w:t>34,4</w:t>
            </w:r>
          </w:p>
        </w:tc>
      </w:tr>
      <w:tr w:rsidR="004D5473" w:rsidRPr="00FC648C">
        <w:trPr>
          <w:trHeight w:hRule="exact" w:val="299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ОВГЗ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  <w:b/>
                <w:bCs/>
              </w:rPr>
              <w:t>7,3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</w:tr>
      <w:tr w:rsidR="004D5473" w:rsidRPr="00FC648C">
        <w:trPr>
          <w:trHeight w:hRule="exact" w:val="598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По кредитам Центрального банка Российской Федерации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  <w:b/>
                <w:bCs/>
              </w:rPr>
              <w:t>6,2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  <w:b/>
                <w:bCs/>
              </w:rPr>
              <w:t>4,3</w:t>
            </w:r>
          </w:p>
        </w:tc>
      </w:tr>
      <w:tr w:rsidR="004D5473" w:rsidRPr="00FC648C">
        <w:trPr>
          <w:trHeight w:hRule="exact" w:val="598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Предельный размер предоставления гарантий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  <w:b/>
                <w:bCs/>
              </w:rPr>
              <w:t>2,3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</w:tr>
      <w:tr w:rsidR="004D5473" w:rsidRPr="00FC648C">
        <w:trPr>
          <w:trHeight w:hRule="exact" w:val="926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Государственный внешний долг Российской Федерации с учетом предельного размера гарантий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  <w:b/>
                <w:bCs/>
              </w:rPr>
              <w:t>123,4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  <w:b/>
                <w:bCs/>
              </w:rPr>
              <w:t>115,7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473" w:rsidRPr="00FC648C" w:rsidRDefault="004D5473" w:rsidP="009B52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48C">
              <w:rPr>
                <w:rFonts w:ascii="Times New Roman" w:hAnsi="Times New Roman" w:cs="Times New Roman"/>
                <w:b/>
                <w:bCs/>
              </w:rPr>
              <w:t>106,9</w:t>
            </w:r>
          </w:p>
        </w:tc>
      </w:tr>
    </w:tbl>
    <w:p w:rsidR="004D5473" w:rsidRPr="00FC648C" w:rsidRDefault="009B52C9" w:rsidP="00BF2CE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br w:type="page"/>
      </w:r>
      <w:r w:rsidR="004D5473" w:rsidRPr="00FC648C">
        <w:rPr>
          <w:rFonts w:ascii="Times New Roman" w:hAnsi="Times New Roman" w:cs="Times New Roman"/>
          <w:b/>
          <w:bCs/>
          <w:sz w:val="28"/>
          <w:szCs w:val="28"/>
        </w:rPr>
        <w:t>Приложение 3</w:t>
      </w:r>
    </w:p>
    <w:p w:rsidR="004D5473" w:rsidRPr="00FC648C" w:rsidRDefault="004D5473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473" w:rsidRPr="00FC648C" w:rsidRDefault="004D5473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B52C9" w:rsidRPr="00FC648C">
        <w:rPr>
          <w:rFonts w:ascii="Times New Roman" w:hAnsi="Times New Roman" w:cs="Times New Roman"/>
          <w:sz w:val="28"/>
          <w:szCs w:val="28"/>
        </w:rPr>
        <w:t xml:space="preserve">6 - </w:t>
      </w:r>
      <w:r w:rsidRPr="00FC648C">
        <w:rPr>
          <w:rFonts w:ascii="Times New Roman" w:hAnsi="Times New Roman" w:cs="Times New Roman"/>
          <w:sz w:val="28"/>
          <w:szCs w:val="28"/>
        </w:rPr>
        <w:t>Рейтинг организаторов корпоративных облигаций, Топ-15, первое полугодие 2008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960"/>
        <w:gridCol w:w="2364"/>
        <w:gridCol w:w="1433"/>
        <w:gridCol w:w="1803"/>
        <w:gridCol w:w="1521"/>
      </w:tblGrid>
      <w:tr w:rsidR="004D5473" w:rsidRPr="00FD5A2A" w:rsidTr="00FD5A2A">
        <w:tc>
          <w:tcPr>
            <w:tcW w:w="919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№1П 08</w:t>
            </w:r>
          </w:p>
        </w:tc>
        <w:tc>
          <w:tcPr>
            <w:tcW w:w="96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 xml:space="preserve">№ </w:t>
            </w:r>
            <w:r w:rsidRPr="00FD5A2A">
              <w:rPr>
                <w:rFonts w:ascii="Times New Roman" w:hAnsi="Times New Roman" w:cs="Times New Roman"/>
                <w:lang w:val="en-US"/>
              </w:rPr>
              <w:t>‘</w:t>
            </w:r>
            <w:r w:rsidRPr="00FD5A2A">
              <w:rPr>
                <w:rFonts w:ascii="Times New Roman" w:hAnsi="Times New Roman" w:cs="Times New Roman"/>
              </w:rPr>
              <w:t xml:space="preserve"> 07</w:t>
            </w:r>
          </w:p>
        </w:tc>
        <w:tc>
          <w:tcPr>
            <w:tcW w:w="236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Инвестиционный банк</w:t>
            </w:r>
          </w:p>
        </w:tc>
        <w:tc>
          <w:tcPr>
            <w:tcW w:w="143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Объем, млрд. руб</w:t>
            </w:r>
          </w:p>
        </w:tc>
        <w:tc>
          <w:tcPr>
            <w:tcW w:w="180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Количество эмитентов</w:t>
            </w:r>
          </w:p>
        </w:tc>
        <w:tc>
          <w:tcPr>
            <w:tcW w:w="152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Количество эмиссий</w:t>
            </w:r>
          </w:p>
        </w:tc>
      </w:tr>
      <w:tr w:rsidR="004D5473" w:rsidRPr="00FD5A2A" w:rsidTr="00FD5A2A">
        <w:tc>
          <w:tcPr>
            <w:tcW w:w="919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ВТБ (включая «ВТБ 24»)</w:t>
            </w:r>
          </w:p>
        </w:tc>
        <w:tc>
          <w:tcPr>
            <w:tcW w:w="143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80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7</w:t>
            </w:r>
          </w:p>
        </w:tc>
      </w:tr>
      <w:tr w:rsidR="004D5473" w:rsidRPr="00FD5A2A" w:rsidTr="00FD5A2A">
        <w:tc>
          <w:tcPr>
            <w:tcW w:w="919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Райффайзенбанк</w:t>
            </w:r>
          </w:p>
        </w:tc>
        <w:tc>
          <w:tcPr>
            <w:tcW w:w="143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80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9</w:t>
            </w:r>
          </w:p>
        </w:tc>
      </w:tr>
      <w:tr w:rsidR="004D5473" w:rsidRPr="00FD5A2A" w:rsidTr="00FD5A2A">
        <w:tc>
          <w:tcPr>
            <w:tcW w:w="919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Газпромбанк</w:t>
            </w:r>
          </w:p>
        </w:tc>
        <w:tc>
          <w:tcPr>
            <w:tcW w:w="143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80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8</w:t>
            </w:r>
          </w:p>
        </w:tc>
      </w:tr>
      <w:tr w:rsidR="004D5473" w:rsidRPr="00FD5A2A" w:rsidTr="00FD5A2A">
        <w:tc>
          <w:tcPr>
            <w:tcW w:w="919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ИК «Тройка Диалог»</w:t>
            </w:r>
          </w:p>
        </w:tc>
        <w:tc>
          <w:tcPr>
            <w:tcW w:w="143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80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8</w:t>
            </w:r>
          </w:p>
        </w:tc>
      </w:tr>
      <w:tr w:rsidR="004D5473" w:rsidRPr="00FD5A2A" w:rsidTr="00FD5A2A">
        <w:tc>
          <w:tcPr>
            <w:tcW w:w="919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6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Ренессанс Капитал</w:t>
            </w:r>
          </w:p>
        </w:tc>
        <w:tc>
          <w:tcPr>
            <w:tcW w:w="143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80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6</w:t>
            </w:r>
          </w:p>
        </w:tc>
      </w:tr>
      <w:tr w:rsidR="004D5473" w:rsidRPr="00FD5A2A" w:rsidTr="00FD5A2A">
        <w:tc>
          <w:tcPr>
            <w:tcW w:w="919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Банк Москвы</w:t>
            </w:r>
          </w:p>
        </w:tc>
        <w:tc>
          <w:tcPr>
            <w:tcW w:w="143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80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4</w:t>
            </w:r>
          </w:p>
        </w:tc>
      </w:tr>
      <w:tr w:rsidR="004D5473" w:rsidRPr="00FD5A2A" w:rsidTr="00FD5A2A">
        <w:tc>
          <w:tcPr>
            <w:tcW w:w="919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6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НОМОС-БАНК</w:t>
            </w:r>
          </w:p>
        </w:tc>
        <w:tc>
          <w:tcPr>
            <w:tcW w:w="143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80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4</w:t>
            </w:r>
          </w:p>
        </w:tc>
      </w:tr>
      <w:tr w:rsidR="004D5473" w:rsidRPr="00FD5A2A" w:rsidTr="00FD5A2A">
        <w:tc>
          <w:tcPr>
            <w:tcW w:w="919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96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ТрансКредитБанк</w:t>
            </w:r>
          </w:p>
        </w:tc>
        <w:tc>
          <w:tcPr>
            <w:tcW w:w="143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80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4</w:t>
            </w:r>
          </w:p>
        </w:tc>
      </w:tr>
      <w:tr w:rsidR="004D5473" w:rsidRPr="00FD5A2A" w:rsidTr="00FD5A2A">
        <w:tc>
          <w:tcPr>
            <w:tcW w:w="919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96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6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Ситибанк</w:t>
            </w:r>
          </w:p>
        </w:tc>
        <w:tc>
          <w:tcPr>
            <w:tcW w:w="143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80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4</w:t>
            </w:r>
          </w:p>
        </w:tc>
      </w:tr>
      <w:tr w:rsidR="004D5473" w:rsidRPr="00FD5A2A" w:rsidTr="00FD5A2A">
        <w:tc>
          <w:tcPr>
            <w:tcW w:w="919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6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Банк «Зенит»</w:t>
            </w:r>
          </w:p>
        </w:tc>
        <w:tc>
          <w:tcPr>
            <w:tcW w:w="143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80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4</w:t>
            </w:r>
          </w:p>
        </w:tc>
      </w:tr>
      <w:tr w:rsidR="004D5473" w:rsidRPr="00FD5A2A" w:rsidTr="00FD5A2A">
        <w:tc>
          <w:tcPr>
            <w:tcW w:w="919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Росбанк</w:t>
            </w:r>
          </w:p>
        </w:tc>
        <w:tc>
          <w:tcPr>
            <w:tcW w:w="143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80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4</w:t>
            </w:r>
          </w:p>
        </w:tc>
      </w:tr>
      <w:tr w:rsidR="004D5473" w:rsidRPr="00FD5A2A" w:rsidTr="00FD5A2A">
        <w:tc>
          <w:tcPr>
            <w:tcW w:w="919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6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Связь-Банк</w:t>
            </w:r>
          </w:p>
        </w:tc>
        <w:tc>
          <w:tcPr>
            <w:tcW w:w="143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80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7</w:t>
            </w:r>
          </w:p>
        </w:tc>
      </w:tr>
      <w:tr w:rsidR="004D5473" w:rsidRPr="00FD5A2A" w:rsidTr="00FD5A2A">
        <w:tc>
          <w:tcPr>
            <w:tcW w:w="919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6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Банк «Союз»</w:t>
            </w:r>
          </w:p>
        </w:tc>
        <w:tc>
          <w:tcPr>
            <w:tcW w:w="143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80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3</w:t>
            </w:r>
          </w:p>
        </w:tc>
      </w:tr>
      <w:tr w:rsidR="004D5473" w:rsidRPr="00FD5A2A" w:rsidTr="00FD5A2A">
        <w:tc>
          <w:tcPr>
            <w:tcW w:w="919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Промсвязьбанк</w:t>
            </w:r>
          </w:p>
        </w:tc>
        <w:tc>
          <w:tcPr>
            <w:tcW w:w="143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80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3</w:t>
            </w:r>
          </w:p>
        </w:tc>
      </w:tr>
      <w:tr w:rsidR="004D5473" w:rsidRPr="00FD5A2A" w:rsidTr="00FD5A2A">
        <w:tc>
          <w:tcPr>
            <w:tcW w:w="919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6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Группа компаний «Регион»</w:t>
            </w:r>
          </w:p>
        </w:tc>
        <w:tc>
          <w:tcPr>
            <w:tcW w:w="143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80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8</w:t>
            </w:r>
          </w:p>
        </w:tc>
      </w:tr>
      <w:tr w:rsidR="004D5473" w:rsidRPr="00FD5A2A" w:rsidTr="00FD5A2A">
        <w:tc>
          <w:tcPr>
            <w:tcW w:w="919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Итого по Топ-15</w:t>
            </w:r>
          </w:p>
        </w:tc>
        <w:tc>
          <w:tcPr>
            <w:tcW w:w="143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193,967</w:t>
            </w:r>
          </w:p>
        </w:tc>
        <w:tc>
          <w:tcPr>
            <w:tcW w:w="180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D5473" w:rsidRPr="00FC648C" w:rsidRDefault="004D5473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473" w:rsidRPr="00FC648C" w:rsidRDefault="004D5473" w:rsidP="00BF2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8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B52C9" w:rsidRPr="00FC648C">
        <w:rPr>
          <w:rFonts w:ascii="Times New Roman" w:hAnsi="Times New Roman" w:cs="Times New Roman"/>
          <w:sz w:val="28"/>
          <w:szCs w:val="28"/>
        </w:rPr>
        <w:t xml:space="preserve">7 - </w:t>
      </w:r>
      <w:r w:rsidRPr="00FC648C">
        <w:rPr>
          <w:rFonts w:ascii="Times New Roman" w:hAnsi="Times New Roman" w:cs="Times New Roman"/>
          <w:sz w:val="28"/>
          <w:szCs w:val="28"/>
        </w:rPr>
        <w:t>Рейтинг организаторов еврооблигаций, Топ-15, Россия, первое полугодие 2008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1328"/>
        <w:gridCol w:w="2460"/>
        <w:gridCol w:w="1410"/>
        <w:gridCol w:w="1503"/>
        <w:gridCol w:w="1222"/>
      </w:tblGrid>
      <w:tr w:rsidR="004D5473" w:rsidRPr="00FD5A2A" w:rsidTr="00FD5A2A">
        <w:tc>
          <w:tcPr>
            <w:tcW w:w="1077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№1П 08</w:t>
            </w:r>
          </w:p>
        </w:tc>
        <w:tc>
          <w:tcPr>
            <w:tcW w:w="1328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 xml:space="preserve">№ </w:t>
            </w:r>
            <w:r w:rsidRPr="00FD5A2A">
              <w:rPr>
                <w:rFonts w:ascii="Times New Roman" w:hAnsi="Times New Roman" w:cs="Times New Roman"/>
                <w:lang w:val="en-US"/>
              </w:rPr>
              <w:t>‘</w:t>
            </w:r>
            <w:r w:rsidRPr="00FD5A2A">
              <w:rPr>
                <w:rFonts w:ascii="Times New Roman" w:hAnsi="Times New Roman" w:cs="Times New Roman"/>
              </w:rPr>
              <w:t xml:space="preserve"> 07</w:t>
            </w:r>
          </w:p>
        </w:tc>
        <w:tc>
          <w:tcPr>
            <w:tcW w:w="246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Инвестиционный банк</w:t>
            </w:r>
          </w:p>
        </w:tc>
        <w:tc>
          <w:tcPr>
            <w:tcW w:w="141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</w:rPr>
              <w:t xml:space="preserve">Объем, млрд. </w:t>
            </w:r>
            <w:r w:rsidRPr="00FD5A2A">
              <w:rPr>
                <w:rFonts w:ascii="Times New Roman" w:hAnsi="Times New Roman" w:cs="Times New Roman"/>
                <w:lang w:val="en-US"/>
              </w:rPr>
              <w:t>USD</w:t>
            </w:r>
          </w:p>
        </w:tc>
        <w:tc>
          <w:tcPr>
            <w:tcW w:w="150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Количество эмитентов</w:t>
            </w:r>
          </w:p>
        </w:tc>
        <w:tc>
          <w:tcPr>
            <w:tcW w:w="1222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Количество эмиссий</w:t>
            </w:r>
          </w:p>
        </w:tc>
      </w:tr>
      <w:tr w:rsidR="004D5473" w:rsidRPr="00FD5A2A" w:rsidTr="00FD5A2A">
        <w:tc>
          <w:tcPr>
            <w:tcW w:w="1077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8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46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Deutsche bank</w:t>
            </w:r>
          </w:p>
        </w:tc>
        <w:tc>
          <w:tcPr>
            <w:tcW w:w="141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2361</w:t>
            </w:r>
          </w:p>
        </w:tc>
        <w:tc>
          <w:tcPr>
            <w:tcW w:w="150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22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D5473" w:rsidRPr="00FD5A2A" w:rsidTr="00FD5A2A">
        <w:tc>
          <w:tcPr>
            <w:tcW w:w="1077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8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46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Citigroup</w:t>
            </w:r>
          </w:p>
        </w:tc>
        <w:tc>
          <w:tcPr>
            <w:tcW w:w="141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2333</w:t>
            </w:r>
          </w:p>
        </w:tc>
        <w:tc>
          <w:tcPr>
            <w:tcW w:w="150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22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4D5473" w:rsidRPr="00FD5A2A" w:rsidTr="00FD5A2A">
        <w:tc>
          <w:tcPr>
            <w:tcW w:w="1077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28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46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ABN AMRO/RBS</w:t>
            </w:r>
          </w:p>
        </w:tc>
        <w:tc>
          <w:tcPr>
            <w:tcW w:w="141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1583</w:t>
            </w:r>
          </w:p>
        </w:tc>
        <w:tc>
          <w:tcPr>
            <w:tcW w:w="150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222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4D5473" w:rsidRPr="00FD5A2A" w:rsidTr="00FD5A2A">
        <w:tc>
          <w:tcPr>
            <w:tcW w:w="1077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28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46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JP Morgan</w:t>
            </w:r>
          </w:p>
        </w:tc>
        <w:tc>
          <w:tcPr>
            <w:tcW w:w="141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1425</w:t>
            </w:r>
          </w:p>
        </w:tc>
        <w:tc>
          <w:tcPr>
            <w:tcW w:w="150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22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D5473" w:rsidRPr="00FD5A2A" w:rsidTr="00FD5A2A">
        <w:tc>
          <w:tcPr>
            <w:tcW w:w="1077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28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46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UBS</w:t>
            </w:r>
          </w:p>
        </w:tc>
        <w:tc>
          <w:tcPr>
            <w:tcW w:w="141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1127</w:t>
            </w:r>
          </w:p>
        </w:tc>
        <w:tc>
          <w:tcPr>
            <w:tcW w:w="150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22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D5473" w:rsidRPr="00FD5A2A" w:rsidTr="00FD5A2A">
        <w:tc>
          <w:tcPr>
            <w:tcW w:w="1077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28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46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BNP Paribas</w:t>
            </w:r>
          </w:p>
        </w:tc>
        <w:tc>
          <w:tcPr>
            <w:tcW w:w="141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1024</w:t>
            </w:r>
          </w:p>
        </w:tc>
        <w:tc>
          <w:tcPr>
            <w:tcW w:w="150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22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D5473" w:rsidRPr="00FD5A2A" w:rsidTr="00FD5A2A">
        <w:tc>
          <w:tcPr>
            <w:tcW w:w="1077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328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46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Morgan Stanley</w:t>
            </w:r>
          </w:p>
        </w:tc>
        <w:tc>
          <w:tcPr>
            <w:tcW w:w="141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879</w:t>
            </w:r>
          </w:p>
        </w:tc>
        <w:tc>
          <w:tcPr>
            <w:tcW w:w="150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22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D5473" w:rsidRPr="00FD5A2A" w:rsidTr="00FD5A2A">
        <w:tc>
          <w:tcPr>
            <w:tcW w:w="1077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8-9</w:t>
            </w:r>
          </w:p>
        </w:tc>
        <w:tc>
          <w:tcPr>
            <w:tcW w:w="1328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246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Calyon</w:t>
            </w:r>
          </w:p>
        </w:tc>
        <w:tc>
          <w:tcPr>
            <w:tcW w:w="141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750</w:t>
            </w:r>
          </w:p>
        </w:tc>
        <w:tc>
          <w:tcPr>
            <w:tcW w:w="150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22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D5473" w:rsidRPr="00FD5A2A" w:rsidTr="00FD5A2A">
        <w:tc>
          <w:tcPr>
            <w:tcW w:w="1077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8-9</w:t>
            </w:r>
          </w:p>
        </w:tc>
        <w:tc>
          <w:tcPr>
            <w:tcW w:w="1328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46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Barclays Capital</w:t>
            </w:r>
          </w:p>
        </w:tc>
        <w:tc>
          <w:tcPr>
            <w:tcW w:w="141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750</w:t>
            </w:r>
          </w:p>
        </w:tc>
        <w:tc>
          <w:tcPr>
            <w:tcW w:w="150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22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D5473" w:rsidRPr="00FD5A2A" w:rsidTr="00FD5A2A">
        <w:tc>
          <w:tcPr>
            <w:tcW w:w="1077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328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46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Goldman Sachs</w:t>
            </w:r>
          </w:p>
        </w:tc>
        <w:tc>
          <w:tcPr>
            <w:tcW w:w="141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583</w:t>
            </w:r>
          </w:p>
        </w:tc>
        <w:tc>
          <w:tcPr>
            <w:tcW w:w="150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2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D5473" w:rsidRPr="00FD5A2A" w:rsidTr="00FD5A2A">
        <w:tc>
          <w:tcPr>
            <w:tcW w:w="1077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328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46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HSBC</w:t>
            </w:r>
          </w:p>
        </w:tc>
        <w:tc>
          <w:tcPr>
            <w:tcW w:w="141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500</w:t>
            </w:r>
          </w:p>
        </w:tc>
        <w:tc>
          <w:tcPr>
            <w:tcW w:w="150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22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D5473" w:rsidRPr="00FD5A2A" w:rsidTr="00FD5A2A">
        <w:tc>
          <w:tcPr>
            <w:tcW w:w="1077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328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46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 xml:space="preserve">ING Wholesale Banking </w:t>
            </w:r>
            <w:r w:rsidRPr="00FD5A2A">
              <w:rPr>
                <w:rFonts w:ascii="Times New Roman" w:hAnsi="Times New Roman" w:cs="Times New Roman"/>
              </w:rPr>
              <w:t>Лондон</w:t>
            </w:r>
          </w:p>
        </w:tc>
        <w:tc>
          <w:tcPr>
            <w:tcW w:w="141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400</w:t>
            </w:r>
          </w:p>
        </w:tc>
        <w:tc>
          <w:tcPr>
            <w:tcW w:w="150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22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D5473" w:rsidRPr="00FD5A2A" w:rsidTr="00FD5A2A">
        <w:tc>
          <w:tcPr>
            <w:tcW w:w="1077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328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46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Credit Suisse</w:t>
            </w:r>
          </w:p>
        </w:tc>
        <w:tc>
          <w:tcPr>
            <w:tcW w:w="141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350</w:t>
            </w:r>
          </w:p>
        </w:tc>
        <w:tc>
          <w:tcPr>
            <w:tcW w:w="150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22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D5473" w:rsidRPr="00FD5A2A" w:rsidTr="00FD5A2A">
        <w:tc>
          <w:tcPr>
            <w:tcW w:w="1077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328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246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МДМ-банк</w:t>
            </w:r>
          </w:p>
        </w:tc>
        <w:tc>
          <w:tcPr>
            <w:tcW w:w="141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290</w:t>
            </w:r>
          </w:p>
        </w:tc>
        <w:tc>
          <w:tcPr>
            <w:tcW w:w="150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22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D5473" w:rsidRPr="00FD5A2A" w:rsidTr="00FD5A2A">
        <w:tc>
          <w:tcPr>
            <w:tcW w:w="1077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328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46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Инвестиционный банк ТРАСТ</w:t>
            </w:r>
          </w:p>
        </w:tc>
        <w:tc>
          <w:tcPr>
            <w:tcW w:w="141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269</w:t>
            </w:r>
          </w:p>
        </w:tc>
        <w:tc>
          <w:tcPr>
            <w:tcW w:w="150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22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D5473" w:rsidRPr="00FD5A2A" w:rsidTr="00FD5A2A">
        <w:tc>
          <w:tcPr>
            <w:tcW w:w="1077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5A2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0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D5A2A">
              <w:rPr>
                <w:rFonts w:ascii="Times New Roman" w:hAnsi="Times New Roman" w:cs="Times New Roman"/>
                <w:lang w:val="en-US"/>
              </w:rPr>
              <w:t>14624</w:t>
            </w:r>
          </w:p>
        </w:tc>
        <w:tc>
          <w:tcPr>
            <w:tcW w:w="1503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</w:tcPr>
          <w:p w:rsidR="004D5473" w:rsidRPr="00FD5A2A" w:rsidRDefault="004D5473" w:rsidP="00FD5A2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F311E9" w:rsidRPr="00FC648C" w:rsidRDefault="00F311E9" w:rsidP="004C645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311E9" w:rsidRPr="00FC648C" w:rsidSect="0088209C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A2A" w:rsidRDefault="00FD5A2A">
      <w:r>
        <w:separator/>
      </w:r>
    </w:p>
  </w:endnote>
  <w:endnote w:type="continuationSeparator" w:id="0">
    <w:p w:rsidR="00FD5A2A" w:rsidRDefault="00FD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A2A" w:rsidRDefault="00FD5A2A">
      <w:r>
        <w:separator/>
      </w:r>
    </w:p>
  </w:footnote>
  <w:footnote w:type="continuationSeparator" w:id="0">
    <w:p w:rsidR="00FD5A2A" w:rsidRDefault="00FD5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80DC4"/>
    <w:multiLevelType w:val="hybridMultilevel"/>
    <w:tmpl w:val="1398EB24"/>
    <w:lvl w:ilvl="0" w:tplc="76F632CC">
      <w:start w:val="1"/>
      <w:numFmt w:val="decimal"/>
      <w:lvlText w:val="%1."/>
      <w:lvlJc w:val="left"/>
      <w:pPr>
        <w:tabs>
          <w:tab w:val="num" w:pos="908"/>
        </w:tabs>
        <w:ind w:left="908" w:hanging="6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73"/>
        </w:tabs>
        <w:ind w:left="13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93"/>
        </w:tabs>
        <w:ind w:left="20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33"/>
        </w:tabs>
        <w:ind w:left="35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53"/>
        </w:tabs>
        <w:ind w:left="42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93"/>
        </w:tabs>
        <w:ind w:left="56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13"/>
        </w:tabs>
        <w:ind w:left="6413" w:hanging="180"/>
      </w:pPr>
      <w:rPr>
        <w:rFonts w:cs="Times New Roman"/>
      </w:rPr>
    </w:lvl>
  </w:abstractNum>
  <w:abstractNum w:abstractNumId="1">
    <w:nsid w:val="16252CE5"/>
    <w:multiLevelType w:val="hybridMultilevel"/>
    <w:tmpl w:val="C310C55E"/>
    <w:lvl w:ilvl="0" w:tplc="FBE8A78A">
      <w:start w:val="1"/>
      <w:numFmt w:val="decimal"/>
      <w:lvlText w:val="%1."/>
      <w:lvlJc w:val="left"/>
      <w:pPr>
        <w:tabs>
          <w:tab w:val="num" w:pos="653"/>
        </w:tabs>
        <w:ind w:left="653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73"/>
        </w:tabs>
        <w:ind w:left="13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93"/>
        </w:tabs>
        <w:ind w:left="20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33"/>
        </w:tabs>
        <w:ind w:left="35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53"/>
        </w:tabs>
        <w:ind w:left="42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93"/>
        </w:tabs>
        <w:ind w:left="56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13"/>
        </w:tabs>
        <w:ind w:left="6413" w:hanging="180"/>
      </w:pPr>
      <w:rPr>
        <w:rFonts w:cs="Times New Roman"/>
      </w:rPr>
    </w:lvl>
  </w:abstractNum>
  <w:abstractNum w:abstractNumId="2">
    <w:nsid w:val="234A7C30"/>
    <w:multiLevelType w:val="hybridMultilevel"/>
    <w:tmpl w:val="C9A2FACC"/>
    <w:lvl w:ilvl="0" w:tplc="9CDAF3E8">
      <w:start w:val="1"/>
      <w:numFmt w:val="decimal"/>
      <w:lvlText w:val="%1."/>
      <w:lvlJc w:val="left"/>
      <w:pPr>
        <w:tabs>
          <w:tab w:val="num" w:pos="878"/>
        </w:tabs>
        <w:ind w:left="878" w:hanging="5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73"/>
        </w:tabs>
        <w:ind w:left="13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93"/>
        </w:tabs>
        <w:ind w:left="20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33"/>
        </w:tabs>
        <w:ind w:left="35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53"/>
        </w:tabs>
        <w:ind w:left="42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93"/>
        </w:tabs>
        <w:ind w:left="56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13"/>
        </w:tabs>
        <w:ind w:left="6413" w:hanging="180"/>
      </w:pPr>
      <w:rPr>
        <w:rFonts w:cs="Times New Roman"/>
      </w:rPr>
    </w:lvl>
  </w:abstractNum>
  <w:abstractNum w:abstractNumId="3">
    <w:nsid w:val="423120B2"/>
    <w:multiLevelType w:val="hybridMultilevel"/>
    <w:tmpl w:val="7CD0BB04"/>
    <w:lvl w:ilvl="0" w:tplc="872882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CB21A7B"/>
    <w:multiLevelType w:val="hybridMultilevel"/>
    <w:tmpl w:val="27FC6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232A53"/>
    <w:multiLevelType w:val="hybridMultilevel"/>
    <w:tmpl w:val="4412D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852271A"/>
    <w:multiLevelType w:val="hybridMultilevel"/>
    <w:tmpl w:val="9C9A6966"/>
    <w:lvl w:ilvl="0" w:tplc="471C61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B792A5B"/>
    <w:multiLevelType w:val="singleLevel"/>
    <w:tmpl w:val="EC9A7A8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7"/>
    <w:lvlOverride w:ilvl="0">
      <w:startOverride w:val="2"/>
    </w:lvlOverride>
  </w:num>
  <w:num w:numId="3">
    <w:abstractNumId w:val="2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9E2"/>
    <w:rsid w:val="0007342E"/>
    <w:rsid w:val="000B42C8"/>
    <w:rsid w:val="001224B2"/>
    <w:rsid w:val="001252D6"/>
    <w:rsid w:val="00141CAA"/>
    <w:rsid w:val="0014290A"/>
    <w:rsid w:val="001B1342"/>
    <w:rsid w:val="001D3439"/>
    <w:rsid w:val="001F2A57"/>
    <w:rsid w:val="00213E7C"/>
    <w:rsid w:val="002402CF"/>
    <w:rsid w:val="00263092"/>
    <w:rsid w:val="002674C9"/>
    <w:rsid w:val="002B3AC7"/>
    <w:rsid w:val="002D4715"/>
    <w:rsid w:val="00354694"/>
    <w:rsid w:val="00364F34"/>
    <w:rsid w:val="00392BC4"/>
    <w:rsid w:val="003F3A61"/>
    <w:rsid w:val="004409F9"/>
    <w:rsid w:val="00446468"/>
    <w:rsid w:val="00482939"/>
    <w:rsid w:val="00494108"/>
    <w:rsid w:val="004A7B00"/>
    <w:rsid w:val="004C645C"/>
    <w:rsid w:val="004D5473"/>
    <w:rsid w:val="004F792A"/>
    <w:rsid w:val="005339E2"/>
    <w:rsid w:val="00547DAA"/>
    <w:rsid w:val="00557D11"/>
    <w:rsid w:val="005630A3"/>
    <w:rsid w:val="005D2F42"/>
    <w:rsid w:val="00611CDB"/>
    <w:rsid w:val="00661627"/>
    <w:rsid w:val="006905F8"/>
    <w:rsid w:val="006B474B"/>
    <w:rsid w:val="006D2062"/>
    <w:rsid w:val="006E1F06"/>
    <w:rsid w:val="00704A87"/>
    <w:rsid w:val="00715433"/>
    <w:rsid w:val="0071587A"/>
    <w:rsid w:val="007253F2"/>
    <w:rsid w:val="00787905"/>
    <w:rsid w:val="007929ED"/>
    <w:rsid w:val="007C558B"/>
    <w:rsid w:val="00805762"/>
    <w:rsid w:val="0081189D"/>
    <w:rsid w:val="0088209C"/>
    <w:rsid w:val="00896F77"/>
    <w:rsid w:val="0095063D"/>
    <w:rsid w:val="009B4270"/>
    <w:rsid w:val="009B52C9"/>
    <w:rsid w:val="009D3EF1"/>
    <w:rsid w:val="00A11D8B"/>
    <w:rsid w:val="00A77CAC"/>
    <w:rsid w:val="00A91E38"/>
    <w:rsid w:val="00AE177B"/>
    <w:rsid w:val="00AF718D"/>
    <w:rsid w:val="00B04942"/>
    <w:rsid w:val="00B1281B"/>
    <w:rsid w:val="00B6492E"/>
    <w:rsid w:val="00BC2007"/>
    <w:rsid w:val="00BF15E6"/>
    <w:rsid w:val="00BF2CE1"/>
    <w:rsid w:val="00CF005A"/>
    <w:rsid w:val="00D10B1C"/>
    <w:rsid w:val="00D32C75"/>
    <w:rsid w:val="00D4522E"/>
    <w:rsid w:val="00E1133F"/>
    <w:rsid w:val="00ED41A4"/>
    <w:rsid w:val="00F016B9"/>
    <w:rsid w:val="00F311E9"/>
    <w:rsid w:val="00F60FC1"/>
    <w:rsid w:val="00FC623B"/>
    <w:rsid w:val="00FC648C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11AC5B-02CF-4F30-B4C3-442657B9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00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ascii="Arial" w:hAnsi="Arial" w:cs="Arial"/>
      <w:sz w:val="20"/>
      <w:szCs w:val="20"/>
    </w:rPr>
  </w:style>
  <w:style w:type="character" w:styleId="a5">
    <w:name w:val="page number"/>
    <w:uiPriority w:val="99"/>
    <w:rsid w:val="00CF005A"/>
    <w:rPr>
      <w:rFonts w:cs="Times New Roman"/>
    </w:rPr>
  </w:style>
  <w:style w:type="character" w:styleId="a6">
    <w:name w:val="Hyperlink"/>
    <w:uiPriority w:val="99"/>
    <w:rsid w:val="00787905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4D5473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BF2C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96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5759</Words>
  <Characters>32832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долг – неизбежное порождение дефицита  бюджета, причины которого связаны со спадом производства, с ростом предельных издержек, необъяснимой эмиссией денег, возрастанием затрат по финансированию военно-промышленного комплекса, ростом объем</vt:lpstr>
    </vt:vector>
  </TitlesOfParts>
  <Company>*</Company>
  <LinksUpToDate>false</LinksUpToDate>
  <CharactersWithSpaces>38514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долг – неизбежное порождение дефицита  бюджета, причины которого связаны со спадом производства, с ростом предельных издержек, необъяснимой эмиссией денег, возрастанием затрат по финансированию военно-промышленного комплекса, ростом объем</dc:title>
  <dc:subject/>
  <dc:creator>*</dc:creator>
  <cp:keywords/>
  <dc:description/>
  <cp:lastModifiedBy>admin</cp:lastModifiedBy>
  <cp:revision>2</cp:revision>
  <dcterms:created xsi:type="dcterms:W3CDTF">2014-03-20T07:47:00Z</dcterms:created>
  <dcterms:modified xsi:type="dcterms:W3CDTF">2014-03-20T07:47:00Z</dcterms:modified>
</cp:coreProperties>
</file>