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840" w:rsidRDefault="009B6840" w:rsidP="00F40F0B"/>
    <w:p w:rsidR="00F40F0B" w:rsidRDefault="00F40F0B" w:rsidP="00F40F0B">
      <w:pPr>
        <w:rPr>
          <w:sz w:val="28"/>
          <w:szCs w:val="28"/>
        </w:rPr>
      </w:pPr>
      <w:r>
        <w:t xml:space="preserve">                   </w:t>
      </w:r>
      <w:r>
        <w:rPr>
          <w:sz w:val="28"/>
          <w:szCs w:val="28"/>
        </w:rPr>
        <w:t xml:space="preserve">МОСКОВСКИЙ ГОСУДАРСТВЕННЫЙ УНИВЕРСИТЕТ </w:t>
      </w:r>
    </w:p>
    <w:p w:rsidR="00F40F0B" w:rsidRDefault="00F40F0B" w:rsidP="00F40F0B">
      <w:pPr>
        <w:rPr>
          <w:sz w:val="28"/>
          <w:szCs w:val="28"/>
        </w:rPr>
      </w:pPr>
      <w:r>
        <w:rPr>
          <w:sz w:val="28"/>
          <w:szCs w:val="28"/>
        </w:rPr>
        <w:t xml:space="preserve">                              ПРИБОРОСТРОЕНИЯ И  ИНФОРМАТИКИ</w:t>
      </w:r>
    </w:p>
    <w:p w:rsidR="00F40F0B" w:rsidRDefault="00F40F0B" w:rsidP="00F40F0B">
      <w:pPr>
        <w:rPr>
          <w:sz w:val="28"/>
          <w:szCs w:val="28"/>
        </w:rPr>
      </w:pPr>
    </w:p>
    <w:p w:rsidR="00F40F0B" w:rsidRDefault="00F40F0B" w:rsidP="00F40F0B">
      <w:pPr>
        <w:rPr>
          <w:sz w:val="28"/>
          <w:szCs w:val="28"/>
        </w:rPr>
      </w:pPr>
      <w:r>
        <w:rPr>
          <w:sz w:val="28"/>
          <w:szCs w:val="28"/>
        </w:rPr>
        <w:t xml:space="preserve">          КАФЕДРА ЭКОНОМИЧЕСКИЕ ИНФОРМАЦИОННЫЕ СИСТЕМЫ</w:t>
      </w:r>
    </w:p>
    <w:p w:rsidR="00F40F0B" w:rsidRDefault="00F40F0B" w:rsidP="00F40F0B"/>
    <w:p w:rsidR="00F40F0B" w:rsidRDefault="00F40F0B" w:rsidP="00F40F0B"/>
    <w:p w:rsidR="00F40F0B" w:rsidRDefault="00F40F0B" w:rsidP="00F40F0B"/>
    <w:p w:rsidR="00F40F0B" w:rsidRDefault="00F40F0B" w:rsidP="00F40F0B"/>
    <w:p w:rsidR="00F40F0B" w:rsidRDefault="00F40F0B" w:rsidP="00F40F0B"/>
    <w:p w:rsidR="00F40F0B" w:rsidRDefault="00F40F0B" w:rsidP="00F40F0B"/>
    <w:p w:rsidR="00F40F0B" w:rsidRDefault="00F40F0B" w:rsidP="00F40F0B"/>
    <w:p w:rsidR="00F40F0B" w:rsidRDefault="00F40F0B" w:rsidP="00F40F0B"/>
    <w:p w:rsidR="00F40F0B" w:rsidRDefault="00F40F0B" w:rsidP="00F40F0B"/>
    <w:p w:rsidR="00F40F0B" w:rsidRDefault="00F40F0B" w:rsidP="00F40F0B"/>
    <w:p w:rsidR="00F40F0B" w:rsidRDefault="00F40F0B" w:rsidP="00F40F0B">
      <w:r>
        <w:t xml:space="preserve"> </w:t>
      </w:r>
    </w:p>
    <w:p w:rsidR="00F40F0B" w:rsidRDefault="00F40F0B" w:rsidP="00F40F0B">
      <w:pPr>
        <w:tabs>
          <w:tab w:val="left" w:pos="1826"/>
        </w:tabs>
        <w:rPr>
          <w:b/>
          <w:sz w:val="44"/>
          <w:szCs w:val="44"/>
        </w:rPr>
      </w:pPr>
      <w:r>
        <w:rPr>
          <w:b/>
          <w:sz w:val="44"/>
          <w:szCs w:val="44"/>
        </w:rPr>
        <w:t xml:space="preserve">              Курсовая работа по дисциплине </w:t>
      </w:r>
    </w:p>
    <w:p w:rsidR="00F40F0B" w:rsidRDefault="00F40F0B" w:rsidP="00F40F0B">
      <w:pPr>
        <w:tabs>
          <w:tab w:val="left" w:pos="1826"/>
        </w:tabs>
        <w:rPr>
          <w:b/>
          <w:sz w:val="40"/>
          <w:szCs w:val="40"/>
        </w:rPr>
      </w:pPr>
      <w:r>
        <w:rPr>
          <w:b/>
          <w:sz w:val="40"/>
          <w:szCs w:val="40"/>
        </w:rPr>
        <w:t xml:space="preserve">                             Финансы и кредит</w:t>
      </w:r>
    </w:p>
    <w:p w:rsidR="00F40F0B" w:rsidRDefault="00F40F0B" w:rsidP="00F40F0B">
      <w:pPr>
        <w:tabs>
          <w:tab w:val="left" w:pos="1826"/>
        </w:tabs>
        <w:rPr>
          <w:sz w:val="40"/>
          <w:szCs w:val="40"/>
        </w:rPr>
      </w:pPr>
      <w:r>
        <w:rPr>
          <w:sz w:val="40"/>
          <w:szCs w:val="40"/>
        </w:rPr>
        <w:t xml:space="preserve">                                       на тему:</w:t>
      </w:r>
    </w:p>
    <w:p w:rsidR="00F40F0B" w:rsidRDefault="00F40F0B" w:rsidP="00F40F0B">
      <w:pPr>
        <w:tabs>
          <w:tab w:val="left" w:pos="1826"/>
        </w:tabs>
        <w:rPr>
          <w:sz w:val="40"/>
          <w:szCs w:val="40"/>
        </w:rPr>
      </w:pPr>
      <w:r>
        <w:rPr>
          <w:sz w:val="40"/>
          <w:szCs w:val="40"/>
        </w:rPr>
        <w:t xml:space="preserve">    «</w:t>
      </w:r>
      <w:r w:rsidRPr="007F67A1">
        <w:rPr>
          <w:b/>
          <w:i/>
          <w:sz w:val="36"/>
          <w:szCs w:val="36"/>
        </w:rPr>
        <w:t>Инфляция, ее причины</w:t>
      </w:r>
      <w:r w:rsidR="000410CA" w:rsidRPr="000410CA">
        <w:rPr>
          <w:b/>
          <w:i/>
          <w:sz w:val="36"/>
          <w:szCs w:val="36"/>
        </w:rPr>
        <w:t>,</w:t>
      </w:r>
      <w:r w:rsidR="000410CA">
        <w:rPr>
          <w:b/>
          <w:i/>
          <w:sz w:val="36"/>
          <w:szCs w:val="36"/>
        </w:rPr>
        <w:t xml:space="preserve"> </w:t>
      </w:r>
      <w:r w:rsidRPr="007F67A1">
        <w:rPr>
          <w:b/>
          <w:i/>
          <w:sz w:val="36"/>
          <w:szCs w:val="36"/>
        </w:rPr>
        <w:t>виды,</w:t>
      </w:r>
      <w:r w:rsidR="000410CA">
        <w:rPr>
          <w:b/>
          <w:i/>
          <w:sz w:val="36"/>
          <w:szCs w:val="36"/>
        </w:rPr>
        <w:t xml:space="preserve"> </w:t>
      </w:r>
      <w:r w:rsidRPr="007F67A1">
        <w:rPr>
          <w:b/>
          <w:i/>
          <w:sz w:val="36"/>
          <w:szCs w:val="36"/>
        </w:rPr>
        <w:t>способы борьбы с ней.</w:t>
      </w:r>
      <w:r>
        <w:rPr>
          <w:sz w:val="40"/>
          <w:szCs w:val="40"/>
        </w:rPr>
        <w:t xml:space="preserve">» </w:t>
      </w:r>
    </w:p>
    <w:p w:rsidR="00F40F0B" w:rsidRDefault="00F40F0B" w:rsidP="00F40F0B">
      <w:pPr>
        <w:rPr>
          <w:sz w:val="40"/>
          <w:szCs w:val="40"/>
        </w:rPr>
      </w:pPr>
    </w:p>
    <w:p w:rsidR="00F40F0B" w:rsidRDefault="00F40F0B" w:rsidP="00F40F0B"/>
    <w:p w:rsidR="00F40F0B" w:rsidRDefault="00F40F0B" w:rsidP="00F40F0B"/>
    <w:p w:rsidR="00F40F0B" w:rsidRDefault="00F40F0B" w:rsidP="00F40F0B"/>
    <w:p w:rsidR="00F40F0B" w:rsidRDefault="00F40F0B" w:rsidP="00F40F0B"/>
    <w:p w:rsidR="00F40F0B" w:rsidRDefault="00F40F0B" w:rsidP="00F40F0B"/>
    <w:p w:rsidR="00F40F0B" w:rsidRDefault="00F40F0B" w:rsidP="00F40F0B"/>
    <w:p w:rsidR="00F40F0B" w:rsidRDefault="00F40F0B" w:rsidP="00F40F0B"/>
    <w:p w:rsidR="00F40F0B" w:rsidRDefault="00F40F0B" w:rsidP="00F40F0B"/>
    <w:p w:rsidR="00F40F0B" w:rsidRDefault="00F40F0B" w:rsidP="00F40F0B"/>
    <w:p w:rsidR="00F40F0B" w:rsidRDefault="00F40F0B" w:rsidP="00F40F0B"/>
    <w:p w:rsidR="00F40F0B" w:rsidRDefault="00F40F0B" w:rsidP="00F40F0B">
      <w:pPr>
        <w:tabs>
          <w:tab w:val="left" w:pos="5265"/>
          <w:tab w:val="left" w:pos="5931"/>
          <w:tab w:val="left" w:pos="6350"/>
          <w:tab w:val="left" w:pos="6837"/>
        </w:tabs>
        <w:rPr>
          <w:sz w:val="28"/>
          <w:szCs w:val="28"/>
          <w:u w:val="single"/>
        </w:rPr>
      </w:pPr>
      <w:r>
        <w:tab/>
        <w:t xml:space="preserve">                    </w:t>
      </w:r>
      <w:r>
        <w:rPr>
          <w:sz w:val="28"/>
          <w:szCs w:val="28"/>
          <w:u w:val="single"/>
        </w:rPr>
        <w:t>Выполнила:</w:t>
      </w:r>
    </w:p>
    <w:p w:rsidR="00F40F0B" w:rsidRDefault="00F40F0B" w:rsidP="00F40F0B">
      <w:pPr>
        <w:tabs>
          <w:tab w:val="left" w:pos="5220"/>
          <w:tab w:val="left" w:pos="5920"/>
          <w:tab w:val="left" w:pos="6270"/>
          <w:tab w:val="left" w:pos="6384"/>
          <w:tab w:val="left" w:pos="6849"/>
        </w:tabs>
        <w:rPr>
          <w:sz w:val="28"/>
          <w:szCs w:val="28"/>
          <w:lang w:val="en-US"/>
        </w:rPr>
      </w:pPr>
      <w:r>
        <w:rPr>
          <w:sz w:val="28"/>
          <w:szCs w:val="28"/>
        </w:rPr>
        <w:tab/>
        <w:t xml:space="preserve">                 студентка </w:t>
      </w:r>
      <w:r>
        <w:rPr>
          <w:sz w:val="28"/>
          <w:szCs w:val="28"/>
          <w:lang w:val="en-US"/>
        </w:rPr>
        <w:t>III</w:t>
      </w:r>
      <w:r>
        <w:rPr>
          <w:sz w:val="28"/>
          <w:szCs w:val="28"/>
        </w:rPr>
        <w:t xml:space="preserve"> курса</w:t>
      </w:r>
    </w:p>
    <w:p w:rsidR="008F55CD" w:rsidRPr="008F55CD" w:rsidRDefault="008F55CD" w:rsidP="008F55CD">
      <w:pPr>
        <w:tabs>
          <w:tab w:val="left" w:pos="708"/>
          <w:tab w:val="left" w:pos="1416"/>
          <w:tab w:val="left" w:pos="2124"/>
          <w:tab w:val="left" w:pos="2832"/>
          <w:tab w:val="left" w:pos="3540"/>
          <w:tab w:val="left" w:pos="4248"/>
          <w:tab w:val="left" w:pos="4956"/>
          <w:tab w:val="left" w:pos="5664"/>
        </w:tabs>
        <w:rPr>
          <w:sz w:val="28"/>
          <w:szCs w:val="28"/>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специальность 080801</w:t>
      </w:r>
    </w:p>
    <w:p w:rsidR="00F40F0B" w:rsidRDefault="00F40F0B" w:rsidP="00F40F0B">
      <w:pPr>
        <w:tabs>
          <w:tab w:val="left" w:pos="5340"/>
          <w:tab w:val="left" w:pos="6000"/>
          <w:tab w:val="left" w:pos="6350"/>
          <w:tab w:val="left" w:pos="6849"/>
        </w:tabs>
        <w:rPr>
          <w:sz w:val="28"/>
          <w:szCs w:val="28"/>
        </w:rPr>
      </w:pPr>
      <w:r>
        <w:rPr>
          <w:sz w:val="28"/>
          <w:szCs w:val="28"/>
        </w:rPr>
        <w:t xml:space="preserve">                 </w:t>
      </w:r>
      <w:r>
        <w:rPr>
          <w:sz w:val="28"/>
          <w:szCs w:val="28"/>
        </w:rPr>
        <w:tab/>
        <w:t xml:space="preserve">                группы ЭФ-2</w:t>
      </w:r>
    </w:p>
    <w:p w:rsidR="00F40F0B" w:rsidRDefault="00F40F0B" w:rsidP="00F40F0B">
      <w:pPr>
        <w:tabs>
          <w:tab w:val="left" w:pos="5370"/>
          <w:tab w:val="left" w:pos="5989"/>
          <w:tab w:val="left" w:pos="6350"/>
          <w:tab w:val="left" w:pos="6849"/>
        </w:tabs>
        <w:rPr>
          <w:sz w:val="28"/>
          <w:szCs w:val="28"/>
        </w:rPr>
      </w:pPr>
      <w:r>
        <w:rPr>
          <w:sz w:val="28"/>
          <w:szCs w:val="28"/>
        </w:rPr>
        <w:tab/>
        <w:t xml:space="preserve">               Дубовицкая Е.Ю.</w:t>
      </w:r>
    </w:p>
    <w:p w:rsidR="00F40F0B" w:rsidRDefault="00F40F0B" w:rsidP="00F40F0B">
      <w:pPr>
        <w:tabs>
          <w:tab w:val="left" w:pos="6849"/>
        </w:tabs>
        <w:rPr>
          <w:sz w:val="28"/>
          <w:szCs w:val="28"/>
        </w:rPr>
      </w:pPr>
    </w:p>
    <w:p w:rsidR="00F40F0B" w:rsidRDefault="00F40F0B" w:rsidP="00F40F0B">
      <w:pPr>
        <w:tabs>
          <w:tab w:val="left" w:pos="5430"/>
          <w:tab w:val="left" w:pos="5985"/>
          <w:tab w:val="left" w:pos="6849"/>
        </w:tabs>
        <w:rPr>
          <w:sz w:val="28"/>
          <w:szCs w:val="28"/>
          <w:u w:val="single"/>
        </w:rPr>
      </w:pPr>
      <w:r>
        <w:rPr>
          <w:sz w:val="28"/>
          <w:szCs w:val="28"/>
        </w:rPr>
        <w:tab/>
        <w:t xml:space="preserve">               </w:t>
      </w:r>
      <w:r>
        <w:rPr>
          <w:sz w:val="28"/>
          <w:szCs w:val="28"/>
          <w:u w:val="single"/>
        </w:rPr>
        <w:t>Проверила:</w:t>
      </w:r>
    </w:p>
    <w:p w:rsidR="00F40F0B" w:rsidRDefault="00F40F0B" w:rsidP="00F40F0B">
      <w:pPr>
        <w:tabs>
          <w:tab w:val="left" w:pos="5985"/>
          <w:tab w:val="left" w:pos="6849"/>
        </w:tabs>
        <w:rPr>
          <w:sz w:val="28"/>
          <w:szCs w:val="28"/>
        </w:rPr>
      </w:pPr>
      <w:r>
        <w:rPr>
          <w:sz w:val="28"/>
          <w:szCs w:val="28"/>
        </w:rPr>
        <w:t xml:space="preserve">                                                                                           </w:t>
      </w:r>
      <w:r w:rsidR="00420C0B">
        <w:rPr>
          <w:sz w:val="28"/>
          <w:szCs w:val="28"/>
        </w:rPr>
        <w:t xml:space="preserve">  </w:t>
      </w:r>
      <w:r>
        <w:rPr>
          <w:sz w:val="28"/>
          <w:szCs w:val="28"/>
        </w:rPr>
        <w:t>преподаватель</w:t>
      </w:r>
    </w:p>
    <w:p w:rsidR="00F40F0B" w:rsidRDefault="00F40F0B" w:rsidP="00F40F0B">
      <w:pPr>
        <w:tabs>
          <w:tab w:val="left" w:pos="5985"/>
        </w:tabs>
        <w:rPr>
          <w:sz w:val="28"/>
        </w:rPr>
      </w:pPr>
      <w:r>
        <w:rPr>
          <w:rFonts w:cs="Tahoma"/>
          <w:sz w:val="28"/>
          <w:szCs w:val="20"/>
          <w:lang w:val="x-none"/>
        </w:rPr>
        <w:t xml:space="preserve">                                                                             </w:t>
      </w:r>
      <w:r>
        <w:rPr>
          <w:rFonts w:cs="Tahoma"/>
          <w:sz w:val="28"/>
          <w:szCs w:val="20"/>
        </w:rPr>
        <w:t xml:space="preserve">              </w:t>
      </w:r>
      <w:r w:rsidR="00420C0B">
        <w:rPr>
          <w:rFonts w:cs="Tahoma"/>
          <w:sz w:val="28"/>
          <w:szCs w:val="20"/>
        </w:rPr>
        <w:t xml:space="preserve">  </w:t>
      </w:r>
      <w:r>
        <w:rPr>
          <w:rFonts w:cs="Tahoma"/>
          <w:sz w:val="28"/>
          <w:szCs w:val="20"/>
        </w:rPr>
        <w:t>Абрамян С.И.</w:t>
      </w:r>
    </w:p>
    <w:p w:rsidR="00F40F0B" w:rsidRDefault="00F40F0B" w:rsidP="00F40F0B">
      <w:pPr>
        <w:rPr>
          <w:sz w:val="28"/>
        </w:rPr>
      </w:pPr>
    </w:p>
    <w:p w:rsidR="00F40F0B" w:rsidRDefault="00F40F0B" w:rsidP="00F40F0B"/>
    <w:p w:rsidR="00F40F0B" w:rsidRDefault="00F40F0B" w:rsidP="00F40F0B"/>
    <w:p w:rsidR="00F40F0B" w:rsidRDefault="00F40F0B" w:rsidP="00F40F0B">
      <w:pPr>
        <w:rPr>
          <w:lang w:val="en-US"/>
        </w:rPr>
      </w:pPr>
    </w:p>
    <w:p w:rsidR="00E84BF0" w:rsidRPr="00E84BF0" w:rsidRDefault="00E84BF0" w:rsidP="00F40F0B">
      <w:pPr>
        <w:rPr>
          <w:lang w:val="en-US"/>
        </w:rPr>
      </w:pPr>
    </w:p>
    <w:p w:rsidR="00F40F0B" w:rsidRDefault="00F40F0B" w:rsidP="00F40F0B"/>
    <w:p w:rsidR="00F40F0B" w:rsidRDefault="00F40F0B" w:rsidP="00F40F0B">
      <w:pPr>
        <w:tabs>
          <w:tab w:val="left" w:pos="3402"/>
        </w:tabs>
      </w:pPr>
      <w:r>
        <w:tab/>
      </w:r>
      <w:r>
        <w:rPr>
          <w:sz w:val="28"/>
          <w:szCs w:val="28"/>
        </w:rPr>
        <w:t>Москва, 2009</w:t>
      </w:r>
    </w:p>
    <w:p w:rsidR="007F67A1" w:rsidRDefault="00E84BF0" w:rsidP="00E67C55">
      <w:pPr>
        <w:jc w:val="both"/>
        <w:rPr>
          <w:b/>
          <w:sz w:val="28"/>
          <w:szCs w:val="28"/>
        </w:rPr>
      </w:pPr>
      <w:r>
        <w:rPr>
          <w:b/>
          <w:sz w:val="28"/>
          <w:szCs w:val="28"/>
          <w:lang w:val="en-US"/>
        </w:rPr>
        <w:t>C</w:t>
      </w:r>
      <w:r w:rsidR="007F67A1" w:rsidRPr="00401956">
        <w:rPr>
          <w:b/>
          <w:sz w:val="28"/>
          <w:szCs w:val="28"/>
        </w:rPr>
        <w:t>одержание</w:t>
      </w:r>
    </w:p>
    <w:p w:rsidR="00401956" w:rsidRPr="00401956" w:rsidRDefault="00401956" w:rsidP="00E67C55">
      <w:pPr>
        <w:jc w:val="both"/>
      </w:pPr>
    </w:p>
    <w:p w:rsidR="007F67A1" w:rsidRPr="00401956" w:rsidRDefault="007F67A1" w:rsidP="007F67A1">
      <w:pPr>
        <w:jc w:val="both"/>
        <w:rPr>
          <w:sz w:val="28"/>
          <w:szCs w:val="28"/>
        </w:rPr>
      </w:pPr>
      <w:r w:rsidRPr="00401956">
        <w:rPr>
          <w:sz w:val="28"/>
          <w:szCs w:val="28"/>
        </w:rPr>
        <w:t>Теоретическая часть:</w:t>
      </w:r>
    </w:p>
    <w:p w:rsidR="007F67A1" w:rsidRPr="00401956" w:rsidRDefault="00A07F01" w:rsidP="00E67C55">
      <w:pPr>
        <w:jc w:val="both"/>
        <w:rPr>
          <w:sz w:val="28"/>
          <w:szCs w:val="28"/>
        </w:rPr>
      </w:pPr>
      <w:r w:rsidRPr="00401956">
        <w:rPr>
          <w:sz w:val="28"/>
          <w:szCs w:val="28"/>
        </w:rPr>
        <w:t xml:space="preserve"> </w:t>
      </w:r>
      <w:r w:rsidR="007F67A1" w:rsidRPr="00401956">
        <w:rPr>
          <w:sz w:val="28"/>
          <w:szCs w:val="28"/>
        </w:rPr>
        <w:t xml:space="preserve"> Введение</w:t>
      </w:r>
      <w:r w:rsidR="00EF3563" w:rsidRPr="00401956">
        <w:rPr>
          <w:sz w:val="28"/>
          <w:szCs w:val="28"/>
        </w:rPr>
        <w:t xml:space="preserve"> </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F3563" w:rsidRPr="00401956">
        <w:rPr>
          <w:sz w:val="28"/>
          <w:szCs w:val="28"/>
        </w:rPr>
        <w:t>2</w:t>
      </w:r>
    </w:p>
    <w:p w:rsidR="00A07F01" w:rsidRPr="00401956" w:rsidRDefault="00A07F01" w:rsidP="00A07F01">
      <w:pPr>
        <w:jc w:val="both"/>
        <w:rPr>
          <w:sz w:val="28"/>
          <w:szCs w:val="28"/>
        </w:rPr>
      </w:pPr>
      <w:r w:rsidRPr="00401956">
        <w:rPr>
          <w:sz w:val="28"/>
          <w:szCs w:val="28"/>
        </w:rPr>
        <w:t xml:space="preserve">  Понятие инфляции</w:t>
      </w:r>
      <w:r w:rsidR="00EF3563" w:rsidRPr="00401956">
        <w:rPr>
          <w:sz w:val="28"/>
          <w:szCs w:val="28"/>
        </w:rPr>
        <w:t xml:space="preserve"> </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F3563" w:rsidRPr="00401956">
        <w:rPr>
          <w:sz w:val="28"/>
          <w:szCs w:val="28"/>
        </w:rPr>
        <w:t>3</w:t>
      </w:r>
    </w:p>
    <w:p w:rsidR="00A07F01" w:rsidRPr="00401956" w:rsidRDefault="00A07F01" w:rsidP="00A07F01">
      <w:pPr>
        <w:jc w:val="both"/>
        <w:rPr>
          <w:sz w:val="28"/>
          <w:szCs w:val="28"/>
        </w:rPr>
      </w:pPr>
      <w:r w:rsidRPr="00401956">
        <w:rPr>
          <w:sz w:val="28"/>
          <w:szCs w:val="28"/>
        </w:rPr>
        <w:t xml:space="preserve">  Причины инфляции</w:t>
      </w:r>
      <w:r w:rsidR="00EF3563" w:rsidRPr="00401956">
        <w:rPr>
          <w:sz w:val="28"/>
          <w:szCs w:val="28"/>
        </w:rPr>
        <w:t xml:space="preserve"> </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F3563" w:rsidRPr="00401956">
        <w:rPr>
          <w:sz w:val="28"/>
          <w:szCs w:val="28"/>
        </w:rPr>
        <w:t>3</w:t>
      </w:r>
    </w:p>
    <w:p w:rsidR="00A07F01" w:rsidRPr="00401956" w:rsidRDefault="00A07F01" w:rsidP="00A07F01">
      <w:pPr>
        <w:jc w:val="both"/>
        <w:rPr>
          <w:sz w:val="28"/>
          <w:szCs w:val="28"/>
        </w:rPr>
      </w:pPr>
      <w:r w:rsidRPr="00401956">
        <w:rPr>
          <w:sz w:val="28"/>
          <w:szCs w:val="28"/>
        </w:rPr>
        <w:t xml:space="preserve">  Виды инфляции</w:t>
      </w:r>
      <w:r w:rsidR="00EB705D">
        <w:rPr>
          <w:sz w:val="28"/>
          <w:szCs w:val="28"/>
        </w:rPr>
        <w:t xml:space="preserve"> </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F3563" w:rsidRPr="00401956">
        <w:rPr>
          <w:sz w:val="28"/>
          <w:szCs w:val="28"/>
        </w:rPr>
        <w:t>4</w:t>
      </w:r>
    </w:p>
    <w:p w:rsidR="00A07F01" w:rsidRPr="00401956" w:rsidRDefault="00A07F01" w:rsidP="00A07F01">
      <w:pPr>
        <w:rPr>
          <w:sz w:val="28"/>
          <w:szCs w:val="28"/>
        </w:rPr>
      </w:pPr>
      <w:r w:rsidRPr="00401956">
        <w:rPr>
          <w:sz w:val="28"/>
          <w:szCs w:val="28"/>
        </w:rPr>
        <w:t xml:space="preserve">  Способы борьбы с инфляцией</w:t>
      </w:r>
      <w:r w:rsidR="00EF3563" w:rsidRPr="00401956">
        <w:rPr>
          <w:sz w:val="28"/>
          <w:szCs w:val="28"/>
        </w:rPr>
        <w:t xml:space="preserve"> </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F3563" w:rsidRPr="00401956">
        <w:rPr>
          <w:sz w:val="28"/>
          <w:szCs w:val="28"/>
        </w:rPr>
        <w:t>7</w:t>
      </w:r>
    </w:p>
    <w:p w:rsidR="007F67A1" w:rsidRPr="00401956" w:rsidRDefault="007F67A1" w:rsidP="00E67C55">
      <w:pPr>
        <w:jc w:val="both"/>
        <w:rPr>
          <w:sz w:val="28"/>
          <w:szCs w:val="28"/>
        </w:rPr>
      </w:pPr>
      <w:r w:rsidRPr="00401956">
        <w:rPr>
          <w:sz w:val="28"/>
          <w:szCs w:val="28"/>
        </w:rPr>
        <w:t xml:space="preserve">  Заключение</w:t>
      </w:r>
      <w:r w:rsidR="00EF3563" w:rsidRPr="00EB705D">
        <w:rPr>
          <w:sz w:val="28"/>
          <w:szCs w:val="28"/>
        </w:rPr>
        <w:t xml:space="preserve"> </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F3563" w:rsidRPr="00401956">
        <w:rPr>
          <w:sz w:val="28"/>
          <w:szCs w:val="28"/>
        </w:rPr>
        <w:t>11</w:t>
      </w:r>
    </w:p>
    <w:p w:rsidR="00EB705D" w:rsidRDefault="007F67A1" w:rsidP="00E67C55">
      <w:pPr>
        <w:jc w:val="both"/>
        <w:rPr>
          <w:sz w:val="28"/>
          <w:szCs w:val="28"/>
        </w:rPr>
      </w:pPr>
      <w:r w:rsidRPr="00401956">
        <w:rPr>
          <w:sz w:val="28"/>
          <w:szCs w:val="28"/>
        </w:rPr>
        <w:t>Расчётная часть</w:t>
      </w:r>
      <w:r w:rsidR="00EB705D">
        <w:rPr>
          <w:sz w:val="28"/>
          <w:szCs w:val="28"/>
        </w:rPr>
        <w:t>:</w:t>
      </w:r>
    </w:p>
    <w:p w:rsidR="007F67A1" w:rsidRPr="00401956" w:rsidRDefault="00EB705D" w:rsidP="00E67C55">
      <w:pPr>
        <w:jc w:val="both"/>
        <w:rPr>
          <w:sz w:val="36"/>
          <w:szCs w:val="36"/>
        </w:rPr>
      </w:pPr>
      <w:r>
        <w:rPr>
          <w:sz w:val="28"/>
          <w:szCs w:val="28"/>
        </w:rPr>
        <w:t xml:space="preserve">  Оценка кредитоспособности </w:t>
      </w:r>
      <w:r w:rsidRPr="00EB705D">
        <w:rPr>
          <w:sz w:val="28"/>
          <w:szCs w:val="28"/>
        </w:rPr>
        <w:t>…</w:t>
      </w:r>
      <w:r>
        <w:rPr>
          <w:sz w:val="28"/>
          <w:szCs w:val="28"/>
        </w:rPr>
        <w:t>…</w:t>
      </w:r>
      <w:r w:rsidRPr="00EB705D">
        <w:rPr>
          <w:sz w:val="28"/>
          <w:szCs w:val="28"/>
        </w:rPr>
        <w:t>…</w:t>
      </w:r>
      <w:r>
        <w:rPr>
          <w:sz w:val="28"/>
          <w:szCs w:val="28"/>
        </w:rPr>
        <w:t>…</w:t>
      </w:r>
      <w:r w:rsidRPr="00EB705D">
        <w:rPr>
          <w:sz w:val="28"/>
          <w:szCs w:val="28"/>
        </w:rPr>
        <w:t>…</w:t>
      </w:r>
      <w:r>
        <w:rPr>
          <w:sz w:val="28"/>
          <w:szCs w:val="28"/>
        </w:rPr>
        <w:t>…</w:t>
      </w:r>
      <w:r w:rsidRPr="00EB705D">
        <w:rPr>
          <w:sz w:val="28"/>
          <w:szCs w:val="28"/>
        </w:rPr>
        <w:t>…</w:t>
      </w:r>
      <w:r>
        <w:rPr>
          <w:sz w:val="28"/>
          <w:szCs w:val="28"/>
        </w:rPr>
        <w:t>…</w:t>
      </w:r>
      <w:r w:rsidRPr="00EB705D">
        <w:rPr>
          <w:sz w:val="28"/>
          <w:szCs w:val="28"/>
        </w:rPr>
        <w:t>…</w:t>
      </w:r>
      <w:r>
        <w:rPr>
          <w:sz w:val="28"/>
          <w:szCs w:val="28"/>
        </w:rPr>
        <w:t>…</w:t>
      </w:r>
      <w:r w:rsidRPr="00EB705D">
        <w:rPr>
          <w:sz w:val="28"/>
          <w:szCs w:val="28"/>
        </w:rPr>
        <w:t>…</w:t>
      </w:r>
      <w:r>
        <w:rPr>
          <w:sz w:val="28"/>
          <w:szCs w:val="28"/>
        </w:rPr>
        <w:t>…</w:t>
      </w:r>
      <w:r w:rsidRPr="00EB705D">
        <w:rPr>
          <w:sz w:val="28"/>
          <w:szCs w:val="28"/>
        </w:rPr>
        <w:t>…</w:t>
      </w:r>
      <w:r>
        <w:rPr>
          <w:sz w:val="28"/>
          <w:szCs w:val="28"/>
        </w:rPr>
        <w:t>…</w:t>
      </w:r>
      <w:r w:rsidRPr="00EB705D">
        <w:rPr>
          <w:sz w:val="28"/>
          <w:szCs w:val="28"/>
        </w:rPr>
        <w:t>…</w:t>
      </w:r>
      <w:r>
        <w:rPr>
          <w:sz w:val="28"/>
          <w:szCs w:val="28"/>
        </w:rPr>
        <w:t>…</w:t>
      </w:r>
      <w:r w:rsidRPr="00EB705D">
        <w:rPr>
          <w:sz w:val="28"/>
          <w:szCs w:val="28"/>
        </w:rPr>
        <w:t>…</w:t>
      </w:r>
      <w:r>
        <w:rPr>
          <w:sz w:val="28"/>
          <w:szCs w:val="28"/>
        </w:rPr>
        <w:t>…13</w:t>
      </w:r>
    </w:p>
    <w:p w:rsidR="00082BDB" w:rsidRPr="00401956" w:rsidRDefault="00A07F01" w:rsidP="00E67C55">
      <w:pPr>
        <w:jc w:val="both"/>
        <w:rPr>
          <w:sz w:val="36"/>
          <w:szCs w:val="36"/>
        </w:rPr>
      </w:pPr>
      <w:r w:rsidRPr="00401956">
        <w:rPr>
          <w:sz w:val="28"/>
          <w:szCs w:val="28"/>
        </w:rPr>
        <w:t>Список использованной литературы</w:t>
      </w:r>
      <w:r w:rsidR="00EB705D">
        <w:rPr>
          <w:sz w:val="28"/>
          <w:szCs w:val="28"/>
        </w:rPr>
        <w:t xml:space="preserve"> …</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EB705D">
        <w:rPr>
          <w:sz w:val="28"/>
          <w:szCs w:val="28"/>
        </w:rPr>
        <w:t>…</w:t>
      </w:r>
      <w:r w:rsidR="00EB705D">
        <w:rPr>
          <w:sz w:val="28"/>
          <w:szCs w:val="28"/>
        </w:rPr>
        <w:t>…</w:t>
      </w:r>
      <w:r w:rsidR="00EB705D" w:rsidRPr="00D45551">
        <w:rPr>
          <w:sz w:val="28"/>
          <w:szCs w:val="28"/>
        </w:rPr>
        <w:t>.</w:t>
      </w:r>
      <w:r w:rsidR="00EB705D">
        <w:rPr>
          <w:sz w:val="28"/>
          <w:szCs w:val="28"/>
        </w:rPr>
        <w:t>17</w:t>
      </w:r>
    </w:p>
    <w:p w:rsidR="00082BDB" w:rsidRPr="00401956" w:rsidRDefault="00082BDB" w:rsidP="00E67C55">
      <w:pPr>
        <w:jc w:val="both"/>
        <w:rPr>
          <w:b/>
          <w:sz w:val="36"/>
          <w:szCs w:val="36"/>
        </w:rPr>
      </w:pPr>
    </w:p>
    <w:p w:rsidR="00082BDB" w:rsidRDefault="00082BDB" w:rsidP="00E67C55">
      <w:pPr>
        <w:jc w:val="both"/>
        <w:rPr>
          <w:b/>
          <w:i/>
          <w:sz w:val="36"/>
          <w:szCs w:val="36"/>
        </w:rPr>
      </w:pPr>
    </w:p>
    <w:p w:rsidR="00082BDB" w:rsidRDefault="00082BDB" w:rsidP="00E67C55">
      <w:pPr>
        <w:jc w:val="both"/>
        <w:rPr>
          <w:b/>
          <w:i/>
          <w:sz w:val="36"/>
          <w:szCs w:val="36"/>
        </w:rPr>
      </w:pPr>
    </w:p>
    <w:p w:rsidR="00082BDB" w:rsidRDefault="00082BDB" w:rsidP="00E67C55">
      <w:pPr>
        <w:jc w:val="both"/>
        <w:rPr>
          <w:b/>
          <w:i/>
          <w:sz w:val="36"/>
          <w:szCs w:val="36"/>
        </w:rPr>
      </w:pPr>
    </w:p>
    <w:p w:rsidR="00082BDB" w:rsidRDefault="00082BDB" w:rsidP="00E67C55">
      <w:pPr>
        <w:jc w:val="both"/>
        <w:rPr>
          <w:b/>
          <w:i/>
          <w:sz w:val="36"/>
          <w:szCs w:val="36"/>
        </w:rPr>
      </w:pPr>
    </w:p>
    <w:p w:rsidR="00082BDB" w:rsidRDefault="00082BDB" w:rsidP="00E67C55">
      <w:pPr>
        <w:jc w:val="both"/>
        <w:rPr>
          <w:b/>
          <w:i/>
          <w:sz w:val="36"/>
          <w:szCs w:val="36"/>
        </w:rPr>
      </w:pPr>
    </w:p>
    <w:p w:rsidR="00082BDB" w:rsidRDefault="00082BDB" w:rsidP="00E67C55">
      <w:pPr>
        <w:jc w:val="both"/>
        <w:rPr>
          <w:b/>
          <w:i/>
          <w:sz w:val="36"/>
          <w:szCs w:val="36"/>
        </w:rPr>
      </w:pPr>
    </w:p>
    <w:p w:rsidR="00082BDB" w:rsidRDefault="00082BDB" w:rsidP="00E67C55">
      <w:pPr>
        <w:jc w:val="both"/>
        <w:rPr>
          <w:b/>
          <w:i/>
          <w:sz w:val="36"/>
          <w:szCs w:val="36"/>
        </w:rPr>
      </w:pPr>
    </w:p>
    <w:p w:rsidR="00082BDB" w:rsidRDefault="00082BDB" w:rsidP="00E67C55">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082BDB" w:rsidRDefault="00082BDB" w:rsidP="00082BDB">
      <w:pPr>
        <w:jc w:val="both"/>
        <w:rPr>
          <w:b/>
          <w:i/>
          <w:sz w:val="36"/>
          <w:szCs w:val="36"/>
        </w:rPr>
      </w:pPr>
    </w:p>
    <w:p w:rsidR="00D45551" w:rsidRDefault="00D45551" w:rsidP="004067D3">
      <w:pPr>
        <w:jc w:val="both"/>
        <w:rPr>
          <w:b/>
          <w:i/>
          <w:sz w:val="28"/>
          <w:szCs w:val="28"/>
          <w:lang w:val="en-US"/>
        </w:rPr>
      </w:pPr>
    </w:p>
    <w:p w:rsidR="00082BDB" w:rsidRPr="000341D2" w:rsidRDefault="00082BDB" w:rsidP="004067D3">
      <w:pPr>
        <w:jc w:val="both"/>
        <w:rPr>
          <w:b/>
          <w:i/>
          <w:sz w:val="28"/>
          <w:szCs w:val="28"/>
        </w:rPr>
      </w:pPr>
      <w:r w:rsidRPr="000341D2">
        <w:rPr>
          <w:b/>
          <w:i/>
          <w:sz w:val="28"/>
          <w:szCs w:val="28"/>
        </w:rPr>
        <w:t>Введение</w:t>
      </w:r>
    </w:p>
    <w:p w:rsidR="00DD7B2F" w:rsidRDefault="00DD7B2F" w:rsidP="004067D3">
      <w:pPr>
        <w:jc w:val="both"/>
      </w:pPr>
      <w:r>
        <w:t>Инфляционные тенденции органично присущи функционированию рыночного механизма, сложившегося в индустриально развитых странах к середине XX века. Тому способствовали два основных фактора: принципиальная перестройка финансовой и кредитно-денежной системы и формирование олигополистической структуры экономики.</w:t>
      </w:r>
    </w:p>
    <w:p w:rsidR="00DD7B2F" w:rsidRDefault="00DD7B2F" w:rsidP="004067D3">
      <w:pPr>
        <w:jc w:val="both"/>
      </w:pPr>
      <w:r>
        <w:t>Переход нашей экономики на рыночные отношения резко повысил значение денег. Проблемы денежного хозяйства становятся основными и в практических мероприятиях по реконструкции народного хозяйства, и в теоретических исследованиях. Поэтому, несмотря на оживленное обсуждение указанных вопросов на страницах экономической прессы, актуальность их не уменьшается. Высокая стоимость анализа инфляционных процессов, большое число действующих факторов затрудняют выработку правильной денежной политики.</w:t>
      </w:r>
    </w:p>
    <w:p w:rsidR="00DD7B2F" w:rsidRDefault="00DD7B2F" w:rsidP="004067D3">
      <w:pPr>
        <w:jc w:val="both"/>
      </w:pPr>
      <w:r>
        <w:t>Как показывает опыт нашей, а также других стран, переход на рыночные отношения сопровождается быстрым ростом цен, усилением действия инфляционных факторов. Очень важно правильно оценить, является ли сам переход на рыночные отношения причиной углубления инфляции или при этих отношениях накопленный ранее инфляционный потенциал получает свое реальное выражение.</w:t>
      </w:r>
    </w:p>
    <w:p w:rsidR="00DD7B2F" w:rsidRDefault="00DD7B2F" w:rsidP="004067D3">
      <w:pPr>
        <w:jc w:val="both"/>
      </w:pPr>
      <w:r>
        <w:t>Очевидно, что в условиях рыночных отношений возможности искусственного сдерживания инфляции резко сокращаются. Вместе с тем непоследовательность в принятии решений по переходу к рынку, непродуманность некоторых шагов усугубляют имеющиеся трудности, усиливают инфляционные процессы.</w:t>
      </w:r>
    </w:p>
    <w:p w:rsidR="00DD7B2F" w:rsidRDefault="00DD7B2F" w:rsidP="004067D3">
      <w:pPr>
        <w:jc w:val="both"/>
      </w:pPr>
      <w:r>
        <w:t>Опыт</w:t>
      </w:r>
      <w:r>
        <w:tab/>
        <w:t xml:space="preserve">многих   стран   показал,   что   длительное   функционирование централизованного   планирования,  как  правило, приводит к нарушению сбалансированности материальных и денежных потоков. </w:t>
      </w:r>
    </w:p>
    <w:p w:rsidR="00DD7B2F" w:rsidRDefault="00DD7B2F" w:rsidP="004067D3">
      <w:pPr>
        <w:jc w:val="both"/>
      </w:pPr>
      <w:r>
        <w:t>От чего же зависит количество денег, необходимое для обеспечения товарного обращения? Прежде всего от суммы цен товаров, которые подлежат реализации в течение определенного периода, скажем года. Чем больше товаров, тем больше требуется денежных единиц для их реализации.</w:t>
      </w:r>
    </w:p>
    <w:p w:rsidR="00DD7B2F" w:rsidRDefault="00DD7B2F" w:rsidP="004067D3">
      <w:pPr>
        <w:jc w:val="both"/>
      </w:pPr>
      <w:r>
        <w:t>Количество денег в обращении зависит далее от скорости оборота каждой денежной единицы. Это связано с тем, что одна и та же сумма денег может обслужить большее или меньшее число актов купли - продажи.</w:t>
      </w:r>
    </w:p>
    <w:p w:rsidR="00DD7B2F" w:rsidRDefault="00DD7B2F" w:rsidP="004067D3">
      <w:pPr>
        <w:jc w:val="both"/>
      </w:pPr>
      <w:r>
        <w:t>Превышение количества денежных единиц, находящихся в обращении, над суммой товарных цен и появление в результате этого денег, не обеспеченных товарами, означает инфляцию. Она приводит росту цен на товары (явному или скрытому). Поэтому индекс цен - один из главных и наиболее наглядных показателей наличия или отсутствия инфляции, ее глубины. Инфляция может вызываться разными факторами. Это и выпуск излишнего количества денежных единиц, и отставание производства товаров от роста платежеспособного спроса, и поступление на рынок товаров, не пользующихся спросом.</w:t>
      </w:r>
    </w:p>
    <w:p w:rsidR="00DD7B2F" w:rsidRDefault="00DD7B2F" w:rsidP="004067D3">
      <w:pPr>
        <w:jc w:val="both"/>
      </w:pPr>
      <w:r>
        <w:t>Инфляция - это переполнение финансовых каналов бумажными деньгами, что приводит к их обесцениванию.</w:t>
      </w:r>
    </w:p>
    <w:p w:rsidR="00DD7B2F" w:rsidRDefault="00DD7B2F" w:rsidP="004067D3">
      <w:pPr>
        <w:jc w:val="both"/>
      </w:pPr>
      <w:r>
        <w:t xml:space="preserve">Инфляция - это денежное явление, но она не ограничивается обесцениванием денег. Она проникает во все сферы экономической жизни и начинает разрушать эти сферы. От нее страдает государство, производство, финансовый рынок, но больше всех страдают люди. Во время инфляции происходит: </w:t>
      </w:r>
    </w:p>
    <w:p w:rsidR="00DD7B2F" w:rsidRDefault="00DD7B2F" w:rsidP="004067D3">
      <w:pPr>
        <w:jc w:val="both"/>
      </w:pPr>
      <w:r>
        <w:t xml:space="preserve">1.Обесценивание денег по отношению к золоту; </w:t>
      </w:r>
    </w:p>
    <w:p w:rsidR="00DD7B2F" w:rsidRDefault="00DD7B2F" w:rsidP="004067D3">
      <w:pPr>
        <w:jc w:val="both"/>
      </w:pPr>
      <w:r>
        <w:t xml:space="preserve">2.Обесценивание денег по отношению к товару; </w:t>
      </w:r>
    </w:p>
    <w:p w:rsidR="00DD7B2F" w:rsidRDefault="00DD7B2F" w:rsidP="004067D3">
      <w:pPr>
        <w:jc w:val="both"/>
      </w:pPr>
      <w:r>
        <w:t>3.Обесценивание денег по отношению к иностранной валюте.</w:t>
      </w:r>
    </w:p>
    <w:p w:rsidR="00DD7B2F" w:rsidRDefault="00DD7B2F" w:rsidP="004067D3">
      <w:pPr>
        <w:jc w:val="both"/>
      </w:pPr>
    </w:p>
    <w:p w:rsidR="00DD7B2F" w:rsidRDefault="00DD7B2F" w:rsidP="004067D3">
      <w:pPr>
        <w:jc w:val="both"/>
      </w:pPr>
    </w:p>
    <w:p w:rsidR="00DD7B2F" w:rsidRDefault="00DD7B2F" w:rsidP="004067D3">
      <w:pPr>
        <w:jc w:val="both"/>
      </w:pPr>
    </w:p>
    <w:p w:rsidR="00DD7B2F" w:rsidRDefault="00DD7B2F" w:rsidP="004067D3">
      <w:pPr>
        <w:jc w:val="both"/>
      </w:pPr>
    </w:p>
    <w:p w:rsidR="00DD7B2F" w:rsidRDefault="00DD7B2F" w:rsidP="004067D3">
      <w:pPr>
        <w:jc w:val="both"/>
      </w:pPr>
    </w:p>
    <w:p w:rsidR="00DD7B2F" w:rsidRPr="00327DB8" w:rsidRDefault="00DD7B2F" w:rsidP="004067D3">
      <w:pPr>
        <w:jc w:val="both"/>
        <w:rPr>
          <w:b/>
          <w:i/>
          <w:sz w:val="28"/>
          <w:szCs w:val="28"/>
        </w:rPr>
      </w:pPr>
      <w:r w:rsidRPr="00327DB8">
        <w:rPr>
          <w:b/>
          <w:i/>
          <w:sz w:val="28"/>
          <w:szCs w:val="28"/>
        </w:rPr>
        <w:t>Понятие инфляции</w:t>
      </w:r>
    </w:p>
    <w:p w:rsidR="007B7DFD" w:rsidRPr="000341D2" w:rsidRDefault="007B7DFD" w:rsidP="004067D3">
      <w:pPr>
        <w:jc w:val="both"/>
      </w:pPr>
      <w:r w:rsidRPr="000341D2">
        <w:t xml:space="preserve">Как экономическое явление инфляция существует уже длительное время. Считается, что ее появление связано чуть ли не с возникновением денег, с функционированием которых она неразрывно связана. </w:t>
      </w:r>
    </w:p>
    <w:p w:rsidR="007B7DFD" w:rsidRPr="000341D2" w:rsidRDefault="007B7DFD" w:rsidP="004067D3">
      <w:pPr>
        <w:jc w:val="both"/>
      </w:pPr>
      <w:r w:rsidRPr="000341D2">
        <w:t>Термин инфляция (от латинского inflation –вздутие) впервые стал употребляться в Северной Америке в период гражданской войны 1861-1865гг. и обозначал процесс разбухания бумажно-денежного обращения. В ХIХ веке этот термин употреблялся также в Англии и во Франции. Широкое распространение в экономической литературе понятие инфляция получило в ХХ веке сразу после первой мировой войны. В Cоветской экономической литературе понятие возникло лишь в середине 20-х годов.</w:t>
      </w:r>
    </w:p>
    <w:p w:rsidR="007B7DFD" w:rsidRPr="000341D2" w:rsidRDefault="007B7DFD" w:rsidP="004067D3">
      <w:pPr>
        <w:jc w:val="both"/>
      </w:pPr>
      <w:r w:rsidRPr="000341D2">
        <w:t>Наиболее лаконичное определение инфляции – повышение общего уровня цен, наиболее общее –переполнение каналов обращения денежной массы сверх потребностей товарооборота, что вызывает обесценивание денежной единицы и соответственно рост товарных цен.</w:t>
      </w:r>
    </w:p>
    <w:p w:rsidR="007B7DFD" w:rsidRPr="000341D2" w:rsidRDefault="007B7DFD" w:rsidP="004067D3">
      <w:pPr>
        <w:jc w:val="both"/>
      </w:pPr>
      <w:r w:rsidRPr="000341D2">
        <w:t>Однако трактовку инфляции как переполнение каналов денежного обращения обесценивающимися бумажными деньгами нельзя считать полной. Инфляция, хоть она проявляется только в росте цен, не является сугубо денежным феноменом. Инфляция есть тонкое социально-экономическое явление воспроизводства в различных сферах рыночного хозяйства. Одновременно, инфляция – одна из наиболее острых проблем современного развития экономики практически всех стран мира.</w:t>
      </w:r>
    </w:p>
    <w:p w:rsidR="007B7DFD" w:rsidRPr="000341D2" w:rsidRDefault="007B7DFD" w:rsidP="004067D3">
      <w:pPr>
        <w:jc w:val="both"/>
      </w:pPr>
      <w:r w:rsidRPr="000341D2">
        <w:t>Рост цен, с одной стороны, вызывает обесценивание денег, ибо на денежную единицу страны (скажем, на рубль) можно купить все меньше и меньше товаров и услуг (покупательная способность денег падает). Таким образом, инфляция – это двуединый процесс общего повышения цен и обесценивания денег.</w:t>
      </w:r>
    </w:p>
    <w:p w:rsidR="0058413F" w:rsidRDefault="0058413F" w:rsidP="004067D3">
      <w:pPr>
        <w:jc w:val="both"/>
      </w:pPr>
    </w:p>
    <w:p w:rsidR="00BA53D7" w:rsidRPr="00BA53D7" w:rsidRDefault="00BA53D7" w:rsidP="004067D3">
      <w:pPr>
        <w:jc w:val="both"/>
        <w:rPr>
          <w:b/>
          <w:i/>
          <w:sz w:val="28"/>
          <w:szCs w:val="28"/>
        </w:rPr>
      </w:pPr>
      <w:r w:rsidRPr="00BA53D7">
        <w:rPr>
          <w:b/>
          <w:i/>
          <w:sz w:val="28"/>
          <w:szCs w:val="28"/>
        </w:rPr>
        <w:t>Причины инфляции</w:t>
      </w:r>
    </w:p>
    <w:p w:rsidR="00BA53D7" w:rsidRPr="000341D2" w:rsidRDefault="00BA53D7" w:rsidP="004067D3">
      <w:pPr>
        <w:jc w:val="both"/>
        <w:rPr>
          <w:b/>
          <w:i/>
        </w:rPr>
      </w:pPr>
      <w:r w:rsidRPr="000341D2">
        <w:rPr>
          <w:b/>
          <w:i/>
        </w:rPr>
        <w:t>Причины инфляции можно разделить на две категории:</w:t>
      </w:r>
    </w:p>
    <w:p w:rsidR="00BA53D7" w:rsidRPr="000341D2" w:rsidRDefault="00BA53D7" w:rsidP="004067D3">
      <w:pPr>
        <w:jc w:val="both"/>
        <w:rPr>
          <w:b/>
          <w:i/>
        </w:rPr>
      </w:pPr>
      <w:r w:rsidRPr="000341D2">
        <w:rPr>
          <w:b/>
          <w:i/>
        </w:rPr>
        <w:t>1.Внешние факторы:</w:t>
      </w:r>
    </w:p>
    <w:p w:rsidR="00BA53D7" w:rsidRPr="000341D2" w:rsidRDefault="00BA53D7" w:rsidP="004067D3">
      <w:pPr>
        <w:jc w:val="both"/>
      </w:pPr>
      <w:r w:rsidRPr="000341D2">
        <w:rPr>
          <w:b/>
          <w:i/>
        </w:rPr>
        <w:t>а) мировые кризисы</w:t>
      </w:r>
      <w:r w:rsidRPr="000341D2">
        <w:t xml:space="preserve"> (сырьевой, энергетический, валютный), вывоз капитала за рубеж, рост цен на оборудование и технологии на мировом рынке, которые российские предприятия должны закупать, следовательно наши предприятия должны платить таможенные пошлины за ввоз этого оборудования, а значит цены на конечную продукцию вырастут.</w:t>
      </w:r>
    </w:p>
    <w:p w:rsidR="00BA53D7" w:rsidRPr="000341D2" w:rsidRDefault="00BA53D7" w:rsidP="004067D3">
      <w:pPr>
        <w:jc w:val="both"/>
      </w:pPr>
      <w:r w:rsidRPr="000341D2">
        <w:t xml:space="preserve">Основной причиной возникновения инфляции является нарушение товарно-денежного равновесия, вызываемое в той или иной форме переполнения сферы денежного обращения избыточной денежной массой. </w:t>
      </w:r>
    </w:p>
    <w:p w:rsidR="00BA53D7" w:rsidRPr="000341D2" w:rsidRDefault="00BA53D7" w:rsidP="004067D3">
      <w:pPr>
        <w:jc w:val="both"/>
        <w:rPr>
          <w:b/>
          <w:i/>
        </w:rPr>
      </w:pPr>
      <w:r w:rsidRPr="000341D2">
        <w:rPr>
          <w:b/>
          <w:i/>
        </w:rPr>
        <w:t>2.Внутренние факторы:</w:t>
      </w:r>
    </w:p>
    <w:p w:rsidR="00BA53D7" w:rsidRPr="000341D2" w:rsidRDefault="00BA53D7" w:rsidP="004067D3">
      <w:pPr>
        <w:jc w:val="both"/>
      </w:pPr>
      <w:r w:rsidRPr="000341D2">
        <w:rPr>
          <w:b/>
          <w:i/>
        </w:rPr>
        <w:t>а) не денежные</w:t>
      </w:r>
      <w:r w:rsidRPr="000341D2">
        <w:t xml:space="preserve"> - диспропорции в развитии экономики, государственно-монополистическое ценооборазование;</w:t>
      </w:r>
    </w:p>
    <w:p w:rsidR="00BA53D7" w:rsidRPr="000341D2" w:rsidRDefault="00BA53D7" w:rsidP="004067D3">
      <w:pPr>
        <w:jc w:val="both"/>
      </w:pPr>
      <w:r w:rsidRPr="000341D2">
        <w:rPr>
          <w:b/>
          <w:i/>
        </w:rPr>
        <w:t>б) денежные</w:t>
      </w:r>
      <w:r w:rsidRPr="000341D2">
        <w:t xml:space="preserve"> - дефицит бюджета (90годы), неконтролируемая эмиссия, увеличение массы, необеспеченных кредитных денег (векселей) за счет которых в 90-е годы покрывалась нехватка оборотных средств у предприятий.</w:t>
      </w:r>
    </w:p>
    <w:p w:rsidR="00BA53D7" w:rsidRPr="000341D2" w:rsidRDefault="00BA53D7" w:rsidP="004067D3">
      <w:pPr>
        <w:jc w:val="both"/>
        <w:rPr>
          <w:b/>
          <w:i/>
        </w:rPr>
      </w:pPr>
      <w:r w:rsidRPr="000341D2">
        <w:rPr>
          <w:b/>
          <w:i/>
        </w:rPr>
        <w:t>К важнейшим инфляционным причинам роста цен можно отнести следующие:</w:t>
      </w:r>
    </w:p>
    <w:p w:rsidR="00BA53D7" w:rsidRPr="000341D2" w:rsidRDefault="00BA53D7" w:rsidP="004067D3">
      <w:pPr>
        <w:jc w:val="both"/>
      </w:pPr>
      <w:r w:rsidRPr="000341D2">
        <w:t xml:space="preserve">      </w:t>
      </w:r>
      <w:r w:rsidRPr="000341D2">
        <w:rPr>
          <w:b/>
          <w:i/>
        </w:rPr>
        <w:t>Диспропорциональность</w:t>
      </w:r>
      <w:r w:rsidRPr="000341D2">
        <w:t xml:space="preserve"> – несбалансированность государственных расходов и доходов– т.н. дефицит государственного бюджета. Часто этот дефицит  покрывается за счет использования “печатного станка” что приводит к увеличению денежной массы и как следствие – инфляция.</w:t>
      </w:r>
    </w:p>
    <w:p w:rsidR="00BA53D7" w:rsidRPr="000341D2" w:rsidRDefault="00BA53D7" w:rsidP="004067D3">
      <w:pPr>
        <w:jc w:val="both"/>
      </w:pPr>
      <w:r w:rsidRPr="000341D2">
        <w:t xml:space="preserve">       </w:t>
      </w:r>
      <w:r w:rsidRPr="000341D2">
        <w:rPr>
          <w:b/>
          <w:i/>
        </w:rPr>
        <w:t>Инфляционно опасные инвестиции</w:t>
      </w:r>
      <w:r w:rsidRPr="000341D2">
        <w:t xml:space="preserve"> – преимущественно милитаризация экономики. Военные ассигнования ведут к созданию платежеспособного дополнительного спроса, а как следствие –увеличению денежной массы. Чрезмерные военные ассигнования обычно являются причиной хронического дефицита государственного бюджета, а также увеличению государственного долга, для покрытия которого выпускаются дополнительные бумажные деньги.</w:t>
      </w:r>
    </w:p>
    <w:p w:rsidR="00BA53D7" w:rsidRPr="000341D2" w:rsidRDefault="00BA53D7" w:rsidP="004067D3">
      <w:pPr>
        <w:jc w:val="both"/>
      </w:pPr>
      <w:r w:rsidRPr="000341D2">
        <w:t xml:space="preserve">      </w:t>
      </w:r>
      <w:r w:rsidRPr="000341D2">
        <w:rPr>
          <w:b/>
          <w:i/>
        </w:rPr>
        <w:t>Отсутствие чисто свободного рынка и совершенной конкуренции как его части</w:t>
      </w:r>
      <w:r w:rsidRPr="000341D2">
        <w:t>. Современный рынок в значимой степени огополистичен. Поскольку огополист заинтересован в сокращении производства  и предложения товара создается дефицит, используемый для поддержания или поднятия цены на товар.</w:t>
      </w:r>
    </w:p>
    <w:p w:rsidR="00BA53D7" w:rsidRPr="000341D2" w:rsidRDefault="00BA53D7" w:rsidP="004067D3">
      <w:pPr>
        <w:jc w:val="both"/>
      </w:pPr>
      <w:r w:rsidRPr="000341D2">
        <w:t xml:space="preserve">       </w:t>
      </w:r>
      <w:r w:rsidRPr="000341D2">
        <w:rPr>
          <w:b/>
          <w:i/>
        </w:rPr>
        <w:t>Импортируемая инфляция</w:t>
      </w:r>
      <w:r w:rsidRPr="000341D2">
        <w:t>, роль которой возрастает с ростом открытости экономики и вовлечение ее в мирохозяйственные связи той или иной страны. Возможности для борьбы у государства довольно-таки  ограничены. Метод ревальвации собственной валюты, иногда применяемый в таких случаях, делает импорт более выгодным, одновременно затрудняя экспорт.</w:t>
      </w:r>
    </w:p>
    <w:p w:rsidR="00BA53D7" w:rsidRPr="000341D2" w:rsidRDefault="00BA53D7" w:rsidP="004067D3">
      <w:pPr>
        <w:jc w:val="both"/>
      </w:pPr>
      <w:r w:rsidRPr="000341D2">
        <w:t xml:space="preserve">       </w:t>
      </w:r>
      <w:r w:rsidRPr="000341D2">
        <w:rPr>
          <w:b/>
          <w:i/>
        </w:rPr>
        <w:t>Инфляционные ожидания</w:t>
      </w:r>
      <w:r w:rsidRPr="000341D2">
        <w:t>– возникновения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и раскачивают тем самым маховик инфляции. Живой пример таких инфляционных ожиданий  мы можем наблюдать в своей повседневной жизни.</w:t>
      </w:r>
    </w:p>
    <w:p w:rsidR="00BA53D7" w:rsidRPr="000341D2" w:rsidRDefault="00BA53D7" w:rsidP="004067D3">
      <w:pPr>
        <w:jc w:val="both"/>
      </w:pPr>
    </w:p>
    <w:p w:rsidR="00BA53D7" w:rsidRPr="000341D2" w:rsidRDefault="00BA53D7" w:rsidP="004067D3">
      <w:pPr>
        <w:jc w:val="both"/>
      </w:pPr>
      <w:r w:rsidRPr="000341D2">
        <w:rPr>
          <w:i/>
        </w:rPr>
        <w:t xml:space="preserve">В теориях, разрабатываемых западными экономистами, выделяются в качестве альтернативных концепций инфляции спроса и инфляции издержек. Эти концепции рассматривают различные причины инфляции. </w:t>
      </w:r>
    </w:p>
    <w:p w:rsidR="00BA53D7" w:rsidRPr="000341D2" w:rsidRDefault="00BA53D7" w:rsidP="004067D3">
      <w:pPr>
        <w:jc w:val="both"/>
      </w:pPr>
      <w:r w:rsidRPr="000341D2">
        <w:rPr>
          <w:b/>
          <w:i/>
        </w:rPr>
        <w:t>Инфляция спроса</w:t>
      </w:r>
      <w:r w:rsidRPr="000341D2">
        <w:t xml:space="preserve"> –нарушение равновесия между спросом и предложением со стороны спроса. Основными причинами здесь могут быть увеличение государственных  заказов (например, военных) увеличение спроса на средства производства в условиях полной занятости и почти полной загрузки производственных мощностей, а также рост покупательной способности трудящихся (рост заработной платы) в результате, например, согласованные действия профсоюзов. Вследствие этого возникает избыток денег по отношению к количеству товаров, повышаются  цены.  Таким образом, избыток платежных средств в обращении создает дефицит предложения, когда производители не могут реагировать на рост спроса.</w:t>
      </w:r>
    </w:p>
    <w:p w:rsidR="00BA53D7" w:rsidRPr="000341D2" w:rsidRDefault="00BA53D7" w:rsidP="004067D3">
      <w:pPr>
        <w:jc w:val="both"/>
      </w:pPr>
      <w:r w:rsidRPr="000341D2">
        <w:rPr>
          <w:b/>
          <w:i/>
        </w:rPr>
        <w:t>Инфляция издержек</w:t>
      </w:r>
      <w:r w:rsidRPr="000341D2">
        <w:t xml:space="preserve"> -  рост цен в следствии увеличения  издержек производства. Причинами  увеличения издержек могут быть огополистическая  политика ценообразования, экономическая и финансовая политика государства, рост цен на сырье, действия профсоюзов, требующих повышения  заработной платы, и др.  </w:t>
      </w:r>
    </w:p>
    <w:p w:rsidR="00BA53D7" w:rsidRPr="000341D2" w:rsidRDefault="00BA53D7" w:rsidP="004067D3">
      <w:pPr>
        <w:jc w:val="both"/>
      </w:pPr>
      <w:r w:rsidRPr="000341D2">
        <w:t>На практике нелегко отличить один тип инфляции  от другого, все они тесно связаны и постоянно взаимодействуют и, например, рост зарплаты может выглядеть и как инфляция спроса и как инфляция издержек.</w:t>
      </w:r>
    </w:p>
    <w:p w:rsidR="00BA53D7" w:rsidRPr="000341D2" w:rsidRDefault="00BA53D7" w:rsidP="004067D3">
      <w:pPr>
        <w:jc w:val="both"/>
      </w:pPr>
      <w:r w:rsidRPr="000341D2">
        <w:t>Необходимо также отметить, что ни в одной экономически развитой стране не наблюдалось во второй половине ХХ века полная занятость, свободный рынок или же стабильность цен. Цены по ряду причин в это время росли постоянно и даже в период застоя производства. Такое явление называется стагфляцией – инфляционным ростом цен в условиях стагнации – застоя производства, экономического кризиса.</w:t>
      </w:r>
    </w:p>
    <w:p w:rsidR="00DD7B2F" w:rsidRDefault="00DD7B2F" w:rsidP="004067D3">
      <w:pPr>
        <w:jc w:val="both"/>
        <w:rPr>
          <w:b/>
          <w:i/>
        </w:rPr>
      </w:pPr>
    </w:p>
    <w:p w:rsidR="00DD7B2F" w:rsidRPr="00BA53D7" w:rsidRDefault="00BA53D7" w:rsidP="004067D3">
      <w:pPr>
        <w:jc w:val="both"/>
        <w:rPr>
          <w:b/>
          <w:i/>
          <w:sz w:val="28"/>
          <w:szCs w:val="28"/>
        </w:rPr>
      </w:pPr>
      <w:r w:rsidRPr="00BA53D7">
        <w:rPr>
          <w:b/>
          <w:i/>
          <w:sz w:val="28"/>
          <w:szCs w:val="28"/>
        </w:rPr>
        <w:t>Виды инфляции</w:t>
      </w:r>
    </w:p>
    <w:p w:rsidR="0011089E" w:rsidRPr="000341D2" w:rsidRDefault="0011089E" w:rsidP="004067D3">
      <w:pPr>
        <w:jc w:val="both"/>
        <w:rPr>
          <w:b/>
          <w:i/>
        </w:rPr>
      </w:pPr>
      <w:r w:rsidRPr="000341D2">
        <w:rPr>
          <w:b/>
          <w:i/>
        </w:rPr>
        <w:t>Различают следующие виды инфляции:</w:t>
      </w:r>
    </w:p>
    <w:p w:rsidR="0011089E" w:rsidRPr="000341D2" w:rsidRDefault="0011089E" w:rsidP="004067D3">
      <w:pPr>
        <w:jc w:val="both"/>
        <w:rPr>
          <w:b/>
          <w:i/>
        </w:rPr>
      </w:pPr>
      <w:r w:rsidRPr="000341D2">
        <w:rPr>
          <w:b/>
          <w:i/>
        </w:rPr>
        <w:t>по степени проявления:</w:t>
      </w:r>
    </w:p>
    <w:p w:rsidR="0011089E" w:rsidRPr="000341D2" w:rsidRDefault="0011089E" w:rsidP="004067D3">
      <w:pPr>
        <w:jc w:val="both"/>
      </w:pPr>
      <w:r w:rsidRPr="000341D2">
        <w:rPr>
          <w:b/>
          <w:i/>
        </w:rPr>
        <w:t>Ползучая инфляция</w:t>
      </w:r>
      <w:r w:rsidRPr="000341D2">
        <w:t xml:space="preserve"> – инфляция, проявляющаяся в длительном постепенном росте цен. Для ползучей инфляции характерны относительно невысокие темпы роста цен, примерно до 10% или несколько больше процентов в год. Такого рода инфляция присуща большинству стран с развитой рыночной экономикой, и она не представляется чем-то необычным. Данные за 70-е, 80-е и начало 90-х гг. по США, Японии и западноевропейским странам, как раз и говорят о наличии ползучей инфляции. Средний уровень инфляции по странам Европейского сообщества составил за последние годы около 3-3,5%; </w:t>
      </w:r>
    </w:p>
    <w:p w:rsidR="0011089E" w:rsidRPr="000341D2" w:rsidRDefault="0011089E" w:rsidP="004067D3">
      <w:pPr>
        <w:jc w:val="both"/>
      </w:pPr>
      <w:r w:rsidRPr="000341D2">
        <w:rPr>
          <w:b/>
          <w:i/>
        </w:rPr>
        <w:t>Галопирующая инфляция</w:t>
      </w:r>
      <w:r w:rsidRPr="000341D2">
        <w:t xml:space="preserve"> – это инфляция в виде скачкообразного роста цен (рост цен на 20—2000% в год). Такие высокие темпы в 80-х гг. наблюдались, к примеру, во многих странах Латинской Америки, некоторых странах Южной Азии. По подсчетам Центрального банка России, индекс потребительских цен в нашей стране в </w:t>
      </w:r>
      <w:smartTag w:uri="urn:schemas-microsoft-com:office:smarttags" w:element="metricconverter">
        <w:smartTagPr>
          <w:attr w:name="ProductID" w:val="1992 г"/>
        </w:smartTagPr>
        <w:r w:rsidRPr="000341D2">
          <w:t>1992 г</w:t>
        </w:r>
      </w:smartTag>
      <w:r w:rsidRPr="000341D2">
        <w:t>. поднялся до 2200%. Потребительские цены опережали рост денежных доходов населения. Ниже приведены индексы потребительских цен и темпы роста номинальных денежных доходов в странах СНГ (</w:t>
      </w:r>
      <w:smartTag w:uri="urn:schemas-microsoft-com:office:smarttags" w:element="metricconverter">
        <w:smartTagPr>
          <w:attr w:name="ProductID" w:val="1992 г"/>
        </w:smartTagPr>
        <w:r w:rsidRPr="000341D2">
          <w:t>1992 г</w:t>
        </w:r>
      </w:smartTag>
      <w:r w:rsidRPr="000341D2">
        <w:t xml:space="preserve">. к </w:t>
      </w:r>
      <w:smartTag w:uri="urn:schemas-microsoft-com:office:smarttags" w:element="metricconverter">
        <w:smartTagPr>
          <w:attr w:name="ProductID" w:val="1991 г"/>
        </w:smartTagPr>
        <w:r w:rsidRPr="000341D2">
          <w:t>1991 г</w:t>
        </w:r>
      </w:smartTag>
      <w:r w:rsidRPr="000341D2">
        <w:t xml:space="preserve">., в количество раз). Под галопирующей инфляцией понимается явление в виде скачкообразного роста цен, которое, как правило, вызывается резкими изменениями в объеме денежной массы или изменениями цен под воздействием внешних факторов. Резкое изменение объема денежной массы может наступить в результате эмиссии, вызванной возникновением бюджетного дефицита. Эмиссия – это выпуск в обращение дополнительно отпечатанных и отчеканенных денежных знаков – банкнот и монет. Бюджетный дифицит – это превышение государственных расходов над государственными доходами, получаемыми от сбора налогов и неналоговых платежей. Превышение доходов над расходами государства называются профицитом. </w:t>
      </w:r>
    </w:p>
    <w:p w:rsidR="0011089E" w:rsidRPr="000341D2" w:rsidRDefault="0011089E" w:rsidP="004067D3">
      <w:pPr>
        <w:jc w:val="both"/>
      </w:pPr>
      <w:r w:rsidRPr="000341D2">
        <w:rPr>
          <w:b/>
          <w:i/>
        </w:rPr>
        <w:t>Гиперинфляция</w:t>
      </w:r>
      <w:r w:rsidRPr="000341D2">
        <w:t xml:space="preserve"> – это инфляция с очень высоким (как равномерным, так и неравномерным) темпом роста цен, как правило выше 50% в месяц. Она вызывается обычно теми же факторами, о которых было упомянуто выше. Гиперинфляция – это явление, относящееся к разряду кризисных, и для ее устранения используются несколько иные методы, чем при обычной инфляции. </w:t>
      </w:r>
    </w:p>
    <w:p w:rsidR="0011089E" w:rsidRPr="000341D2" w:rsidRDefault="0011089E" w:rsidP="004067D3">
      <w:pPr>
        <w:jc w:val="both"/>
      </w:pPr>
      <w:r w:rsidRPr="000341D2">
        <w:t xml:space="preserve">При гиперинфляции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(МВФ за гиперинфляцию сейчас принимает 50%-й рост цен в месяц). Вести успешный бизнес в условиях гиперинфляции почти невозможно. Речь может идти только о стратегии выживания. Рецепт 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 Все чаще промышленным предприятиям приходится заводить свои теплицы, свинофермы и даже мини-электростанции, усиливать акцент на бартерных и клиринговых операциях. </w:t>
      </w:r>
    </w:p>
    <w:p w:rsidR="0011089E" w:rsidRPr="000341D2" w:rsidRDefault="0011089E" w:rsidP="004067D3">
      <w:pPr>
        <w:jc w:val="both"/>
        <w:rPr>
          <w:b/>
          <w:i/>
        </w:rPr>
      </w:pPr>
      <w:r w:rsidRPr="000341D2">
        <w:rPr>
          <w:b/>
          <w:i/>
        </w:rPr>
        <w:t>по способам возникновения:</w:t>
      </w:r>
    </w:p>
    <w:p w:rsidR="0011089E" w:rsidRPr="000341D2" w:rsidRDefault="0011089E" w:rsidP="004067D3">
      <w:pPr>
        <w:jc w:val="both"/>
      </w:pPr>
      <w:r w:rsidRPr="000341D2">
        <w:rPr>
          <w:b/>
          <w:i/>
        </w:rPr>
        <w:t>Административная инфляция</w:t>
      </w:r>
      <w:r w:rsidRPr="000341D2">
        <w:t xml:space="preserve"> - инфляция, порождаемая «административно» управляемыми ценами;</w:t>
      </w:r>
    </w:p>
    <w:p w:rsidR="0011089E" w:rsidRPr="000341D2" w:rsidRDefault="0011089E" w:rsidP="004067D3">
      <w:pPr>
        <w:jc w:val="both"/>
      </w:pPr>
      <w:r w:rsidRPr="000341D2">
        <w:rPr>
          <w:b/>
          <w:i/>
        </w:rPr>
        <w:t>Инфляция издержек</w:t>
      </w:r>
      <w:r w:rsidRPr="000341D2">
        <w:t xml:space="preserve"> – инфляция, проявляющаяся в росте цен на ресурсы, факторы производства, вследствие чего растут издержки производства и обращения, а  с ними и цены на выпускаемую продукцию. Причинами роста цен на ресурсы являются, как правило, изменение мировых цен на ресурсы и снижение курса отечественной валюты. В свою очередь, рост издержек на конкретный товар влияет на изменение цен на другие товары, так как, чтобы приобрести подорожавшие товары, необходимо поднять цену на свой товар.</w:t>
      </w:r>
    </w:p>
    <w:p w:rsidR="0011089E" w:rsidRPr="000341D2" w:rsidRDefault="0011089E" w:rsidP="004067D3">
      <w:pPr>
        <w:jc w:val="both"/>
      </w:pPr>
      <w:r w:rsidRPr="000341D2">
        <w:rPr>
          <w:b/>
          <w:i/>
        </w:rPr>
        <w:t>Инфляция спроса</w:t>
      </w:r>
      <w:r w:rsidRPr="000341D2">
        <w:t xml:space="preserve"> – инфляция, проявляющаяся в росте цен, вызванном увеличением доходов населения, т.е. ростом платежеспособного спроса (когда совокупные денежные доходы населения и предприятий увеличиваются быстрее, чем рост реального объема всех товаров и услуг). Как правило, это тип инфляции чаще  всего наблюдается при полной занятости. При этом не имеет значения, за счет чего увеличивается спрос – за счет увеличения расходов государства (например, на военные и социальные заказы) или за счет повышения спроса на товары и услуги со стороны предпринимателей.</w:t>
      </w:r>
    </w:p>
    <w:p w:rsidR="00860902" w:rsidRPr="000341D2" w:rsidRDefault="00860902" w:rsidP="004067D3">
      <w:pPr>
        <w:jc w:val="both"/>
      </w:pPr>
      <w:r w:rsidRPr="000341D2">
        <w:t>Инфляция спроса обусловлена:</w:t>
      </w:r>
    </w:p>
    <w:p w:rsidR="00860902" w:rsidRPr="000341D2" w:rsidRDefault="00860902" w:rsidP="004067D3">
      <w:pPr>
        <w:jc w:val="both"/>
      </w:pPr>
      <w:r w:rsidRPr="000341D2">
        <w:t>- милитаризацией экономики и ростом военных расходов;</w:t>
      </w:r>
    </w:p>
    <w:p w:rsidR="00860902" w:rsidRPr="000341D2" w:rsidRDefault="00860902" w:rsidP="004067D3">
      <w:pPr>
        <w:jc w:val="both"/>
      </w:pPr>
      <w:r w:rsidRPr="000341D2">
        <w:t>- дефицитом бюджета и ростом государственного долга.</w:t>
      </w:r>
    </w:p>
    <w:p w:rsidR="0011089E" w:rsidRPr="000341D2" w:rsidRDefault="0011089E" w:rsidP="004067D3">
      <w:pPr>
        <w:jc w:val="both"/>
      </w:pPr>
      <w:r w:rsidRPr="000341D2">
        <w:rPr>
          <w:b/>
          <w:i/>
        </w:rPr>
        <w:t>Инфляция предложения</w:t>
      </w:r>
      <w:r w:rsidRPr="000341D2">
        <w:t>- инфляция, означающая рост цен, который был  спровоцирован значительным увеличением издержек производства в условиях, когда производственные ресурсы были недоиспользованы, например, в ситуации, когда предприятия осуществляют крупную модернизацию своих фондов.</w:t>
      </w:r>
    </w:p>
    <w:p w:rsidR="0011089E" w:rsidRPr="000341D2" w:rsidRDefault="0011089E" w:rsidP="004067D3">
      <w:pPr>
        <w:jc w:val="both"/>
      </w:pPr>
      <w:r w:rsidRPr="000341D2">
        <w:t xml:space="preserve">Основные фонды, или средства, - это длительно используемые средства производства, участвующие в течение многих производственных циклов и имеющие длительные сроки амортизации, под которыми понимается процесс постепенного перенесения стоимости изношенных средств труда на произведенный с их помощью продукт. Такой вид инфляции, при котором цены растут при снижении совокупного спроса, достаточно часто встречается в мировой практике, хотя на этот вид инфляции могут влиять и другие факторы. </w:t>
      </w:r>
    </w:p>
    <w:p w:rsidR="0011089E" w:rsidRPr="000341D2" w:rsidRDefault="0011089E" w:rsidP="004067D3">
      <w:pPr>
        <w:jc w:val="both"/>
      </w:pPr>
      <w:r w:rsidRPr="000341D2">
        <w:rPr>
          <w:b/>
          <w:i/>
        </w:rPr>
        <w:t>Импортируемая инфляция</w:t>
      </w:r>
      <w:r w:rsidR="007B5A7B" w:rsidRPr="000341D2">
        <w:rPr>
          <w:b/>
          <w:i/>
        </w:rPr>
        <w:t xml:space="preserve"> </w:t>
      </w:r>
      <w:r w:rsidRPr="000341D2">
        <w:t>- инфляция, вызываемая воздействием внешних факторов, например чрезмерным притоком в страну иностранной валюты и повышением импортных цен;</w:t>
      </w:r>
    </w:p>
    <w:p w:rsidR="0011089E" w:rsidRPr="000341D2" w:rsidRDefault="0011089E" w:rsidP="004067D3">
      <w:pPr>
        <w:jc w:val="both"/>
      </w:pPr>
      <w:r w:rsidRPr="000341D2">
        <w:rPr>
          <w:b/>
          <w:i/>
        </w:rPr>
        <w:t>Индуцированная инфляция</w:t>
      </w:r>
      <w:r w:rsidRPr="000341D2">
        <w:t xml:space="preserve"> – инфляция, обусловленная какими-либо другими экономическими факторами;</w:t>
      </w:r>
    </w:p>
    <w:p w:rsidR="0011089E" w:rsidRPr="000341D2" w:rsidRDefault="0011089E" w:rsidP="004067D3">
      <w:pPr>
        <w:jc w:val="both"/>
      </w:pPr>
      <w:r w:rsidRPr="000341D2">
        <w:rPr>
          <w:b/>
          <w:i/>
        </w:rPr>
        <w:t xml:space="preserve">Кредитная инфляция </w:t>
      </w:r>
      <w:r w:rsidRPr="000341D2">
        <w:t>– инфляция, вызванная чрезмерной кредитной экспансией;</w:t>
      </w:r>
    </w:p>
    <w:p w:rsidR="0011089E" w:rsidRPr="000341D2" w:rsidRDefault="0011089E" w:rsidP="004067D3">
      <w:pPr>
        <w:jc w:val="both"/>
      </w:pPr>
      <w:r w:rsidRPr="000341D2">
        <w:rPr>
          <w:b/>
          <w:i/>
        </w:rPr>
        <w:t>Непредвиденная инфляция</w:t>
      </w:r>
      <w:r w:rsidRPr="000341D2">
        <w:t>- уровень инфляции, оказавшийся выше ожидаемого за определенный период;</w:t>
      </w:r>
    </w:p>
    <w:p w:rsidR="007B5A7B" w:rsidRPr="000341D2" w:rsidRDefault="0011089E" w:rsidP="004067D3">
      <w:pPr>
        <w:jc w:val="both"/>
      </w:pPr>
      <w:r w:rsidRPr="000341D2">
        <w:rPr>
          <w:b/>
          <w:i/>
        </w:rPr>
        <w:t>Открытая инфляция</w:t>
      </w:r>
      <w:r w:rsidRPr="000341D2">
        <w:t xml:space="preserve"> – инфляция за счет роста цен потребительских товар и производственных ресурсов;</w:t>
      </w:r>
      <w:r w:rsidR="007B5A7B" w:rsidRPr="000341D2">
        <w:t xml:space="preserve"> характеризуется общим повышением цен. </w:t>
      </w:r>
    </w:p>
    <w:p w:rsidR="0011089E" w:rsidRPr="000341D2" w:rsidRDefault="007B5A7B" w:rsidP="004067D3">
      <w:pPr>
        <w:jc w:val="both"/>
      </w:pPr>
      <w:r w:rsidRPr="000341D2">
        <w:t>Одним из первых механизмов открытой инфляции можно назвать адаптивные инфляционные ожидания. Они представляют собой психологический феномен, склонность, образ мыслей, определяющий поведение субъектов хозяйственной жизни. Наиболее важный фактор в формировании инфляционных ожиданий - темпы роста цен, усредненные на некотором промежутке времени, предшествующему данному моменту. Если на этом промежутке наблюдаются высокие темпы инфляции, то субъекты хозяйствования закладывают эти темпы в свои планы на будущее: потребители увеличивают закупки тех товаров, цены на которые имеют тенденцию к наибольшему росту, вследствие чего нагнетается текущий спрос, провоцируется повторное подорожание товаров и услуг; производители и торговцы устанавливают все более высокие цены на свою продукцию, что приводит к дальнейшему росту цен и усилению инфляционных ожиданий. Возникает самоподдерживающийся процесс ускоренного роста цен под действием инфляционных ожиданий.</w:t>
      </w:r>
    </w:p>
    <w:p w:rsidR="0011089E" w:rsidRPr="000341D2" w:rsidRDefault="0011089E" w:rsidP="004067D3">
      <w:pPr>
        <w:jc w:val="both"/>
      </w:pPr>
      <w:r w:rsidRPr="000341D2">
        <w:rPr>
          <w:b/>
          <w:i/>
        </w:rPr>
        <w:t>Подавленная (скрытая) инфляция</w:t>
      </w:r>
      <w:r w:rsidRPr="000341D2">
        <w:t>- инфляция возникающая в следствии товарного дефицита, сопровождающегося стремлением государственных органов удержать цены на прежнем уровне. В этой ситуации происходит «вымывание» товаров на открытых рынка и переток их на теневые, «черные» рынки, где цены растут; Скрытая инфляция характерна для централизованных экономик, где так называемые твердые государственные цены довольно устойчивы и ”официально” почти не растут. Однако при этом общество постоянно изматывает нехватка товаров; огромные потери времени, нервов и человеческого достоинства в возбужденных очередях и бесконечном поиске самого необходимого; разгул спекуляции и значительные переплаты за ”доставание” дефицита. Причем дополнительные доходы идут не производителям и не на нужды всего общества – в госбюджет, а в карман ловкачей – спекулянтов. Все это и есть проявления открытой инфляции – своеобразная плата за формальную стабильность цен.</w:t>
      </w:r>
    </w:p>
    <w:p w:rsidR="0011089E" w:rsidRPr="000341D2" w:rsidRDefault="0011089E" w:rsidP="004067D3">
      <w:pPr>
        <w:jc w:val="both"/>
      </w:pPr>
      <w:r w:rsidRPr="000341D2">
        <w:rPr>
          <w:b/>
          <w:i/>
        </w:rPr>
        <w:t>Ожидаемая инфляция</w:t>
      </w:r>
      <w:r w:rsidRPr="000341D2">
        <w:t xml:space="preserve"> – предполагаемый уровень инфляции в будущем периоде вследствие действия факторов текущего периода.</w:t>
      </w:r>
    </w:p>
    <w:p w:rsidR="00DD59B3" w:rsidRPr="000341D2" w:rsidRDefault="0011089E" w:rsidP="004067D3">
      <w:pPr>
        <w:jc w:val="both"/>
      </w:pPr>
      <w:r w:rsidRPr="000341D2">
        <w:t xml:space="preserve">Может предсказываться и прогнозироваться заранее, с достаточной степенью надежности; неожидаемая — возникает стихийно, спорадически, прогноз невозможен. Фактор ожидаемости, предсказуемости по-новому освещает нам вопрос влияния инфляции на стратегию бизнеса, а именно: если все фирмы и все население знает наверняка, что в следующем году цены возрастут, скажем в 100 раз, то в условиях идеального свободного рынка имеется целый год на заблаговременную адаптацию к спрогнозированному скачку цен. Все предприятия и население также повысят в 100 раз цену на свой товар (станки, оборудование, услуги, рабочая сила и т. д.). Никто, таким образом, не пострадает существенно даже от гиперинфляции, а в случае непредсказуемости, неожидаемости роста цен даже на 10% (умеренная инфляция, по нашему определению) может произойти существенное снижение доходности соответствующих предприятий. </w:t>
      </w:r>
    </w:p>
    <w:p w:rsidR="00DD59B3" w:rsidRPr="000341D2" w:rsidRDefault="00DD59B3" w:rsidP="004067D3">
      <w:pPr>
        <w:jc w:val="both"/>
      </w:pPr>
    </w:p>
    <w:p w:rsidR="00C25FCB" w:rsidRPr="00C25FCB" w:rsidRDefault="00C25FCB" w:rsidP="004067D3">
      <w:pPr>
        <w:jc w:val="both"/>
        <w:rPr>
          <w:b/>
          <w:i/>
          <w:sz w:val="28"/>
          <w:szCs w:val="28"/>
        </w:rPr>
      </w:pPr>
      <w:r w:rsidRPr="00C25FCB">
        <w:rPr>
          <w:b/>
          <w:i/>
          <w:sz w:val="28"/>
          <w:szCs w:val="28"/>
        </w:rPr>
        <w:t>Способы борьбы с инфляцией</w:t>
      </w:r>
    </w:p>
    <w:p w:rsidR="00C25FCB" w:rsidRPr="00C25FCB" w:rsidRDefault="00C25FCB" w:rsidP="004067D3">
      <w:pPr>
        <w:jc w:val="both"/>
      </w:pPr>
      <w:r w:rsidRPr="00C25FCB">
        <w:t>Борьба с инфляцией и разработка специальной антиинфляционной программы является необходимым элементом стабилизации экономики. В основе такой программы должен лежать анализ причин и факторов, определяющих инфляцию, набор мер экономической политики, способствующей устранению или снижению уровня инфляции до разумных пределов.</w:t>
      </w:r>
    </w:p>
    <w:p w:rsidR="00C25FCB" w:rsidRPr="00C25FCB" w:rsidRDefault="00C25FCB" w:rsidP="004067D3">
      <w:pPr>
        <w:jc w:val="both"/>
      </w:pPr>
      <w:r w:rsidRPr="00C25FCB">
        <w:t>Возможны два подхода к управлению хозяйством в условиях инфляции: один заключается в поиске адаптационной политики, т.е. приспособлении к инфляции, другой - в попытке ликвидировать инфляцию антиинфляционными мерами.</w:t>
      </w:r>
    </w:p>
    <w:p w:rsidR="00C25FCB" w:rsidRDefault="00C25FCB" w:rsidP="004067D3">
      <w:pPr>
        <w:jc w:val="both"/>
        <w:rPr>
          <w:b/>
          <w:i/>
        </w:rPr>
      </w:pPr>
    </w:p>
    <w:p w:rsidR="00C25FCB" w:rsidRPr="00C25FCB" w:rsidRDefault="00C25FCB" w:rsidP="004067D3">
      <w:pPr>
        <w:jc w:val="both"/>
        <w:rPr>
          <w:b/>
          <w:i/>
        </w:rPr>
      </w:pPr>
      <w:r w:rsidRPr="00C25FCB">
        <w:rPr>
          <w:b/>
          <w:i/>
        </w:rPr>
        <w:t>Адаптационная политика</w:t>
      </w:r>
    </w:p>
    <w:p w:rsidR="00C25FCB" w:rsidRPr="00C25FCB" w:rsidRDefault="00C25FCB" w:rsidP="004067D3">
      <w:pPr>
        <w:jc w:val="both"/>
      </w:pPr>
      <w:r w:rsidRPr="00C25FCB">
        <w:t xml:space="preserve">Адаптационная политика построена на том, что все субъекты рыночной экономики (домохозяйства, фирмы, государство) в своих действиях учитывают инфляцию - прежде всего через учет потерь от снижения покупательной способности денег. </w:t>
      </w:r>
    </w:p>
    <w:p w:rsidR="00C25FCB" w:rsidRPr="00C25FCB" w:rsidRDefault="00C25FCB" w:rsidP="004067D3">
      <w:pPr>
        <w:jc w:val="both"/>
      </w:pPr>
      <w:r w:rsidRPr="00C25FCB">
        <w:t>История знает много вариантов адаптационной политики правительства. В 60-70-х гг. XX века в Англии и в других странах внедрялась политика “стоп - вперед”, т.е. крайне осторожное движение вперед. Но эта политика оказалась неэффективной в плане снижения инфляции, так как сдерживание цен оплачивалось снижением производительности труда и жизненного уровня населения.</w:t>
      </w:r>
    </w:p>
    <w:p w:rsidR="00C25FCB" w:rsidRPr="00C25FCB" w:rsidRDefault="00C25FCB" w:rsidP="004067D3">
      <w:pPr>
        <w:jc w:val="both"/>
      </w:pPr>
      <w:r w:rsidRPr="00C25FCB">
        <w:t>В основе иной политики лежит контроль за соотношением цен и заработной платы. Эта политика дает положительный эффект в краткосрочном плане (например, в США в 1951-1952 гг., в Финляндии в 1967-1971 гг.), но в долгосрочном периоде эта политика не прижилась, не стала популярной.</w:t>
      </w:r>
    </w:p>
    <w:p w:rsidR="00C25FCB" w:rsidRPr="00C25FCB" w:rsidRDefault="00C25FCB" w:rsidP="004067D3">
      <w:pPr>
        <w:jc w:val="both"/>
      </w:pPr>
      <w:r w:rsidRPr="00C25FCB">
        <w:t>В мировой практике существует два метода компенсации потерь от снижения покупательной способности денег. Наиболее распространена индексация ставки процента. Как правило, эта операция сводится к увеличению ставки процента на величину инфляционной премии. Другой метод компенсации инфляции - индексация первоначальной суммы инвестиций, которая периодически корректируется, согласно движению определенного, заранее оговоренного индекса.</w:t>
      </w:r>
    </w:p>
    <w:p w:rsidR="00C25FCB" w:rsidRPr="00C25FCB" w:rsidRDefault="00C25FCB" w:rsidP="004067D3">
      <w:pPr>
        <w:jc w:val="both"/>
      </w:pPr>
      <w:r w:rsidRPr="00C25FCB">
        <w:t>Домохозяйства пытаются адаптироваться к инфляции через поиск дополнительных источников доходов. Работники пытаются защитить себя от инфляции через введение в контракт инфляционной корректировки зара</w:t>
      </w:r>
      <w:r>
        <w:t>б</w:t>
      </w:r>
      <w:r w:rsidRPr="00C25FCB">
        <w:t>отной платы. Другими способами адаптации являются перестройка семейного бюджета в сторону наиболее неэластичных товаров и услуг, быстрая материализация денег в товарно-материальные ценности и т.п.</w:t>
      </w:r>
    </w:p>
    <w:p w:rsidR="00C25FCB" w:rsidRPr="00C25FCB" w:rsidRDefault="00C25FCB" w:rsidP="004067D3">
      <w:pPr>
        <w:jc w:val="both"/>
      </w:pPr>
      <w:r w:rsidRPr="00C25FCB">
        <w:t>Фирмы также изменяют свою экономическую политику в условиях инфляции. Это выражается, например, в том, что они берутся лишь за реализацию краткосрочных проектов, которые сулят более быстрое возвращение инвестиций. Недостаток собственных оборотных средств толкает фирмы на поиск новых внешних источников финансирования через выпуск акций и облигаций, лизинг, факторинг. Это приводит к росту доли заемных средств относительно собственных и повышению финансового риска предприятий, риска неплатежеспособности (банкротства). В области управления запасами многие фирмы переходят на формирование спекулятивного запаса. Они стараются иметь превышение кредиторской задолженности над дебиторской и лишь незначительное количество денег хранить на счетах в банке.</w:t>
      </w:r>
    </w:p>
    <w:p w:rsidR="00C25FCB" w:rsidRPr="00C25FCB" w:rsidRDefault="00C25FCB" w:rsidP="004067D3">
      <w:pPr>
        <w:jc w:val="both"/>
      </w:pPr>
      <w:r w:rsidRPr="00C25FCB">
        <w:t>В условиях инфляции фирмы вынуждены изменять политику использования прибыли. С одной стороны, для стимулирования экономического интереса к деятельности фирмы менеджеры вынуждены увеличивать средства, направляемые на материальное поощрение. С другой стороны, ввиду того, что в условиях инфляции поток доходов уменьшается, а поток расходов растет, собственники фирмы, если они не хотят допустить сворачивания своего капитала, вынуждены все большую часть чистой прибыли направлять на развитие производства.</w:t>
      </w:r>
    </w:p>
    <w:p w:rsidR="00C25FCB" w:rsidRPr="00C25FCB" w:rsidRDefault="00C25FCB" w:rsidP="004067D3">
      <w:pPr>
        <w:jc w:val="both"/>
      </w:pPr>
      <w:r w:rsidRPr="00C25FCB">
        <w:t>Сторонники кейнсианской трактовки инфляции, представители теорий “структурной инфляции” и “экономики предложения” в своей программе предусматривают более активное регулирующее воздействие государства, включая временное замораживание роста цен и заработной платы, налоговое стимулирование предпринимательства, сбережений населения, поддержку жизненно важных отраслей и производств.</w:t>
      </w:r>
    </w:p>
    <w:p w:rsidR="00BB072D" w:rsidRDefault="00BB072D" w:rsidP="004067D3">
      <w:pPr>
        <w:jc w:val="both"/>
        <w:rPr>
          <w:b/>
        </w:rPr>
      </w:pPr>
    </w:p>
    <w:p w:rsidR="00BB072D" w:rsidRPr="00BB072D" w:rsidRDefault="00BB072D" w:rsidP="004067D3">
      <w:pPr>
        <w:jc w:val="both"/>
        <w:rPr>
          <w:b/>
          <w:i/>
        </w:rPr>
      </w:pPr>
      <w:r w:rsidRPr="00BB072D">
        <w:rPr>
          <w:b/>
          <w:i/>
        </w:rPr>
        <w:t>Антиинфляционные меры</w:t>
      </w:r>
    </w:p>
    <w:p w:rsidR="00C25FCB" w:rsidRPr="00C25FCB" w:rsidRDefault="00BB072D" w:rsidP="004067D3">
      <w:pPr>
        <w:jc w:val="both"/>
      </w:pPr>
      <w:r w:rsidRPr="00C25FCB">
        <w:t>Одним из вариантов государственной</w:t>
      </w:r>
      <w:r>
        <w:t xml:space="preserve"> </w:t>
      </w:r>
      <w:r w:rsidR="00C25FCB" w:rsidRPr="00C25FCB">
        <w:t>политики в условиях инфляции является минимизация государственного вмешательства в игру рыночных сил при использовании антиинфляционных мер.</w:t>
      </w:r>
    </w:p>
    <w:p w:rsidR="00C25FCB" w:rsidRPr="00C25FCB" w:rsidRDefault="00C25FCB" w:rsidP="004067D3">
      <w:pPr>
        <w:jc w:val="both"/>
      </w:pPr>
      <w:r w:rsidRPr="00C25FCB">
        <w:t>Ортодоксальная программа чисто монетаристского характера предусматривает широкое поле деятельности для рыночных регуляторов наряду со свертыванием хозяйственной активности государства. Примером такой  программы служит программа МВФ, принятая в России: либерализация условий деятельности предприятий на внутреннем и мировом рынках, свободные цены при ограничении роста заработной платы и поддержании плавающего курса национальной валюты.</w:t>
      </w:r>
    </w:p>
    <w:p w:rsidR="00C25FCB" w:rsidRPr="00C25FCB" w:rsidRDefault="00C25FCB" w:rsidP="004067D3">
      <w:pPr>
        <w:jc w:val="both"/>
      </w:pPr>
      <w:r w:rsidRPr="00C25FCB">
        <w:t>На практике борьба с высокой инфляцией в различных западных странах используются смешанные программы, в которых в различной степени используются рекомендации обеих программ.</w:t>
      </w:r>
    </w:p>
    <w:p w:rsidR="00C25FCB" w:rsidRPr="00C25FCB" w:rsidRDefault="00C25FCB" w:rsidP="004067D3">
      <w:pPr>
        <w:jc w:val="both"/>
      </w:pPr>
      <w:r w:rsidRPr="00C25FCB">
        <w:t>Посмотрим на основные экономические меры, предпринятые в Соединенных Штатах Америки в период президентства Рейгана. Антиинфляционная политика предусматривала заметное сокращение социальных программ и хозяйственных государственных расходов, ликвидацию дефицита государственного бюджета и последовательное проведение жестко ограничительной кредитно-денежной политики. Целью программы провозглашалась борьба и с высокой инфляцией и с высокой безработицей. Таким образом, “рейганомика” сочетала методы и концепции “экономики предложения”, монетаристской и кейнсианской. В результате галопирующая инфляция была снижена до уровня 4-6% годовых при ускорении научно-технического прогресса и роста производительности труда.</w:t>
      </w:r>
    </w:p>
    <w:p w:rsidR="00C25FCB" w:rsidRPr="00C25FCB" w:rsidRDefault="00C25FCB" w:rsidP="004067D3">
      <w:pPr>
        <w:jc w:val="both"/>
      </w:pPr>
      <w:r w:rsidRPr="00C25FCB">
        <w:t>Страны с рыночной экономикой практически все прошли через инфляцию. Изучение их опыта дает ответ на многие вопросы. Однако в России своя специфика: отсутствие самонастраивающейся, саморегулирующейся рыночной экономической системы. Многие причины и факторы инфляции в России вообще не относятся к экономике.</w:t>
      </w:r>
    </w:p>
    <w:p w:rsidR="00C25FCB" w:rsidRPr="00C25FCB" w:rsidRDefault="00C25FCB" w:rsidP="004067D3">
      <w:pPr>
        <w:jc w:val="both"/>
      </w:pPr>
    </w:p>
    <w:p w:rsidR="00C25FCB" w:rsidRPr="00BB072D" w:rsidRDefault="00C25FCB" w:rsidP="004067D3">
      <w:pPr>
        <w:jc w:val="both"/>
        <w:rPr>
          <w:b/>
          <w:i/>
        </w:rPr>
      </w:pPr>
      <w:r w:rsidRPr="00BB072D">
        <w:rPr>
          <w:b/>
          <w:i/>
        </w:rPr>
        <w:t>Особенности противодействия инфляции в современных условиях</w:t>
      </w:r>
    </w:p>
    <w:p w:rsidR="00C25FCB" w:rsidRPr="00C25FCB" w:rsidRDefault="00C25FCB" w:rsidP="004067D3">
      <w:pPr>
        <w:jc w:val="both"/>
      </w:pPr>
      <w:r w:rsidRPr="00C25FCB">
        <w:t>В странах-лидерах отработаны разнообразные процедуры контроля за установлением и регулирования рыночных цен. Как правило, абсолютного снижения цен страны-лидеры добиваются на мировом рынке по энергоносителям, металлам и другой импортируемой ими продукции.</w:t>
      </w:r>
    </w:p>
    <w:p w:rsidR="00C25FCB" w:rsidRPr="00C25FCB" w:rsidRDefault="00C25FCB" w:rsidP="004067D3">
      <w:pPr>
        <w:jc w:val="both"/>
      </w:pPr>
      <w:r w:rsidRPr="00C25FCB">
        <w:t>На внутренних товарных рынках стран-лидеров ценовые диспропорции, возникающие при инфляции, устраняются обычно путем регулирования паритетов цен. При этом на продукцию отраслей, создавших диспаритеты, цены замораживаются, что приводит к их относительному снижению по сравнению с ценами на продукцию отраслей, потерпевших урон от диспаритета. Последним, в свою очередь, "дозволяется" динамика цен в рамках допустимого темпа инфляции. Процедура относительного снижения цен на товарных рынках является сложной и применяется лишь по особо важным ценовым пропорциям. В частности, в США, в ЕС, в Японии и в других развитых странах регулируются паритеты цен сельского хозяйства. Относительное снижение цен достигается и за счет регулирования цен и тарифов естественных монополий, контроля за ценами на важнейшие виды продукции машиностроения, химической промышленности, потребительских товаров и бытовых услуг.</w:t>
      </w:r>
    </w:p>
    <w:p w:rsidR="00C25FCB" w:rsidRPr="00C25FCB" w:rsidRDefault="00C25FCB" w:rsidP="004067D3">
      <w:pPr>
        <w:jc w:val="both"/>
      </w:pPr>
      <w:r w:rsidRPr="00C25FCB">
        <w:t xml:space="preserve">Однако регулирование паритетов цен не в состоянии устранить все последствия инфляции. Поэтому в развитых экономиках широко используется снижение цен потребительских товаров по отношению к цене труда, а цен на инвестиционные ресурсы относительно цены кредита. </w:t>
      </w:r>
    </w:p>
    <w:p w:rsidR="00C25FCB" w:rsidRPr="00C25FCB" w:rsidRDefault="00C25FCB" w:rsidP="004067D3">
      <w:pPr>
        <w:jc w:val="both"/>
      </w:pPr>
      <w:r w:rsidRPr="00C25FCB">
        <w:t>По данным департамента статистики Международного валютного фонда (МВФ), в 23 промышленно развитых странах инфляционный рост цен полностью компенсируется повышением цены труда. Если заработная плата растет быстрее, чем цены, то одновременно происходит как бы относительное снижение цен.</w:t>
      </w:r>
    </w:p>
    <w:p w:rsidR="00C25FCB" w:rsidRPr="00C25FCB" w:rsidRDefault="00C25FCB" w:rsidP="004067D3">
      <w:pPr>
        <w:jc w:val="both"/>
      </w:pPr>
      <w:r w:rsidRPr="00C25FCB">
        <w:t>Опережающий рост заработной платы (и соответственно платежеспособного спроса населения) при развитой системе регулирования цен не только не приводит к неконтролируемой инфляции, но и является инструментом антиинфляционной политики, обеспечивая относительное повышение покупательной способности (такая тенденция обусловлена снижением материало</w:t>
      </w:r>
      <w:r w:rsidR="00BB072D">
        <w:t>ё</w:t>
      </w:r>
      <w:r w:rsidRPr="00C25FCB">
        <w:t>мких, удельных накладных и сбытовых расходов, трансакционных издержек при росте и улучшение структуры производства)</w:t>
      </w:r>
    </w:p>
    <w:p w:rsidR="00C25FCB" w:rsidRPr="00C25FCB" w:rsidRDefault="00C25FCB" w:rsidP="004067D3">
      <w:pPr>
        <w:jc w:val="both"/>
      </w:pPr>
      <w:r w:rsidRPr="00C25FCB">
        <w:t>Важным направлением антиинфляционной политики в развитых экономиках является регулирование валютного курса. Рост инфляции ведет к снижению курса национальных валют. Задача регулирования состоит в том, чтобы не допустить обратного воздействия обесценения национальной валюты на рост внутренних цен, т.е. не допустить возникновения инфляционной спирали: цены - валютный курс - цены. В России подобная спираль активно действовала в 1991-1993 гг. Резкое обесценение рубля по отношению к доллару, происходившее в 1992-1993 гг, провоцировало повышение внутренних цен. В результате темпы инфляции стали опережать темпы роста курса доллара. Одной из немногих действенных мер по стабилизации экономики со стороны Минфина и Центробанка было регулирование валютного курса рубля.</w:t>
      </w:r>
    </w:p>
    <w:p w:rsidR="00C25FCB" w:rsidRPr="00C25FCB" w:rsidRDefault="00C25FCB" w:rsidP="004067D3">
      <w:pPr>
        <w:jc w:val="both"/>
      </w:pPr>
      <w:r w:rsidRPr="00C25FCB">
        <w:t>России требуется перейти от политики регулирования инфляции по абсолютным ценам к активному регулированию относительных цен. Перед правительством, Центральным банком и законодательной властью стоят конкретные задачи: а) повысить покупательную способность населения путем выплат задолженности из федерального и местных бюджетов соответствующим группам работников; б) привести денежную массу и процентные ставки в соответствие с потребностями производства, товарного рынка, капитальных вложений и бюджетных выплат; в) сократить, а в перспективе ликвидировать диспаритеты цен по основным ценообразующим отраслям: сельскому хозяйству, топливно-энергетическому комплексу, транспорту и т.п.</w:t>
      </w:r>
    </w:p>
    <w:p w:rsidR="00C25FCB" w:rsidRPr="00C25FCB" w:rsidRDefault="00C25FCB" w:rsidP="004067D3">
      <w:pPr>
        <w:jc w:val="both"/>
      </w:pPr>
      <w:r w:rsidRPr="00C25FCB">
        <w:t xml:space="preserve">Решение названных задач осложняется наличием в экономике России инфляционно-перераспределительных "синдикатов", теневых и криминальных механизмов, сложившихся, как отмечайтесь выше, еще при предоставлении экономических свобод по реформам </w:t>
      </w:r>
      <w:smartTag w:uri="urn:schemas-microsoft-com:office:smarttags" w:element="metricconverter">
        <w:smartTagPr>
          <w:attr w:name="ProductID" w:val="1987 г"/>
        </w:smartTagPr>
        <w:r w:rsidRPr="00C25FCB">
          <w:t>1987 г</w:t>
        </w:r>
      </w:smartTag>
      <w:r w:rsidRPr="00C25FCB">
        <w:t>. Бюджетные средства не доходят до адресатов либо поступают с задержками, банки не выполняют функций кредитования капитальных вложений и т.п. Сложилась ситуация, когда решение задачи приведения денежной массы в соответствие с потребностями экономики встречает сопротивление со стороны структур, имеющих большие доходы от манипуляций с денежными суррогатами и от спекуляции денежными ресурсами. Очевидно, что без принятия жестких мер в денежно-кредитной сфере даже обоснованная и адресная эмиссия денег будет иметь негативные последствия из-за нецелевого использования денежных средств.</w:t>
      </w:r>
    </w:p>
    <w:p w:rsidR="00C25FCB" w:rsidRPr="00C25FCB" w:rsidRDefault="00C25FCB" w:rsidP="004067D3">
      <w:pPr>
        <w:jc w:val="both"/>
      </w:pPr>
      <w:r w:rsidRPr="00C25FCB">
        <w:t xml:space="preserve">Организационные усилия нужны и для восстановления паритетов цен по ценообразующим отраслям. Данная акция будет поддержана отраслями при условии соблюдения демократических процедур обсуждения и принятия решений по ценам с использованием выработанных в развитых промышленных странах механизмов заключения ценовых соглашений между ассоциациями товаропроизводителей. </w:t>
      </w:r>
    </w:p>
    <w:p w:rsidR="00C25FCB" w:rsidRPr="00C25FCB" w:rsidRDefault="00C25FCB" w:rsidP="004067D3">
      <w:pPr>
        <w:jc w:val="both"/>
      </w:pPr>
      <w:r w:rsidRPr="00C25FCB">
        <w:t>Сложной является проблема товарной сбалансированности доходов населения на безинфляционной основе. Для решения этой задачи нужно либо возвращаться к директивному планированию, либо использовать методы рыночных экономик: товарную интервенцию, организацию продажи товаров в кредит, отвлечение средств населения на жилищное строительство и т.п. В рыночных условиях, как и в прежней системе, нужны детальные расчеты баланса денежных доходов и расходов потребителей. Например, даже при стопроцентном наполнении доходов бюджета необходим детальный анализ последствий выплат долгов по заработной плате. В частности, следует уточнить, за какой срок выплачивается задолженность. Если в среднем это долги за два месяца, то эта сумма эквивалентна уже не половине, а четверти месячного товарооборота, что соответственно облегчает достижение сбалансированности без повышения цен.</w:t>
      </w:r>
    </w:p>
    <w:p w:rsidR="00C25FCB" w:rsidRPr="00C25FCB" w:rsidRDefault="00C25FCB" w:rsidP="004067D3">
      <w:pPr>
        <w:jc w:val="both"/>
      </w:pPr>
      <w:r w:rsidRPr="00C25FCB">
        <w:t>Рост денежной массы не ведет к инфляции, если он обусловлен замещением скорости оборота денег, которое, в свою очередь, происходит при инвестициях в реальный сектор экономики. Для России проблема заключается не в том, чтобы не допустить кредитной эмиссии, а в использовании остро необходимых кредитных средств для финансирования капитальных вложений в подъем экономики, а также для кредитования оборотных средств Последнее для России очень важно в силу ее природных особенностей. В экономике России большую роль играют сезонные затраты в сельском хозяйстве, в промышленности северных территорий, в строительстве. В .мировой практике под сезонное кредитование создаются специализированные банки или кредитные учреждения. В России этот элемент рынка, как и многие другие рыночные институты, не создан. Следовательно, нужно либо возвращать бывшие отраслевые банки к исполнению своих функций, либо создавать новые кредитные учреждения в ведении отраслевых и региональных ассоциаций товаропроизводителей.</w:t>
      </w:r>
    </w:p>
    <w:p w:rsidR="00B3333C" w:rsidRDefault="00C25FCB" w:rsidP="004067D3">
      <w:pPr>
        <w:jc w:val="both"/>
      </w:pPr>
      <w:r w:rsidRPr="00C25FCB">
        <w:t>Наряду с инвестициями в производство замедлению оборота денег способствуют и меры по организации банковской деятельности: увеличение доли безналичного оборота; расширение долгосрочных кредитов и т.п. В этом направлении пока не предпринимается необходимых усилий, хотя резервы здесь велики.</w:t>
      </w:r>
    </w:p>
    <w:p w:rsidR="00B3333C" w:rsidRPr="00B3333C" w:rsidRDefault="00B3333C" w:rsidP="004067D3">
      <w:pPr>
        <w:jc w:val="both"/>
      </w:pPr>
    </w:p>
    <w:p w:rsidR="00B3333C" w:rsidRPr="00B3333C" w:rsidRDefault="00B3333C" w:rsidP="004067D3">
      <w:pPr>
        <w:jc w:val="both"/>
      </w:pPr>
    </w:p>
    <w:p w:rsidR="00B3333C" w:rsidRPr="00B3333C" w:rsidRDefault="00B3333C" w:rsidP="004067D3">
      <w:pPr>
        <w:jc w:val="both"/>
      </w:pPr>
    </w:p>
    <w:p w:rsidR="00B3333C" w:rsidRPr="00B3333C" w:rsidRDefault="00B3333C" w:rsidP="004067D3">
      <w:pPr>
        <w:jc w:val="both"/>
      </w:pPr>
    </w:p>
    <w:p w:rsidR="00B3333C" w:rsidRPr="00B3333C" w:rsidRDefault="00B3333C" w:rsidP="004067D3">
      <w:pPr>
        <w:jc w:val="both"/>
      </w:pPr>
    </w:p>
    <w:p w:rsidR="00B3333C" w:rsidRPr="00B3333C" w:rsidRDefault="00B3333C" w:rsidP="004067D3">
      <w:pPr>
        <w:jc w:val="both"/>
      </w:pPr>
    </w:p>
    <w:p w:rsidR="00B3333C" w:rsidRPr="00B3333C" w:rsidRDefault="00B3333C" w:rsidP="004067D3">
      <w:pPr>
        <w:jc w:val="both"/>
      </w:pPr>
    </w:p>
    <w:p w:rsidR="00B3333C" w:rsidRPr="00B3333C" w:rsidRDefault="00B3333C" w:rsidP="004067D3">
      <w:pPr>
        <w:jc w:val="both"/>
      </w:pPr>
    </w:p>
    <w:p w:rsidR="00B3333C" w:rsidRPr="00B3333C" w:rsidRDefault="00B3333C" w:rsidP="004067D3">
      <w:pPr>
        <w:jc w:val="both"/>
      </w:pPr>
    </w:p>
    <w:p w:rsidR="00B3333C" w:rsidRPr="00B3333C" w:rsidRDefault="00B3333C" w:rsidP="004067D3">
      <w:pPr>
        <w:jc w:val="both"/>
      </w:pPr>
    </w:p>
    <w:p w:rsidR="00B3333C" w:rsidRPr="00B3333C" w:rsidRDefault="00B3333C" w:rsidP="004067D3">
      <w:pPr>
        <w:jc w:val="both"/>
      </w:pPr>
    </w:p>
    <w:p w:rsidR="00B3333C" w:rsidRPr="00B3333C" w:rsidRDefault="00B3333C" w:rsidP="004067D3">
      <w:pPr>
        <w:jc w:val="both"/>
      </w:pPr>
    </w:p>
    <w:p w:rsidR="00B3333C" w:rsidRPr="00B3333C" w:rsidRDefault="00B3333C" w:rsidP="004067D3">
      <w:pPr>
        <w:jc w:val="both"/>
      </w:pPr>
    </w:p>
    <w:p w:rsidR="00B3333C" w:rsidRDefault="00B3333C" w:rsidP="004067D3">
      <w:pPr>
        <w:jc w:val="both"/>
      </w:pPr>
    </w:p>
    <w:p w:rsidR="00B3333C" w:rsidRDefault="00B3333C" w:rsidP="004067D3">
      <w:pPr>
        <w:jc w:val="both"/>
      </w:pPr>
    </w:p>
    <w:p w:rsidR="00B3333C" w:rsidRDefault="00B3333C" w:rsidP="004067D3">
      <w:pPr>
        <w:jc w:val="both"/>
      </w:pPr>
    </w:p>
    <w:p w:rsidR="00B3333C" w:rsidRDefault="00B3333C" w:rsidP="004067D3">
      <w:pPr>
        <w:jc w:val="both"/>
      </w:pPr>
    </w:p>
    <w:p w:rsidR="00B3333C" w:rsidRPr="00B3333C" w:rsidRDefault="00B3333C" w:rsidP="004067D3">
      <w:pPr>
        <w:jc w:val="both"/>
      </w:pPr>
    </w:p>
    <w:p w:rsidR="00B3333C" w:rsidRDefault="00B3333C" w:rsidP="004067D3">
      <w:pPr>
        <w:jc w:val="both"/>
      </w:pPr>
    </w:p>
    <w:p w:rsidR="00B3333C" w:rsidRPr="00B3333C" w:rsidRDefault="00B3333C" w:rsidP="004067D3">
      <w:pPr>
        <w:jc w:val="both"/>
        <w:rPr>
          <w:b/>
          <w:i/>
          <w:sz w:val="28"/>
          <w:szCs w:val="28"/>
        </w:rPr>
      </w:pPr>
      <w:r w:rsidRPr="00B3333C">
        <w:rPr>
          <w:b/>
          <w:i/>
          <w:sz w:val="28"/>
          <w:szCs w:val="28"/>
        </w:rPr>
        <w:t>Заключение</w:t>
      </w:r>
    </w:p>
    <w:p w:rsidR="00B3333C" w:rsidRDefault="00B3333C" w:rsidP="004067D3">
      <w:pPr>
        <w:jc w:val="both"/>
      </w:pPr>
      <w:r>
        <w:t>В какой-то мере, говоря о показателях и типах информации, мы уже затронули вопрос о последствиях инфляции, ее влиянии на экономику. В западных странах инфляция стала практически неотъемлемым атрибутом рыночной системы хозяйствования. Это позволяет вести речь  не просто о следствиях, но и некоторых специфических функциях инфляции. Многие экономисты придерживаются той точки зрения, что незначительная инфляция, скажем, при ежегодном повышении цен на 3-4%, сопровождаемая соответствующим ростом денежной массы, способна стимулировать производство.</w:t>
      </w:r>
    </w:p>
    <w:p w:rsidR="00B3333C" w:rsidRDefault="00B3333C" w:rsidP="004067D3">
      <w:pPr>
        <w:jc w:val="both"/>
      </w:pPr>
      <w:r>
        <w:t>Процесс инфляции ведет к тому, что возможно рост массы обращающихся денег ускоряет платежеспособный оборот, способствует активизации инвестиционной деятельности. В свою очередь рост производства нередко приводит к восстановлению равновесия между товарной и денежной массой при более высоком уровне цен. С одной стороны, увеличиваются денежные прибыли, расширяются капиталовложения, а с другой — рост цен ведет к обесценению неиспользуемого капитала. Выигрывают не все, а прежде всего наиболее сильные фирмы, имеющие современное оборудование, наиболее организованное производство.</w:t>
      </w:r>
    </w:p>
    <w:p w:rsidR="00B3333C" w:rsidRDefault="00B3333C" w:rsidP="004067D3">
      <w:pPr>
        <w:jc w:val="both"/>
      </w:pPr>
      <w:r>
        <w:t>В условиях инфляционных ожиданий предприниматели стремятся обезопасить себя от риска, в частности от предполагаемого роста цен на импортируемые товары (сырье, топливо, комплектующие). Чтобы избежать потерь, вызываемых обесценением денег, производители, поставщики, посредники повышают цены, подстегивая тем самым инфляцию. От инфляции могут выиграть люди, взявшие деньги в кредит, если не оговорено, что процент за кредит должен учитывать инфляционный рост цен.</w:t>
      </w:r>
    </w:p>
    <w:p w:rsidR="00B3333C" w:rsidRDefault="00B3333C" w:rsidP="004067D3">
      <w:pPr>
        <w:jc w:val="both"/>
      </w:pPr>
      <w:r>
        <w:t>Но каковы бы не были позитивные функции инфляции, выходя из-под контроля и даже оставаясь относительно слабой, регулируемой, инфляция оказывает на ход экономического развития целый комплекс сугубо отрицательных, негативных явлений. Отметим кратко некоторые из них:</w:t>
      </w:r>
    </w:p>
    <w:p w:rsidR="00B3333C" w:rsidRDefault="00B3333C" w:rsidP="004067D3">
      <w:pPr>
        <w:jc w:val="both"/>
      </w:pPr>
      <w:r w:rsidRPr="00B3333C">
        <w:rPr>
          <w:b/>
        </w:rPr>
        <w:t>1.</w:t>
      </w:r>
      <w:r>
        <w:t>Инфляция снижает мотивы к трудовой деятельности, ибо она подрывает возможности нормальной реализации ценовых заработков. Инфляция, особенно в условиях существенного роста цен, усиливает социальную дифференциацию населения.</w:t>
      </w:r>
    </w:p>
    <w:p w:rsidR="00B3333C" w:rsidRDefault="00B3333C" w:rsidP="004067D3">
      <w:pPr>
        <w:jc w:val="both"/>
      </w:pPr>
      <w:r w:rsidRPr="00B3333C">
        <w:rPr>
          <w:b/>
        </w:rPr>
        <w:t>2.</w:t>
      </w:r>
      <w:r>
        <w:t>Инфляция сужает возможности накопления. Сбережения в ликвидной форме сокращаются, частично принимают натуральную форму (скупку недвижимости). Соотношение между потребляемой и сберегаемой частями доходов сдвигается  в сторону потребления. Выпуске ценных бумаг нередко не достигает желаемой цели, ибо оказывается не в состоянии “связать“ деньги у населения.</w:t>
      </w:r>
    </w:p>
    <w:p w:rsidR="00B3333C" w:rsidRDefault="00B3333C" w:rsidP="004067D3">
      <w:pPr>
        <w:jc w:val="both"/>
      </w:pPr>
      <w:r w:rsidRPr="00B3333C">
        <w:rPr>
          <w:b/>
        </w:rPr>
        <w:t>3.</w:t>
      </w:r>
      <w:r>
        <w:t xml:space="preserve"> Инфляция ослабляет позиции властных структур. Стремление государственных органов получить посредством эмиссии дополнительные средства для решения неотложных задач имеет своим следствием рост недовольства, усиление нажима со стороны различных социальных групп в целях повышения заработков, получения дополнительных льгот и субсидий.</w:t>
      </w:r>
    </w:p>
    <w:p w:rsidR="00B3333C" w:rsidRDefault="00B3333C" w:rsidP="004067D3">
      <w:pPr>
        <w:jc w:val="both"/>
      </w:pPr>
      <w:r w:rsidRPr="00B3333C">
        <w:rPr>
          <w:b/>
        </w:rPr>
        <w:t>4.</w:t>
      </w:r>
      <w:r>
        <w:t xml:space="preserve">Инфляция ведет к снижению реальных доходов населения при неравномерном росте национальных доходов. </w:t>
      </w:r>
    </w:p>
    <w:p w:rsidR="00B3333C" w:rsidRDefault="00B3333C" w:rsidP="004067D3">
      <w:pPr>
        <w:jc w:val="both"/>
      </w:pPr>
      <w:r w:rsidRPr="00B3333C">
        <w:rPr>
          <w:b/>
        </w:rPr>
        <w:t>5.</w:t>
      </w:r>
      <w:r>
        <w:t xml:space="preserve">Инфляция ведет к обесценению сбережений населения. Повышение процентов на вклады, как правило, не компенсирует падение реальных сбережений. </w:t>
      </w:r>
    </w:p>
    <w:p w:rsidR="00B3333C" w:rsidRDefault="00B3333C" w:rsidP="004067D3">
      <w:pPr>
        <w:jc w:val="both"/>
      </w:pPr>
      <w:r w:rsidRPr="00B3333C">
        <w:rPr>
          <w:b/>
        </w:rPr>
        <w:t>6.</w:t>
      </w:r>
      <w:r>
        <w:t>Инфляция приводит к потере у производителя заинтересованности в создании качественных товаров. При этом увеличивается выпуск товаров низкого качества, сокращается производство относительно дешевых товаров.</w:t>
      </w:r>
    </w:p>
    <w:p w:rsidR="00B3333C" w:rsidRDefault="00B3333C" w:rsidP="004067D3">
      <w:pPr>
        <w:jc w:val="both"/>
      </w:pPr>
      <w:r w:rsidRPr="00B3333C">
        <w:rPr>
          <w:b/>
        </w:rPr>
        <w:t>7.</w:t>
      </w:r>
      <w:r>
        <w:t>Инфляция ограничивает размеры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w:t>
      </w:r>
    </w:p>
    <w:p w:rsidR="00B3333C" w:rsidRDefault="00B3333C" w:rsidP="004067D3">
      <w:pPr>
        <w:jc w:val="both"/>
      </w:pPr>
      <w:r w:rsidRPr="00B3333C">
        <w:rPr>
          <w:b/>
        </w:rPr>
        <w:t>8.</w:t>
      </w:r>
      <w:r>
        <w:t>Инфляция приводит к ухудшению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w:t>
      </w:r>
    </w:p>
    <w:p w:rsidR="00B3333C" w:rsidRDefault="00B3333C" w:rsidP="004067D3">
      <w:pPr>
        <w:jc w:val="both"/>
      </w:pPr>
      <w:r>
        <w:t>Своего рода парадокс в том, что преодолеть инфляцию можно только перестроив хозяйственный механизм и выключив рыночные регуляторы, что возможно лишь при стабильной политической ситуации.</w:t>
      </w:r>
    </w:p>
    <w:p w:rsidR="00AE7E2A" w:rsidRDefault="00AE7E2A" w:rsidP="004067D3">
      <w:pPr>
        <w:jc w:val="both"/>
      </w:pPr>
    </w:p>
    <w:p w:rsidR="00AE7E2A" w:rsidRPr="00AE7E2A" w:rsidRDefault="00AE7E2A" w:rsidP="004067D3">
      <w:pPr>
        <w:jc w:val="both"/>
      </w:pPr>
    </w:p>
    <w:p w:rsidR="00AE7E2A" w:rsidRPr="00AE7E2A" w:rsidRDefault="00AE7E2A" w:rsidP="004067D3">
      <w:pPr>
        <w:jc w:val="both"/>
      </w:pPr>
    </w:p>
    <w:p w:rsidR="00AE7E2A" w:rsidRPr="00AE7E2A" w:rsidRDefault="00AE7E2A" w:rsidP="004067D3">
      <w:pPr>
        <w:jc w:val="both"/>
      </w:pPr>
    </w:p>
    <w:p w:rsidR="00AE7E2A" w:rsidRPr="00AE7E2A" w:rsidRDefault="00AE7E2A" w:rsidP="004067D3">
      <w:pPr>
        <w:jc w:val="both"/>
      </w:pPr>
    </w:p>
    <w:p w:rsidR="00AE7E2A" w:rsidRDefault="00AE7E2A"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Default="0068738F" w:rsidP="004067D3">
      <w:pPr>
        <w:jc w:val="both"/>
      </w:pPr>
    </w:p>
    <w:p w:rsidR="0068738F" w:rsidRPr="00AE7E2A" w:rsidRDefault="0068738F" w:rsidP="004067D3">
      <w:pPr>
        <w:jc w:val="both"/>
      </w:pPr>
    </w:p>
    <w:p w:rsidR="00AE7E2A" w:rsidRPr="00AE7E2A" w:rsidRDefault="00AE7E2A" w:rsidP="004067D3">
      <w:pPr>
        <w:jc w:val="both"/>
      </w:pPr>
    </w:p>
    <w:p w:rsidR="00AE7E2A" w:rsidRPr="00AE7E2A" w:rsidRDefault="00AE7E2A" w:rsidP="004067D3">
      <w:pPr>
        <w:jc w:val="both"/>
      </w:pPr>
    </w:p>
    <w:p w:rsidR="00AE7E2A" w:rsidRPr="00AE7E2A" w:rsidRDefault="00AE7E2A" w:rsidP="004067D3">
      <w:pPr>
        <w:jc w:val="both"/>
      </w:pPr>
    </w:p>
    <w:p w:rsidR="00AE7E2A" w:rsidRPr="00AE7E2A" w:rsidRDefault="00AE7E2A" w:rsidP="004067D3">
      <w:pPr>
        <w:jc w:val="both"/>
      </w:pPr>
    </w:p>
    <w:p w:rsidR="00304EFA" w:rsidRDefault="00304EFA" w:rsidP="004067D3">
      <w:pPr>
        <w:jc w:val="both"/>
        <w:rPr>
          <w:b/>
          <w:i/>
          <w:sz w:val="28"/>
          <w:szCs w:val="28"/>
        </w:rPr>
      </w:pPr>
      <w:r>
        <w:rPr>
          <w:b/>
          <w:i/>
          <w:sz w:val="28"/>
          <w:szCs w:val="28"/>
        </w:rPr>
        <w:t>Расчётная часть</w:t>
      </w:r>
    </w:p>
    <w:p w:rsidR="004067D3" w:rsidRDefault="004067D3" w:rsidP="004067D3">
      <w:pPr>
        <w:jc w:val="both"/>
        <w:rPr>
          <w:b/>
          <w:i/>
          <w:sz w:val="28"/>
          <w:szCs w:val="28"/>
        </w:rPr>
      </w:pPr>
    </w:p>
    <w:p w:rsidR="00304EFA" w:rsidRDefault="00304EFA" w:rsidP="004067D3">
      <w:pPr>
        <w:jc w:val="both"/>
        <w:rPr>
          <w:b/>
          <w:i/>
          <w:sz w:val="28"/>
          <w:szCs w:val="28"/>
        </w:rPr>
      </w:pPr>
      <w:r>
        <w:rPr>
          <w:b/>
          <w:i/>
          <w:sz w:val="28"/>
          <w:szCs w:val="28"/>
        </w:rPr>
        <w:t>Оценка кредитоспособности заёмщика</w:t>
      </w:r>
    </w:p>
    <w:p w:rsidR="00304EFA" w:rsidRPr="00304EFA" w:rsidRDefault="00304EFA" w:rsidP="004067D3">
      <w:pPr>
        <w:jc w:val="both"/>
      </w:pPr>
      <w:r>
        <w:t>Рассматриваемая ситуация: юридическое лицо обратилось в банк за кредитом</w:t>
      </w:r>
      <w:r w:rsidRPr="00304EFA">
        <w:t>.</w:t>
      </w:r>
      <w:r>
        <w:t xml:space="preserve"> Кредит выдаётся на 1 год</w:t>
      </w:r>
      <w:r w:rsidRPr="00304EFA">
        <w:t>.</w:t>
      </w:r>
    </w:p>
    <w:p w:rsidR="00304EFA" w:rsidRDefault="00304EFA" w:rsidP="004067D3">
      <w:pPr>
        <w:jc w:val="both"/>
      </w:pPr>
      <w:r>
        <w:t>Задача: оценить кредитоспособность лица (отнести данное лицо к одному из трёх классов кредитоспособности)</w:t>
      </w:r>
      <w:r w:rsidRPr="00304EFA">
        <w:t>.</w:t>
      </w:r>
    </w:p>
    <w:p w:rsidR="00304EFA" w:rsidRDefault="00304EFA" w:rsidP="004067D3">
      <w:pPr>
        <w:jc w:val="both"/>
      </w:pPr>
      <w:r>
        <w:t>Для этого необходим</w:t>
      </w:r>
      <w:r w:rsidR="00EA3BA5">
        <w:t>ы:</w:t>
      </w:r>
    </w:p>
    <w:p w:rsidR="00EA3BA5" w:rsidRDefault="00EA3BA5" w:rsidP="004067D3">
      <w:pPr>
        <w:jc w:val="both"/>
      </w:pPr>
      <w:r>
        <w:t>- общий баланс заёмщика (бухгалтерский баланс форма 1 и 2)</w:t>
      </w:r>
      <w:r w:rsidR="005F1AC3">
        <w:t>;</w:t>
      </w:r>
    </w:p>
    <w:p w:rsidR="00EA3BA5" w:rsidRDefault="00EA3BA5" w:rsidP="004067D3">
      <w:pPr>
        <w:jc w:val="both"/>
      </w:pPr>
      <w:r>
        <w:t xml:space="preserve">- </w:t>
      </w:r>
      <w:r w:rsidR="005F1AC3">
        <w:t xml:space="preserve">отчёт о прибылях и убытках </w:t>
      </w:r>
    </w:p>
    <w:p w:rsidR="00304EFA" w:rsidRDefault="00304EFA" w:rsidP="004067D3">
      <w:pPr>
        <w:jc w:val="both"/>
      </w:pPr>
    </w:p>
    <w:p w:rsidR="00304EFA" w:rsidRDefault="00A034B3" w:rsidP="004067D3">
      <w:pPr>
        <w:jc w:val="both"/>
      </w:pPr>
      <w:r>
        <w:t xml:space="preserve">Форма 1: </w:t>
      </w:r>
      <w:r w:rsidR="00404F0D">
        <w:t>Агрегированный баланс (все активы группируются по ликвидности):</w:t>
      </w:r>
    </w:p>
    <w:tbl>
      <w:tblPr>
        <w:tblW w:w="8600" w:type="dxa"/>
        <w:tblInd w:w="93" w:type="dxa"/>
        <w:tblLook w:val="0000" w:firstRow="0" w:lastRow="0" w:firstColumn="0" w:lastColumn="0" w:noHBand="0" w:noVBand="0"/>
      </w:tblPr>
      <w:tblGrid>
        <w:gridCol w:w="1371"/>
        <w:gridCol w:w="1469"/>
        <w:gridCol w:w="1400"/>
        <w:gridCol w:w="1516"/>
        <w:gridCol w:w="1484"/>
        <w:gridCol w:w="1360"/>
      </w:tblGrid>
      <w:tr w:rsidR="0050565B">
        <w:trPr>
          <w:trHeight w:val="255"/>
        </w:trPr>
        <w:tc>
          <w:tcPr>
            <w:tcW w:w="2840" w:type="dxa"/>
            <w:gridSpan w:val="2"/>
            <w:tcBorders>
              <w:top w:val="single" w:sz="4" w:space="0" w:color="auto"/>
              <w:left w:val="single" w:sz="4" w:space="0" w:color="auto"/>
              <w:bottom w:val="single" w:sz="4" w:space="0" w:color="auto"/>
              <w:right w:val="nil"/>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 xml:space="preserve">                        АКТИВЫ</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 </w:t>
            </w:r>
          </w:p>
        </w:tc>
        <w:tc>
          <w:tcPr>
            <w:tcW w:w="3000" w:type="dxa"/>
            <w:gridSpan w:val="2"/>
            <w:tcBorders>
              <w:top w:val="single" w:sz="4" w:space="0" w:color="auto"/>
              <w:left w:val="single" w:sz="4" w:space="0" w:color="auto"/>
              <w:bottom w:val="single" w:sz="4" w:space="0" w:color="auto"/>
              <w:right w:val="nil"/>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 xml:space="preserve">                        ПАССИВЫ</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 </w:t>
            </w:r>
          </w:p>
        </w:tc>
      </w:tr>
      <w:tr w:rsidR="0050565B">
        <w:trPr>
          <w:trHeight w:val="255"/>
        </w:trPr>
        <w:tc>
          <w:tcPr>
            <w:tcW w:w="1371" w:type="dxa"/>
            <w:tcBorders>
              <w:top w:val="nil"/>
              <w:left w:val="single" w:sz="4" w:space="0" w:color="auto"/>
              <w:bottom w:val="nil"/>
              <w:right w:val="nil"/>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 </w:t>
            </w:r>
          </w:p>
        </w:tc>
        <w:tc>
          <w:tcPr>
            <w:tcW w:w="1469"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на начало года</w:t>
            </w:r>
          </w:p>
        </w:tc>
        <w:tc>
          <w:tcPr>
            <w:tcW w:w="1400"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на конец года</w:t>
            </w:r>
          </w:p>
        </w:tc>
        <w:tc>
          <w:tcPr>
            <w:tcW w:w="1516" w:type="dxa"/>
            <w:tcBorders>
              <w:top w:val="nil"/>
              <w:left w:val="nil"/>
              <w:bottom w:val="nil"/>
              <w:right w:val="nil"/>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 </w:t>
            </w:r>
          </w:p>
        </w:tc>
        <w:tc>
          <w:tcPr>
            <w:tcW w:w="1484"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на начало года</w:t>
            </w:r>
          </w:p>
        </w:tc>
        <w:tc>
          <w:tcPr>
            <w:tcW w:w="1360"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на конец года</w:t>
            </w:r>
          </w:p>
        </w:tc>
      </w:tr>
      <w:tr w:rsidR="0050565B">
        <w:trPr>
          <w:trHeight w:val="255"/>
        </w:trPr>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А1</w:t>
            </w:r>
          </w:p>
        </w:tc>
        <w:tc>
          <w:tcPr>
            <w:tcW w:w="1469"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28420</w:t>
            </w:r>
          </w:p>
        </w:tc>
        <w:tc>
          <w:tcPr>
            <w:tcW w:w="1400"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70843</w:t>
            </w:r>
          </w:p>
        </w:tc>
        <w:tc>
          <w:tcPr>
            <w:tcW w:w="1516" w:type="dxa"/>
            <w:tcBorders>
              <w:top w:val="single" w:sz="4" w:space="0" w:color="auto"/>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П1</w:t>
            </w:r>
          </w:p>
        </w:tc>
        <w:tc>
          <w:tcPr>
            <w:tcW w:w="1484"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10805</w:t>
            </w:r>
          </w:p>
        </w:tc>
        <w:tc>
          <w:tcPr>
            <w:tcW w:w="1360"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15561</w:t>
            </w:r>
          </w:p>
        </w:tc>
      </w:tr>
      <w:tr w:rsidR="0050565B">
        <w:trPr>
          <w:trHeight w:val="255"/>
        </w:trPr>
        <w:tc>
          <w:tcPr>
            <w:tcW w:w="1371" w:type="dxa"/>
            <w:tcBorders>
              <w:top w:val="nil"/>
              <w:left w:val="single" w:sz="4" w:space="0" w:color="auto"/>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А2</w:t>
            </w:r>
          </w:p>
        </w:tc>
        <w:tc>
          <w:tcPr>
            <w:tcW w:w="1469"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30393</w:t>
            </w:r>
          </w:p>
        </w:tc>
        <w:tc>
          <w:tcPr>
            <w:tcW w:w="1400"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47614</w:t>
            </w:r>
          </w:p>
        </w:tc>
        <w:tc>
          <w:tcPr>
            <w:tcW w:w="1516"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П2</w:t>
            </w:r>
          </w:p>
        </w:tc>
        <w:tc>
          <w:tcPr>
            <w:tcW w:w="1484"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23745</w:t>
            </w:r>
          </w:p>
        </w:tc>
        <w:tc>
          <w:tcPr>
            <w:tcW w:w="1360"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22777</w:t>
            </w:r>
          </w:p>
        </w:tc>
      </w:tr>
      <w:tr w:rsidR="0050565B">
        <w:trPr>
          <w:trHeight w:val="255"/>
        </w:trPr>
        <w:tc>
          <w:tcPr>
            <w:tcW w:w="1371" w:type="dxa"/>
            <w:tcBorders>
              <w:top w:val="nil"/>
              <w:left w:val="single" w:sz="4" w:space="0" w:color="auto"/>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А3</w:t>
            </w:r>
          </w:p>
        </w:tc>
        <w:tc>
          <w:tcPr>
            <w:tcW w:w="1469"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90363</w:t>
            </w:r>
          </w:p>
        </w:tc>
        <w:tc>
          <w:tcPr>
            <w:tcW w:w="1400"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49866</w:t>
            </w:r>
          </w:p>
        </w:tc>
        <w:tc>
          <w:tcPr>
            <w:tcW w:w="1516"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П3</w:t>
            </w:r>
          </w:p>
        </w:tc>
        <w:tc>
          <w:tcPr>
            <w:tcW w:w="1484"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588701</w:t>
            </w:r>
          </w:p>
        </w:tc>
        <w:tc>
          <w:tcPr>
            <w:tcW w:w="1360"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592242</w:t>
            </w:r>
          </w:p>
        </w:tc>
      </w:tr>
      <w:tr w:rsidR="0050565B">
        <w:trPr>
          <w:trHeight w:val="255"/>
        </w:trPr>
        <w:tc>
          <w:tcPr>
            <w:tcW w:w="1371" w:type="dxa"/>
            <w:tcBorders>
              <w:top w:val="nil"/>
              <w:left w:val="single" w:sz="4" w:space="0" w:color="auto"/>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А4</w:t>
            </w:r>
          </w:p>
        </w:tc>
        <w:tc>
          <w:tcPr>
            <w:tcW w:w="1469"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498560</w:t>
            </w:r>
          </w:p>
        </w:tc>
        <w:tc>
          <w:tcPr>
            <w:tcW w:w="1400"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474103</w:t>
            </w:r>
          </w:p>
        </w:tc>
        <w:tc>
          <w:tcPr>
            <w:tcW w:w="1516"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П4</w:t>
            </w:r>
          </w:p>
        </w:tc>
        <w:tc>
          <w:tcPr>
            <w:tcW w:w="1484"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24485</w:t>
            </w:r>
          </w:p>
        </w:tc>
        <w:tc>
          <w:tcPr>
            <w:tcW w:w="1360"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11846</w:t>
            </w:r>
          </w:p>
        </w:tc>
      </w:tr>
      <w:tr w:rsidR="0050565B">
        <w:trPr>
          <w:trHeight w:val="255"/>
        </w:trPr>
        <w:tc>
          <w:tcPr>
            <w:tcW w:w="1371" w:type="dxa"/>
            <w:tcBorders>
              <w:top w:val="nil"/>
              <w:left w:val="single" w:sz="4" w:space="0" w:color="auto"/>
              <w:bottom w:val="single" w:sz="4" w:space="0" w:color="auto"/>
              <w:right w:val="nil"/>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Итого активов</w:t>
            </w:r>
          </w:p>
        </w:tc>
        <w:tc>
          <w:tcPr>
            <w:tcW w:w="1469" w:type="dxa"/>
            <w:tcBorders>
              <w:top w:val="nil"/>
              <w:left w:val="single" w:sz="4" w:space="0" w:color="auto"/>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647736</w:t>
            </w:r>
          </w:p>
        </w:tc>
        <w:tc>
          <w:tcPr>
            <w:tcW w:w="1400"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642426</w:t>
            </w:r>
          </w:p>
        </w:tc>
        <w:tc>
          <w:tcPr>
            <w:tcW w:w="1516" w:type="dxa"/>
            <w:tcBorders>
              <w:top w:val="nil"/>
              <w:left w:val="nil"/>
              <w:bottom w:val="single" w:sz="4" w:space="0" w:color="auto"/>
              <w:right w:val="nil"/>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Итого пассивов</w:t>
            </w:r>
          </w:p>
        </w:tc>
        <w:tc>
          <w:tcPr>
            <w:tcW w:w="1484" w:type="dxa"/>
            <w:tcBorders>
              <w:top w:val="nil"/>
              <w:left w:val="single" w:sz="4" w:space="0" w:color="auto"/>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647736</w:t>
            </w:r>
          </w:p>
        </w:tc>
        <w:tc>
          <w:tcPr>
            <w:tcW w:w="1360" w:type="dxa"/>
            <w:tcBorders>
              <w:top w:val="nil"/>
              <w:left w:val="nil"/>
              <w:bottom w:val="single" w:sz="4" w:space="0" w:color="auto"/>
              <w:right w:val="single" w:sz="4" w:space="0" w:color="auto"/>
            </w:tcBorders>
            <w:shd w:val="clear" w:color="auto" w:fill="auto"/>
            <w:noWrap/>
            <w:vAlign w:val="bottom"/>
          </w:tcPr>
          <w:p w:rsidR="0050565B" w:rsidRDefault="0050565B" w:rsidP="004067D3">
            <w:pPr>
              <w:jc w:val="both"/>
              <w:rPr>
                <w:rFonts w:ascii="Arial CYR" w:hAnsi="Arial CYR" w:cs="Arial CYR"/>
                <w:sz w:val="20"/>
                <w:szCs w:val="20"/>
              </w:rPr>
            </w:pPr>
            <w:r>
              <w:rPr>
                <w:rFonts w:ascii="Arial CYR" w:hAnsi="Arial CYR" w:cs="Arial CYR"/>
                <w:sz w:val="20"/>
                <w:szCs w:val="20"/>
              </w:rPr>
              <w:t>642426</w:t>
            </w:r>
          </w:p>
        </w:tc>
      </w:tr>
    </w:tbl>
    <w:p w:rsidR="00304EFA" w:rsidRDefault="00304EFA" w:rsidP="004067D3">
      <w:pPr>
        <w:jc w:val="both"/>
      </w:pPr>
    </w:p>
    <w:p w:rsidR="00304EFA" w:rsidRDefault="00BC00B5" w:rsidP="004067D3">
      <w:pPr>
        <w:jc w:val="both"/>
      </w:pPr>
      <w:r>
        <w:t>А1 – наиболее ликвидные активы (денежные средства и краткосрочные финансовые     вложения)</w:t>
      </w:r>
    </w:p>
    <w:p w:rsidR="00BC00B5" w:rsidRDefault="00BC00B5" w:rsidP="004067D3">
      <w:pPr>
        <w:jc w:val="both"/>
      </w:pPr>
      <w:r>
        <w:t xml:space="preserve">А2 – ликвидные активы (дебиторы до 1 года)    </w:t>
      </w:r>
    </w:p>
    <w:p w:rsidR="00304EFA" w:rsidRDefault="00BC00B5" w:rsidP="004067D3">
      <w:pPr>
        <w:jc w:val="both"/>
      </w:pPr>
      <w:r>
        <w:t>А3 – медленно реализуемые активы (запасы + НДС + если есть</w:t>
      </w:r>
      <w:r w:rsidRPr="00BC00B5">
        <w:t>,</w:t>
      </w:r>
      <w:r>
        <w:t xml:space="preserve"> дебиторы больше года + прочие оборотные активы)</w:t>
      </w:r>
    </w:p>
    <w:p w:rsidR="00304EFA" w:rsidRDefault="00BC00B5" w:rsidP="004067D3">
      <w:pPr>
        <w:jc w:val="both"/>
      </w:pPr>
      <w:r>
        <w:t xml:space="preserve">А4 – трудно реализуемые активы </w:t>
      </w:r>
    </w:p>
    <w:p w:rsidR="00BC00B5" w:rsidRDefault="00BC00B5" w:rsidP="004067D3">
      <w:pPr>
        <w:jc w:val="both"/>
      </w:pPr>
    </w:p>
    <w:p w:rsidR="00BC00B5" w:rsidRDefault="00BC00B5" w:rsidP="004067D3">
      <w:pPr>
        <w:jc w:val="both"/>
      </w:pPr>
      <w:r>
        <w:t>Пассивы группируются по степени срочности обязательств:</w:t>
      </w:r>
    </w:p>
    <w:p w:rsidR="00304EFA" w:rsidRDefault="00BC00B5" w:rsidP="004067D3">
      <w:pPr>
        <w:jc w:val="both"/>
      </w:pPr>
      <w:r>
        <w:t>П1 – наиболее срочные обязательства (кредиторская задолженность)</w:t>
      </w:r>
    </w:p>
    <w:p w:rsidR="00304EFA" w:rsidRDefault="00BC00B5" w:rsidP="004067D3">
      <w:pPr>
        <w:jc w:val="both"/>
      </w:pPr>
      <w:r>
        <w:t>П2 – краткосрочные пассивы (краткосрочные кредиты и займы</w:t>
      </w:r>
      <w:r w:rsidRPr="00BC00B5">
        <w:t>,</w:t>
      </w:r>
      <w:r>
        <w:t xml:space="preserve"> расчёты по дивидендам</w:t>
      </w:r>
      <w:r w:rsidRPr="00BC00B5">
        <w:t>,</w:t>
      </w:r>
      <w:r>
        <w:t xml:space="preserve"> прочие краткосрочные пассивы)</w:t>
      </w:r>
    </w:p>
    <w:p w:rsidR="00304EFA" w:rsidRDefault="00BC00B5" w:rsidP="004067D3">
      <w:pPr>
        <w:jc w:val="both"/>
      </w:pPr>
      <w:r>
        <w:t xml:space="preserve">П3 </w:t>
      </w:r>
      <w:r w:rsidR="00F26F06">
        <w:t>–</w:t>
      </w:r>
      <w:r>
        <w:t xml:space="preserve"> </w:t>
      </w:r>
      <w:r w:rsidR="00F26F06">
        <w:t>долгосрочные пассивы (долгосрочные кредиты и займы)</w:t>
      </w:r>
    </w:p>
    <w:p w:rsidR="00304EFA" w:rsidRDefault="00BC00B5" w:rsidP="004067D3">
      <w:pPr>
        <w:jc w:val="both"/>
      </w:pPr>
      <w:r>
        <w:t>П4</w:t>
      </w:r>
      <w:r w:rsidR="00F26F06">
        <w:t xml:space="preserve"> – постоянные пассивы</w:t>
      </w:r>
    </w:p>
    <w:p w:rsidR="00304EFA" w:rsidRDefault="00304EFA"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4067D3" w:rsidRDefault="004067D3" w:rsidP="004067D3">
      <w:pPr>
        <w:jc w:val="both"/>
      </w:pPr>
    </w:p>
    <w:p w:rsidR="00304EFA" w:rsidRDefault="00287AC2" w:rsidP="004067D3">
      <w:pPr>
        <w:jc w:val="both"/>
      </w:pPr>
      <w:r>
        <w:t>Далее: определяем финансовую устойчивость предприятия в зависимости от того</w:t>
      </w:r>
      <w:r w:rsidRPr="00287AC2">
        <w:t>,</w:t>
      </w:r>
      <w:r>
        <w:t xml:space="preserve"> на сколько обеспечены основные средства</w:t>
      </w:r>
      <w:r w:rsidRPr="00287AC2">
        <w:t>.</w:t>
      </w:r>
    </w:p>
    <w:p w:rsidR="00287AC2" w:rsidRDefault="00287AC2" w:rsidP="004067D3">
      <w:pPr>
        <w:jc w:val="both"/>
      </w:pPr>
      <w:r>
        <w:t>Необходимое условие анализа: расчёт показателей для оценки кредитоспособности</w:t>
      </w:r>
      <w:r w:rsidRPr="00287AC2">
        <w:t>.</w:t>
      </w:r>
    </w:p>
    <w:p w:rsidR="00287AC2" w:rsidRDefault="00287AC2" w:rsidP="004067D3">
      <w:pPr>
        <w:jc w:val="both"/>
      </w:pPr>
    </w:p>
    <w:tbl>
      <w:tblPr>
        <w:tblW w:w="9402" w:type="dxa"/>
        <w:tblInd w:w="93" w:type="dxa"/>
        <w:tblLook w:val="0000" w:firstRow="0" w:lastRow="0" w:firstColumn="0" w:lastColumn="0" w:noHBand="0" w:noVBand="0"/>
      </w:tblPr>
      <w:tblGrid>
        <w:gridCol w:w="426"/>
        <w:gridCol w:w="2875"/>
        <w:gridCol w:w="2391"/>
        <w:gridCol w:w="726"/>
        <w:gridCol w:w="797"/>
        <w:gridCol w:w="900"/>
        <w:gridCol w:w="1287"/>
      </w:tblGrid>
      <w:tr w:rsidR="00E27780">
        <w:trPr>
          <w:trHeight w:val="313"/>
        </w:trPr>
        <w:tc>
          <w:tcPr>
            <w:tcW w:w="426" w:type="dxa"/>
            <w:tcBorders>
              <w:top w:val="single" w:sz="4" w:space="0" w:color="auto"/>
              <w:left w:val="single" w:sz="4" w:space="0" w:color="auto"/>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w:t>
            </w:r>
          </w:p>
        </w:tc>
        <w:tc>
          <w:tcPr>
            <w:tcW w:w="2875" w:type="dxa"/>
            <w:tcBorders>
              <w:top w:val="single" w:sz="4" w:space="0" w:color="auto"/>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Наименование</w:t>
            </w:r>
          </w:p>
        </w:tc>
        <w:tc>
          <w:tcPr>
            <w:tcW w:w="2391" w:type="dxa"/>
            <w:tcBorders>
              <w:top w:val="single" w:sz="4" w:space="0" w:color="auto"/>
              <w:left w:val="nil"/>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 xml:space="preserve">Алгоритм </w:t>
            </w:r>
          </w:p>
        </w:tc>
        <w:tc>
          <w:tcPr>
            <w:tcW w:w="2423" w:type="dxa"/>
            <w:gridSpan w:val="3"/>
            <w:tcBorders>
              <w:top w:val="single" w:sz="4" w:space="0" w:color="auto"/>
              <w:left w:val="single" w:sz="4" w:space="0" w:color="auto"/>
              <w:bottom w:val="nil"/>
              <w:right w:val="single" w:sz="4" w:space="0" w:color="000000"/>
            </w:tcBorders>
            <w:shd w:val="clear" w:color="auto" w:fill="auto"/>
            <w:noWrap/>
            <w:vAlign w:val="bottom"/>
          </w:tcPr>
          <w:p w:rsidR="00E27780" w:rsidRPr="00F41B4B" w:rsidRDefault="00E27780" w:rsidP="004067D3">
            <w:pPr>
              <w:jc w:val="both"/>
              <w:rPr>
                <w:sz w:val="22"/>
                <w:szCs w:val="22"/>
              </w:rPr>
            </w:pPr>
            <w:r w:rsidRPr="00F41B4B">
              <w:rPr>
                <w:sz w:val="22"/>
                <w:szCs w:val="22"/>
              </w:rPr>
              <w:t xml:space="preserve">      критерии значений</w:t>
            </w:r>
          </w:p>
        </w:tc>
        <w:tc>
          <w:tcPr>
            <w:tcW w:w="1287" w:type="dxa"/>
            <w:tcBorders>
              <w:top w:val="single" w:sz="4" w:space="0" w:color="auto"/>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Вес коэф-</w:t>
            </w:r>
          </w:p>
        </w:tc>
      </w:tr>
      <w:tr w:rsidR="00E27780">
        <w:trPr>
          <w:trHeight w:val="363"/>
        </w:trPr>
        <w:tc>
          <w:tcPr>
            <w:tcW w:w="426" w:type="dxa"/>
            <w:tcBorders>
              <w:top w:val="nil"/>
              <w:left w:val="single" w:sz="4" w:space="0" w:color="auto"/>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2875"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коэффициента</w:t>
            </w:r>
          </w:p>
        </w:tc>
        <w:tc>
          <w:tcPr>
            <w:tcW w:w="2391" w:type="dxa"/>
            <w:tcBorders>
              <w:top w:val="nil"/>
              <w:left w:val="nil"/>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расчёта</w:t>
            </w:r>
          </w:p>
        </w:tc>
        <w:tc>
          <w:tcPr>
            <w:tcW w:w="726" w:type="dxa"/>
            <w:tcBorders>
              <w:top w:val="single" w:sz="4" w:space="0" w:color="auto"/>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I класс</w:t>
            </w:r>
          </w:p>
        </w:tc>
        <w:tc>
          <w:tcPr>
            <w:tcW w:w="797" w:type="dxa"/>
            <w:tcBorders>
              <w:top w:val="single" w:sz="4" w:space="0" w:color="auto"/>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II класс</w:t>
            </w:r>
          </w:p>
        </w:tc>
        <w:tc>
          <w:tcPr>
            <w:tcW w:w="900" w:type="dxa"/>
            <w:tcBorders>
              <w:top w:val="single" w:sz="4" w:space="0" w:color="auto"/>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III класс</w:t>
            </w:r>
          </w:p>
        </w:tc>
        <w:tc>
          <w:tcPr>
            <w:tcW w:w="1287" w:type="dxa"/>
            <w:tcBorders>
              <w:top w:val="nil"/>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фициента</w:t>
            </w:r>
          </w:p>
        </w:tc>
      </w:tr>
      <w:tr w:rsidR="00E27780">
        <w:trPr>
          <w:trHeight w:val="255"/>
        </w:trPr>
        <w:tc>
          <w:tcPr>
            <w:tcW w:w="426" w:type="dxa"/>
            <w:tcBorders>
              <w:top w:val="single" w:sz="4" w:space="0" w:color="auto"/>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1</w:t>
            </w:r>
          </w:p>
        </w:tc>
        <w:tc>
          <w:tcPr>
            <w:tcW w:w="2875" w:type="dxa"/>
            <w:tcBorders>
              <w:top w:val="nil"/>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xml:space="preserve">коэффициент текущей </w:t>
            </w:r>
          </w:p>
        </w:tc>
        <w:tc>
          <w:tcPr>
            <w:tcW w:w="2391" w:type="dxa"/>
            <w:tcBorders>
              <w:top w:val="single" w:sz="4" w:space="0" w:color="auto"/>
              <w:left w:val="nil"/>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(А1+А2+А3)/(П1+П2)</w:t>
            </w:r>
          </w:p>
        </w:tc>
        <w:tc>
          <w:tcPr>
            <w:tcW w:w="726" w:type="dxa"/>
            <w:tcBorders>
              <w:top w:val="single" w:sz="4" w:space="0" w:color="auto"/>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≥2</w:t>
            </w:r>
          </w:p>
        </w:tc>
        <w:tc>
          <w:tcPr>
            <w:tcW w:w="797" w:type="dxa"/>
            <w:tcBorders>
              <w:top w:val="single" w:sz="4" w:space="0" w:color="auto"/>
              <w:left w:val="nil"/>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1 - 1,9</w:t>
            </w:r>
          </w:p>
        </w:tc>
        <w:tc>
          <w:tcPr>
            <w:tcW w:w="900" w:type="dxa"/>
            <w:tcBorders>
              <w:top w:val="single" w:sz="4" w:space="0" w:color="auto"/>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&lt;1</w:t>
            </w:r>
          </w:p>
        </w:tc>
        <w:tc>
          <w:tcPr>
            <w:tcW w:w="1287" w:type="dxa"/>
            <w:tcBorders>
              <w:top w:val="single" w:sz="4" w:space="0" w:color="auto"/>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p>
        </w:tc>
      </w:tr>
      <w:tr w:rsidR="00E27780">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2875" w:type="dxa"/>
            <w:tcBorders>
              <w:top w:val="nil"/>
              <w:left w:val="nil"/>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ликвидности</w:t>
            </w:r>
          </w:p>
        </w:tc>
        <w:tc>
          <w:tcPr>
            <w:tcW w:w="2391" w:type="dxa"/>
            <w:tcBorders>
              <w:top w:val="nil"/>
              <w:left w:val="nil"/>
              <w:bottom w:val="single" w:sz="4" w:space="0" w:color="auto"/>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726"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797" w:type="dxa"/>
            <w:tcBorders>
              <w:top w:val="nil"/>
              <w:left w:val="nil"/>
              <w:bottom w:val="single" w:sz="4" w:space="0" w:color="auto"/>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1287" w:type="dxa"/>
            <w:tcBorders>
              <w:top w:val="nil"/>
              <w:left w:val="nil"/>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r>
      <w:tr w:rsidR="00E27780">
        <w:trPr>
          <w:trHeight w:val="255"/>
        </w:trPr>
        <w:tc>
          <w:tcPr>
            <w:tcW w:w="426" w:type="dxa"/>
            <w:tcBorders>
              <w:top w:val="nil"/>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2</w:t>
            </w:r>
          </w:p>
        </w:tc>
        <w:tc>
          <w:tcPr>
            <w:tcW w:w="2875" w:type="dxa"/>
            <w:tcBorders>
              <w:top w:val="nil"/>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xml:space="preserve">коэффициент срочной </w:t>
            </w:r>
          </w:p>
        </w:tc>
        <w:tc>
          <w:tcPr>
            <w:tcW w:w="2391" w:type="dxa"/>
            <w:tcBorders>
              <w:top w:val="nil"/>
              <w:left w:val="nil"/>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(А1+А2)/(П1+П2)</w:t>
            </w:r>
          </w:p>
        </w:tc>
        <w:tc>
          <w:tcPr>
            <w:tcW w:w="726" w:type="dxa"/>
            <w:tcBorders>
              <w:top w:val="nil"/>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≥1</w:t>
            </w:r>
          </w:p>
        </w:tc>
        <w:tc>
          <w:tcPr>
            <w:tcW w:w="797" w:type="dxa"/>
            <w:tcBorders>
              <w:top w:val="nil"/>
              <w:left w:val="nil"/>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0,5 - 0,9</w:t>
            </w:r>
          </w:p>
        </w:tc>
        <w:tc>
          <w:tcPr>
            <w:tcW w:w="900" w:type="dxa"/>
            <w:tcBorders>
              <w:top w:val="nil"/>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&lt;0,5</w:t>
            </w:r>
          </w:p>
        </w:tc>
        <w:tc>
          <w:tcPr>
            <w:tcW w:w="1287" w:type="dxa"/>
            <w:tcBorders>
              <w:top w:val="nil"/>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p>
        </w:tc>
      </w:tr>
      <w:tr w:rsidR="00E27780">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2875" w:type="dxa"/>
            <w:tcBorders>
              <w:top w:val="nil"/>
              <w:left w:val="nil"/>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ликвидности</w:t>
            </w:r>
          </w:p>
        </w:tc>
        <w:tc>
          <w:tcPr>
            <w:tcW w:w="2391" w:type="dxa"/>
            <w:tcBorders>
              <w:top w:val="nil"/>
              <w:left w:val="nil"/>
              <w:bottom w:val="single" w:sz="4" w:space="0" w:color="auto"/>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726"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797" w:type="dxa"/>
            <w:tcBorders>
              <w:top w:val="nil"/>
              <w:left w:val="nil"/>
              <w:bottom w:val="single" w:sz="4" w:space="0" w:color="auto"/>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1287" w:type="dxa"/>
            <w:tcBorders>
              <w:top w:val="nil"/>
              <w:left w:val="nil"/>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r>
      <w:tr w:rsidR="00E27780">
        <w:trPr>
          <w:trHeight w:val="255"/>
        </w:trPr>
        <w:tc>
          <w:tcPr>
            <w:tcW w:w="426" w:type="dxa"/>
            <w:tcBorders>
              <w:top w:val="nil"/>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3</w:t>
            </w:r>
          </w:p>
        </w:tc>
        <w:tc>
          <w:tcPr>
            <w:tcW w:w="2875" w:type="dxa"/>
            <w:tcBorders>
              <w:top w:val="nil"/>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коэффициент абсолютной</w:t>
            </w:r>
          </w:p>
        </w:tc>
        <w:tc>
          <w:tcPr>
            <w:tcW w:w="2391" w:type="dxa"/>
            <w:tcBorders>
              <w:top w:val="nil"/>
              <w:left w:val="nil"/>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А1/(П1+П2)</w:t>
            </w:r>
          </w:p>
        </w:tc>
        <w:tc>
          <w:tcPr>
            <w:tcW w:w="726" w:type="dxa"/>
            <w:tcBorders>
              <w:top w:val="nil"/>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≥0,2</w:t>
            </w:r>
          </w:p>
        </w:tc>
        <w:tc>
          <w:tcPr>
            <w:tcW w:w="797" w:type="dxa"/>
            <w:tcBorders>
              <w:top w:val="nil"/>
              <w:left w:val="nil"/>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0,15 - 0,19</w:t>
            </w:r>
          </w:p>
        </w:tc>
        <w:tc>
          <w:tcPr>
            <w:tcW w:w="900" w:type="dxa"/>
            <w:tcBorders>
              <w:top w:val="nil"/>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&lt;0,15</w:t>
            </w:r>
          </w:p>
        </w:tc>
        <w:tc>
          <w:tcPr>
            <w:tcW w:w="1287" w:type="dxa"/>
            <w:tcBorders>
              <w:top w:val="nil"/>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p>
        </w:tc>
      </w:tr>
      <w:tr w:rsidR="00E27780">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2875" w:type="dxa"/>
            <w:tcBorders>
              <w:top w:val="nil"/>
              <w:left w:val="nil"/>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ликвидности</w:t>
            </w:r>
          </w:p>
        </w:tc>
        <w:tc>
          <w:tcPr>
            <w:tcW w:w="2391" w:type="dxa"/>
            <w:tcBorders>
              <w:top w:val="nil"/>
              <w:left w:val="nil"/>
              <w:bottom w:val="single" w:sz="4" w:space="0" w:color="auto"/>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726"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797" w:type="dxa"/>
            <w:tcBorders>
              <w:top w:val="nil"/>
              <w:left w:val="nil"/>
              <w:bottom w:val="single" w:sz="4" w:space="0" w:color="auto"/>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1287" w:type="dxa"/>
            <w:tcBorders>
              <w:top w:val="nil"/>
              <w:left w:val="nil"/>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r>
      <w:tr w:rsidR="00E27780">
        <w:trPr>
          <w:trHeight w:val="255"/>
        </w:trPr>
        <w:tc>
          <w:tcPr>
            <w:tcW w:w="426" w:type="dxa"/>
            <w:tcBorders>
              <w:top w:val="nil"/>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4</w:t>
            </w:r>
          </w:p>
        </w:tc>
        <w:tc>
          <w:tcPr>
            <w:tcW w:w="2875" w:type="dxa"/>
            <w:tcBorders>
              <w:top w:val="nil"/>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коэффициент собственных</w:t>
            </w:r>
          </w:p>
        </w:tc>
        <w:tc>
          <w:tcPr>
            <w:tcW w:w="2391" w:type="dxa"/>
            <w:tcBorders>
              <w:top w:val="nil"/>
              <w:left w:val="nil"/>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П4/Заёмные средства</w:t>
            </w:r>
          </w:p>
        </w:tc>
        <w:tc>
          <w:tcPr>
            <w:tcW w:w="726" w:type="dxa"/>
            <w:tcBorders>
              <w:top w:val="nil"/>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≥1</w:t>
            </w:r>
          </w:p>
        </w:tc>
        <w:tc>
          <w:tcPr>
            <w:tcW w:w="797" w:type="dxa"/>
            <w:tcBorders>
              <w:top w:val="nil"/>
              <w:left w:val="nil"/>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0,7 - 1</w:t>
            </w:r>
          </w:p>
        </w:tc>
        <w:tc>
          <w:tcPr>
            <w:tcW w:w="900" w:type="dxa"/>
            <w:tcBorders>
              <w:top w:val="nil"/>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&lt;0,7</w:t>
            </w:r>
          </w:p>
        </w:tc>
        <w:tc>
          <w:tcPr>
            <w:tcW w:w="1287" w:type="dxa"/>
            <w:tcBorders>
              <w:top w:val="nil"/>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p>
        </w:tc>
      </w:tr>
      <w:tr w:rsidR="00E27780">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2875" w:type="dxa"/>
            <w:tcBorders>
              <w:top w:val="nil"/>
              <w:left w:val="nil"/>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и заёмных средств</w:t>
            </w:r>
          </w:p>
        </w:tc>
        <w:tc>
          <w:tcPr>
            <w:tcW w:w="2391" w:type="dxa"/>
            <w:tcBorders>
              <w:top w:val="nil"/>
              <w:left w:val="nil"/>
              <w:bottom w:val="single" w:sz="4" w:space="0" w:color="auto"/>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726"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797" w:type="dxa"/>
            <w:tcBorders>
              <w:top w:val="nil"/>
              <w:left w:val="nil"/>
              <w:bottom w:val="single" w:sz="4" w:space="0" w:color="auto"/>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1287" w:type="dxa"/>
            <w:tcBorders>
              <w:top w:val="nil"/>
              <w:left w:val="nil"/>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r>
      <w:tr w:rsidR="00E27780">
        <w:trPr>
          <w:trHeight w:val="255"/>
        </w:trPr>
        <w:tc>
          <w:tcPr>
            <w:tcW w:w="426" w:type="dxa"/>
            <w:tcBorders>
              <w:top w:val="nil"/>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5</w:t>
            </w:r>
          </w:p>
        </w:tc>
        <w:tc>
          <w:tcPr>
            <w:tcW w:w="2875" w:type="dxa"/>
            <w:tcBorders>
              <w:top w:val="nil"/>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xml:space="preserve">коэффициент рентабельности </w:t>
            </w:r>
          </w:p>
        </w:tc>
        <w:tc>
          <w:tcPr>
            <w:tcW w:w="2391" w:type="dxa"/>
            <w:tcBorders>
              <w:top w:val="nil"/>
              <w:left w:val="nil"/>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 xml:space="preserve">Прибыль от </w:t>
            </w:r>
            <w:r w:rsidR="00E418DF" w:rsidRPr="00F41B4B">
              <w:rPr>
                <w:sz w:val="22"/>
                <w:szCs w:val="22"/>
              </w:rPr>
              <w:t>производства</w:t>
            </w:r>
            <w:r w:rsidRPr="00F41B4B">
              <w:rPr>
                <w:sz w:val="22"/>
                <w:szCs w:val="22"/>
              </w:rPr>
              <w:t>/</w:t>
            </w:r>
          </w:p>
        </w:tc>
        <w:tc>
          <w:tcPr>
            <w:tcW w:w="726" w:type="dxa"/>
            <w:tcBorders>
              <w:top w:val="nil"/>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≥0,15</w:t>
            </w:r>
          </w:p>
        </w:tc>
        <w:tc>
          <w:tcPr>
            <w:tcW w:w="797" w:type="dxa"/>
            <w:tcBorders>
              <w:top w:val="nil"/>
              <w:left w:val="nil"/>
              <w:bottom w:val="nil"/>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&lt;0,15</w:t>
            </w:r>
          </w:p>
        </w:tc>
        <w:tc>
          <w:tcPr>
            <w:tcW w:w="900" w:type="dxa"/>
            <w:tcBorders>
              <w:top w:val="nil"/>
              <w:left w:val="single" w:sz="4" w:space="0" w:color="auto"/>
              <w:bottom w:val="nil"/>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&lt;0</w:t>
            </w:r>
          </w:p>
        </w:tc>
        <w:tc>
          <w:tcPr>
            <w:tcW w:w="1287" w:type="dxa"/>
            <w:tcBorders>
              <w:top w:val="nil"/>
              <w:left w:val="nil"/>
              <w:bottom w:val="nil"/>
              <w:right w:val="single" w:sz="4" w:space="0" w:color="auto"/>
            </w:tcBorders>
            <w:shd w:val="clear" w:color="auto" w:fill="auto"/>
            <w:noWrap/>
            <w:vAlign w:val="bottom"/>
          </w:tcPr>
          <w:p w:rsidR="00E27780" w:rsidRPr="00F41B4B" w:rsidRDefault="00E27780" w:rsidP="004067D3">
            <w:pPr>
              <w:jc w:val="both"/>
              <w:rPr>
                <w:sz w:val="22"/>
                <w:szCs w:val="22"/>
              </w:rPr>
            </w:pPr>
          </w:p>
        </w:tc>
      </w:tr>
      <w:tr w:rsidR="00E27780">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2875" w:type="dxa"/>
            <w:tcBorders>
              <w:top w:val="nil"/>
              <w:left w:val="nil"/>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произвидства</w:t>
            </w:r>
          </w:p>
        </w:tc>
        <w:tc>
          <w:tcPr>
            <w:tcW w:w="2391" w:type="dxa"/>
            <w:tcBorders>
              <w:top w:val="nil"/>
              <w:left w:val="nil"/>
              <w:bottom w:val="single" w:sz="4" w:space="0" w:color="auto"/>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/Выручка от продаж</w:t>
            </w:r>
          </w:p>
        </w:tc>
        <w:tc>
          <w:tcPr>
            <w:tcW w:w="726"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797" w:type="dxa"/>
            <w:tcBorders>
              <w:top w:val="nil"/>
              <w:left w:val="nil"/>
              <w:bottom w:val="single" w:sz="4" w:space="0" w:color="auto"/>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1287" w:type="dxa"/>
            <w:tcBorders>
              <w:top w:val="nil"/>
              <w:left w:val="nil"/>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r>
      <w:tr w:rsidR="00E27780">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6</w:t>
            </w:r>
          </w:p>
        </w:tc>
        <w:tc>
          <w:tcPr>
            <w:tcW w:w="2875" w:type="dxa"/>
            <w:tcBorders>
              <w:top w:val="nil"/>
              <w:left w:val="nil"/>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коэффициент маневренности</w:t>
            </w:r>
          </w:p>
        </w:tc>
        <w:tc>
          <w:tcPr>
            <w:tcW w:w="2391" w:type="dxa"/>
            <w:tcBorders>
              <w:top w:val="nil"/>
              <w:left w:val="nil"/>
              <w:bottom w:val="single" w:sz="4" w:space="0" w:color="auto"/>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А3/((А1+А2+А3)-(П1+П2))</w:t>
            </w:r>
          </w:p>
        </w:tc>
        <w:tc>
          <w:tcPr>
            <w:tcW w:w="726"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797" w:type="dxa"/>
            <w:tcBorders>
              <w:top w:val="nil"/>
              <w:left w:val="nil"/>
              <w:bottom w:val="single" w:sz="4" w:space="0" w:color="auto"/>
              <w:right w:val="nil"/>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r w:rsidRPr="00F41B4B">
              <w:rPr>
                <w:sz w:val="22"/>
                <w:szCs w:val="22"/>
              </w:rPr>
              <w:t> </w:t>
            </w:r>
          </w:p>
        </w:tc>
        <w:tc>
          <w:tcPr>
            <w:tcW w:w="1287" w:type="dxa"/>
            <w:tcBorders>
              <w:top w:val="nil"/>
              <w:left w:val="nil"/>
              <w:bottom w:val="single" w:sz="4" w:space="0" w:color="auto"/>
              <w:right w:val="single" w:sz="4" w:space="0" w:color="auto"/>
            </w:tcBorders>
            <w:shd w:val="clear" w:color="auto" w:fill="auto"/>
            <w:noWrap/>
            <w:vAlign w:val="bottom"/>
          </w:tcPr>
          <w:p w:rsidR="00E27780" w:rsidRPr="00F41B4B" w:rsidRDefault="00E27780" w:rsidP="004067D3">
            <w:pPr>
              <w:jc w:val="both"/>
              <w:rPr>
                <w:sz w:val="22"/>
                <w:szCs w:val="22"/>
              </w:rPr>
            </w:pPr>
          </w:p>
        </w:tc>
      </w:tr>
    </w:tbl>
    <w:p w:rsidR="00E27780" w:rsidRDefault="00E27780" w:rsidP="004067D3">
      <w:pPr>
        <w:jc w:val="both"/>
      </w:pPr>
    </w:p>
    <w:p w:rsidR="00E27780" w:rsidRDefault="00E27780" w:rsidP="004067D3">
      <w:pPr>
        <w:jc w:val="both"/>
      </w:pPr>
    </w:p>
    <w:p w:rsidR="00E27780" w:rsidRDefault="00173043" w:rsidP="004067D3">
      <w:pPr>
        <w:jc w:val="both"/>
        <w:rPr>
          <w:b/>
          <w:sz w:val="28"/>
          <w:szCs w:val="28"/>
        </w:rPr>
      </w:pPr>
      <w:r w:rsidRPr="00173043">
        <w:rPr>
          <w:b/>
          <w:sz w:val="28"/>
          <w:szCs w:val="28"/>
        </w:rPr>
        <w:t>Расчёт коэффициентов:</w:t>
      </w:r>
    </w:p>
    <w:p w:rsidR="002D2DEC" w:rsidRPr="00173043" w:rsidRDefault="002D2DEC" w:rsidP="004067D3">
      <w:pPr>
        <w:jc w:val="both"/>
        <w:rPr>
          <w:b/>
          <w:sz w:val="28"/>
          <w:szCs w:val="28"/>
        </w:rPr>
      </w:pPr>
    </w:p>
    <w:p w:rsidR="00173043" w:rsidRDefault="002D2DEC" w:rsidP="004067D3">
      <w:pPr>
        <w:jc w:val="both"/>
      </w:pPr>
      <w:r w:rsidRPr="00173043">
        <w:t>На начало года: А1+А2+А3</w:t>
      </w:r>
      <w:r>
        <w:t>=</w:t>
      </w:r>
      <w:r w:rsidR="00011F05">
        <w:t>149176</w:t>
      </w:r>
    </w:p>
    <w:p w:rsidR="00011F05" w:rsidRDefault="002D2DEC" w:rsidP="004067D3">
      <w:pPr>
        <w:jc w:val="both"/>
      </w:pPr>
      <w:r w:rsidRPr="00173043">
        <w:t>На конец года:</w:t>
      </w:r>
      <w:r w:rsidRPr="002D2DEC">
        <w:t xml:space="preserve"> </w:t>
      </w:r>
      <w:r w:rsidRPr="00173043">
        <w:t>А1+А2+А3</w:t>
      </w:r>
      <w:r>
        <w:t>=</w:t>
      </w:r>
      <w:r w:rsidR="00011F05">
        <w:t>168323</w:t>
      </w:r>
    </w:p>
    <w:p w:rsidR="002D2DEC" w:rsidRDefault="002D2DEC" w:rsidP="004067D3">
      <w:pPr>
        <w:jc w:val="both"/>
      </w:pPr>
      <w:r w:rsidRPr="00173043">
        <w:t>На начало года: А1+А2</w:t>
      </w:r>
      <w:r>
        <w:t>=</w:t>
      </w:r>
      <w:r w:rsidR="00011F05">
        <w:t>58813</w:t>
      </w:r>
    </w:p>
    <w:p w:rsidR="002D2DEC" w:rsidRDefault="002D2DEC" w:rsidP="004067D3">
      <w:pPr>
        <w:jc w:val="both"/>
      </w:pPr>
      <w:r w:rsidRPr="00173043">
        <w:t>На конец года:</w:t>
      </w:r>
      <w:r w:rsidRPr="002D2DEC">
        <w:t xml:space="preserve"> </w:t>
      </w:r>
      <w:r w:rsidRPr="00173043">
        <w:t>А1+А2</w:t>
      </w:r>
      <w:r>
        <w:t>=</w:t>
      </w:r>
      <w:r w:rsidR="00011F05">
        <w:t>118457</w:t>
      </w:r>
    </w:p>
    <w:p w:rsidR="002D2DEC" w:rsidRDefault="002D2DEC" w:rsidP="004067D3">
      <w:pPr>
        <w:jc w:val="both"/>
      </w:pPr>
      <w:r w:rsidRPr="00173043">
        <w:t>На начало года: П1+П2</w:t>
      </w:r>
      <w:r>
        <w:t>=</w:t>
      </w:r>
      <w:r w:rsidR="00011F05">
        <w:t>34550</w:t>
      </w:r>
    </w:p>
    <w:p w:rsidR="002D2DEC" w:rsidRDefault="002D2DEC" w:rsidP="004067D3">
      <w:pPr>
        <w:jc w:val="both"/>
      </w:pPr>
      <w:r w:rsidRPr="00173043">
        <w:t>На конец года:</w:t>
      </w:r>
      <w:r w:rsidRPr="002D2DEC">
        <w:t xml:space="preserve"> </w:t>
      </w:r>
      <w:r w:rsidRPr="00173043">
        <w:t>П1+П2</w:t>
      </w:r>
      <w:r>
        <w:t>=</w:t>
      </w:r>
      <w:r w:rsidR="00011F05">
        <w:t>38338</w:t>
      </w:r>
    </w:p>
    <w:p w:rsidR="00DC1839" w:rsidRPr="00173043" w:rsidRDefault="00DC1839" w:rsidP="004067D3">
      <w:pPr>
        <w:jc w:val="both"/>
      </w:pPr>
      <w:r w:rsidRPr="00173043">
        <w:t>На начало года: П1+П2+П3=</w:t>
      </w:r>
      <w:r w:rsidR="003A3B96">
        <w:t>623251</w:t>
      </w:r>
    </w:p>
    <w:p w:rsidR="002D2DEC" w:rsidRDefault="00DC1839" w:rsidP="004067D3">
      <w:pPr>
        <w:jc w:val="both"/>
      </w:pPr>
      <w:r w:rsidRPr="00173043">
        <w:t>На конец года:</w:t>
      </w:r>
      <w:r>
        <w:t xml:space="preserve"> </w:t>
      </w:r>
      <w:r w:rsidRPr="00173043">
        <w:t>П1+П2+П3=</w:t>
      </w:r>
      <w:r w:rsidR="003A3B96">
        <w:t>630580</w:t>
      </w:r>
    </w:p>
    <w:p w:rsidR="003A3B96" w:rsidRDefault="003A3B96" w:rsidP="004067D3">
      <w:pPr>
        <w:jc w:val="both"/>
      </w:pPr>
    </w:p>
    <w:p w:rsidR="00173043" w:rsidRPr="00173043" w:rsidRDefault="00173043" w:rsidP="004067D3">
      <w:pPr>
        <w:jc w:val="both"/>
        <w:rPr>
          <w:b/>
        </w:rPr>
      </w:pPr>
      <w:r w:rsidRPr="00173043">
        <w:rPr>
          <w:b/>
        </w:rPr>
        <w:t>Коэффициент текущей ликвидности</w:t>
      </w:r>
      <w:r w:rsidRPr="00173043">
        <w:rPr>
          <w:b/>
        </w:rPr>
        <w:tab/>
      </w:r>
    </w:p>
    <w:p w:rsidR="00E44650" w:rsidRPr="00483341" w:rsidRDefault="00173043" w:rsidP="004067D3">
      <w:pPr>
        <w:jc w:val="both"/>
      </w:pPr>
      <w:r w:rsidRPr="00173043">
        <w:t>На начало года: (А1+А2+А3)/(П1+П2)=</w:t>
      </w:r>
      <w:r w:rsidR="00E44650">
        <w:t xml:space="preserve"> 149176/34550</w:t>
      </w:r>
      <w:r w:rsidR="00666BDA" w:rsidRPr="00666BDA">
        <w:t>=</w:t>
      </w:r>
      <w:r w:rsidR="00483341" w:rsidRPr="00483341">
        <w:t>4,3</w:t>
      </w:r>
    </w:p>
    <w:p w:rsidR="00E44650" w:rsidRPr="00483341" w:rsidRDefault="00173043" w:rsidP="004067D3">
      <w:pPr>
        <w:jc w:val="both"/>
      </w:pPr>
      <w:r w:rsidRPr="00173043">
        <w:t>На конец года: (А1+А2+А3)/(П1+П2)=</w:t>
      </w:r>
      <w:r w:rsidR="00E44650" w:rsidRPr="00E44650">
        <w:t xml:space="preserve"> </w:t>
      </w:r>
      <w:r w:rsidR="00E44650">
        <w:t>168323/38338</w:t>
      </w:r>
      <w:r w:rsidR="00666BDA" w:rsidRPr="00666BDA">
        <w:t>=</w:t>
      </w:r>
      <w:r w:rsidR="00483341" w:rsidRPr="00483341">
        <w:t>4,4</w:t>
      </w:r>
    </w:p>
    <w:p w:rsidR="00173043" w:rsidRPr="00173043" w:rsidRDefault="00173043" w:rsidP="004067D3">
      <w:pPr>
        <w:jc w:val="both"/>
      </w:pPr>
    </w:p>
    <w:p w:rsidR="00173043" w:rsidRPr="00173043" w:rsidRDefault="00173043" w:rsidP="004067D3">
      <w:pPr>
        <w:jc w:val="both"/>
        <w:rPr>
          <w:b/>
        </w:rPr>
      </w:pPr>
      <w:r w:rsidRPr="00173043">
        <w:rPr>
          <w:b/>
        </w:rPr>
        <w:t>Коэффициент срочной  ликвидности</w:t>
      </w:r>
      <w:r w:rsidRPr="00173043">
        <w:rPr>
          <w:b/>
        </w:rPr>
        <w:tab/>
      </w:r>
    </w:p>
    <w:p w:rsidR="00E44650" w:rsidRPr="00483341" w:rsidRDefault="00173043" w:rsidP="004067D3">
      <w:pPr>
        <w:jc w:val="both"/>
      </w:pPr>
      <w:r w:rsidRPr="00173043">
        <w:t>На начало года: (A1+A2)/(П1+П2)=</w:t>
      </w:r>
      <w:r w:rsidR="00E44650" w:rsidRPr="00E44650">
        <w:t xml:space="preserve"> </w:t>
      </w:r>
      <w:r w:rsidR="00E44650">
        <w:t>58813/34550</w:t>
      </w:r>
      <w:r w:rsidR="00666BDA" w:rsidRPr="00666BDA">
        <w:t>=</w:t>
      </w:r>
      <w:r w:rsidR="00483341" w:rsidRPr="00483341">
        <w:t>1,7</w:t>
      </w:r>
    </w:p>
    <w:p w:rsidR="00E44650" w:rsidRPr="00483341" w:rsidRDefault="00173043" w:rsidP="004067D3">
      <w:pPr>
        <w:jc w:val="both"/>
      </w:pPr>
      <w:r w:rsidRPr="00173043">
        <w:t>На конец года: (A1+A2)/(П1+П2)=</w:t>
      </w:r>
      <w:r w:rsidR="00E44650" w:rsidRPr="00E44650">
        <w:t xml:space="preserve"> </w:t>
      </w:r>
      <w:r w:rsidR="00E44650">
        <w:t>118457/38338</w:t>
      </w:r>
      <w:r w:rsidR="00666BDA" w:rsidRPr="00666BDA">
        <w:t>=</w:t>
      </w:r>
      <w:r w:rsidR="00483341" w:rsidRPr="00483341">
        <w:t>3,1</w:t>
      </w:r>
    </w:p>
    <w:p w:rsidR="00173043" w:rsidRPr="00173043" w:rsidRDefault="00173043" w:rsidP="004067D3">
      <w:pPr>
        <w:jc w:val="both"/>
      </w:pPr>
    </w:p>
    <w:p w:rsidR="00173043" w:rsidRPr="00173043" w:rsidRDefault="00173043" w:rsidP="004067D3">
      <w:pPr>
        <w:jc w:val="both"/>
        <w:rPr>
          <w:b/>
        </w:rPr>
      </w:pPr>
      <w:r w:rsidRPr="00173043">
        <w:rPr>
          <w:b/>
        </w:rPr>
        <w:t>Коэффициент абсолютной ликвидности</w:t>
      </w:r>
      <w:r w:rsidRPr="00173043">
        <w:rPr>
          <w:b/>
        </w:rPr>
        <w:tab/>
      </w:r>
    </w:p>
    <w:p w:rsidR="00E44650" w:rsidRPr="00483341" w:rsidRDefault="00173043" w:rsidP="004067D3">
      <w:pPr>
        <w:jc w:val="both"/>
      </w:pPr>
      <w:r w:rsidRPr="00173043">
        <w:t>На начало года: А1/(П1+П2)=</w:t>
      </w:r>
      <w:r w:rsidR="00C31129">
        <w:t>28420</w:t>
      </w:r>
      <w:r w:rsidR="00E44650">
        <w:t>/34550</w:t>
      </w:r>
      <w:r w:rsidR="00666BDA" w:rsidRPr="00666BDA">
        <w:t>=</w:t>
      </w:r>
      <w:r w:rsidR="00483341" w:rsidRPr="00483341">
        <w:t>0,8</w:t>
      </w:r>
    </w:p>
    <w:p w:rsidR="00E44650" w:rsidRPr="00483341" w:rsidRDefault="00173043" w:rsidP="004067D3">
      <w:pPr>
        <w:jc w:val="both"/>
      </w:pPr>
      <w:r w:rsidRPr="00173043">
        <w:t xml:space="preserve">На конец года: А1/(П1+П2)= </w:t>
      </w:r>
      <w:r w:rsidR="00C31129">
        <w:t>70843</w:t>
      </w:r>
      <w:r w:rsidR="00E44650">
        <w:t>/38338</w:t>
      </w:r>
      <w:r w:rsidR="00666BDA" w:rsidRPr="00666BDA">
        <w:t>=</w:t>
      </w:r>
      <w:r w:rsidR="00483341" w:rsidRPr="00483341">
        <w:t>1,9</w:t>
      </w:r>
    </w:p>
    <w:p w:rsidR="00173043" w:rsidRPr="00173043" w:rsidRDefault="00173043" w:rsidP="004067D3">
      <w:pPr>
        <w:jc w:val="both"/>
      </w:pPr>
    </w:p>
    <w:p w:rsidR="00173043" w:rsidRPr="00B86B49" w:rsidRDefault="00173043" w:rsidP="004067D3">
      <w:pPr>
        <w:jc w:val="both"/>
        <w:rPr>
          <w:b/>
        </w:rPr>
      </w:pPr>
      <w:r w:rsidRPr="00B86B49">
        <w:rPr>
          <w:b/>
        </w:rPr>
        <w:t>Коэффициент соотношения собственных и заёмных средств</w:t>
      </w:r>
    </w:p>
    <w:p w:rsidR="00173043" w:rsidRPr="00483341" w:rsidRDefault="00173043" w:rsidP="004067D3">
      <w:pPr>
        <w:jc w:val="both"/>
      </w:pPr>
      <w:r w:rsidRPr="00B86B49">
        <w:t>На начало года: П4/(П1+П2+П3)=</w:t>
      </w:r>
      <w:r w:rsidR="00115166" w:rsidRPr="00B86B49">
        <w:t>24485/623251</w:t>
      </w:r>
      <w:r w:rsidR="00666BDA" w:rsidRPr="00666BDA">
        <w:t>=</w:t>
      </w:r>
      <w:r w:rsidR="00483341" w:rsidRPr="00483341">
        <w:t>0,04</w:t>
      </w:r>
    </w:p>
    <w:p w:rsidR="00173043" w:rsidRPr="00483341" w:rsidRDefault="00173043" w:rsidP="004067D3">
      <w:pPr>
        <w:jc w:val="both"/>
      </w:pPr>
      <w:r w:rsidRPr="00B86B49">
        <w:t>На конец года: П4/(П1+П2+П3)=</w:t>
      </w:r>
      <w:r w:rsidR="00115166" w:rsidRPr="00B86B49">
        <w:t>11846/630580</w:t>
      </w:r>
      <w:r w:rsidR="00666BDA" w:rsidRPr="00483341">
        <w:t>=</w:t>
      </w:r>
      <w:r w:rsidR="00483341" w:rsidRPr="00483341">
        <w:t>0,02</w:t>
      </w:r>
    </w:p>
    <w:p w:rsidR="00173043" w:rsidRPr="00B86B49" w:rsidRDefault="00173043" w:rsidP="004067D3">
      <w:pPr>
        <w:jc w:val="both"/>
      </w:pPr>
    </w:p>
    <w:p w:rsidR="00173043" w:rsidRPr="00B86B49" w:rsidRDefault="00173043" w:rsidP="004067D3">
      <w:pPr>
        <w:jc w:val="both"/>
        <w:rPr>
          <w:b/>
        </w:rPr>
      </w:pPr>
      <w:r w:rsidRPr="00B86B49">
        <w:rPr>
          <w:b/>
        </w:rPr>
        <w:t>Коэффициент рентабельности продаж</w:t>
      </w:r>
      <w:r w:rsidRPr="00B86B49">
        <w:rPr>
          <w:b/>
        </w:rPr>
        <w:tab/>
      </w:r>
    </w:p>
    <w:p w:rsidR="00173043" w:rsidRPr="00B86B49" w:rsidRDefault="00B86B49" w:rsidP="004067D3">
      <w:pPr>
        <w:jc w:val="both"/>
      </w:pPr>
      <w:r w:rsidRPr="00B86B49">
        <w:t>Прибыль от производства/Выручка от продаж=11148/</w:t>
      </w:r>
      <w:r>
        <w:t>258701=0</w:t>
      </w:r>
      <w:r w:rsidRPr="00B86B49">
        <w:t>,043</w:t>
      </w:r>
    </w:p>
    <w:p w:rsidR="00B86B49" w:rsidRPr="00B86B49" w:rsidRDefault="00B86B49" w:rsidP="004067D3">
      <w:pPr>
        <w:jc w:val="both"/>
      </w:pPr>
    </w:p>
    <w:p w:rsidR="00173043" w:rsidRPr="005F4DF4" w:rsidRDefault="00173043" w:rsidP="004067D3">
      <w:pPr>
        <w:jc w:val="both"/>
        <w:rPr>
          <w:b/>
          <w:lang w:val="en-US"/>
        </w:rPr>
      </w:pPr>
      <w:r w:rsidRPr="00B86B49">
        <w:rPr>
          <w:b/>
        </w:rPr>
        <w:t>Коэффициент маневренности</w:t>
      </w:r>
      <w:r w:rsidR="005F4DF4">
        <w:rPr>
          <w:b/>
          <w:lang w:val="en-US"/>
        </w:rPr>
        <w:t xml:space="preserve"> </w:t>
      </w:r>
    </w:p>
    <w:p w:rsidR="00173043" w:rsidRPr="00B86B49" w:rsidRDefault="00173043" w:rsidP="004067D3">
      <w:pPr>
        <w:jc w:val="both"/>
      </w:pPr>
      <w:r w:rsidRPr="00B86B49">
        <w:t>На начало года: А3/((</w:t>
      </w:r>
      <w:r w:rsidRPr="00B86B49">
        <w:rPr>
          <w:lang w:val="en-US"/>
        </w:rPr>
        <w:t>A</w:t>
      </w:r>
      <w:r w:rsidRPr="00B86B49">
        <w:t>1+</w:t>
      </w:r>
      <w:r w:rsidRPr="00B86B49">
        <w:rPr>
          <w:lang w:val="en-US"/>
        </w:rPr>
        <w:t>A</w:t>
      </w:r>
      <w:r w:rsidRPr="00B86B49">
        <w:t>2+</w:t>
      </w:r>
      <w:r w:rsidRPr="00B86B49">
        <w:rPr>
          <w:lang w:val="en-US"/>
        </w:rPr>
        <w:t>A</w:t>
      </w:r>
      <w:r w:rsidRPr="00B86B49">
        <w:t>3)-(П1+П2))=</w:t>
      </w:r>
      <w:r w:rsidR="00483341" w:rsidRPr="00483341">
        <w:t>90363/(149176-34550)=0,79=0,8</w:t>
      </w:r>
      <w:r w:rsidRPr="00B86B49">
        <w:t xml:space="preserve"> </w:t>
      </w:r>
    </w:p>
    <w:p w:rsidR="00173043" w:rsidRPr="00B86B49" w:rsidRDefault="00173043" w:rsidP="004067D3">
      <w:pPr>
        <w:jc w:val="both"/>
      </w:pPr>
      <w:r w:rsidRPr="00B86B49">
        <w:t xml:space="preserve">На конец года: </w:t>
      </w:r>
      <w:r w:rsidRPr="00B86B49">
        <w:rPr>
          <w:lang w:val="en-US"/>
        </w:rPr>
        <w:t>A3/((A1+A2+A3)-(</w:t>
      </w:r>
      <w:r w:rsidRPr="00B86B49">
        <w:t>П</w:t>
      </w:r>
      <w:r w:rsidRPr="00B86B49">
        <w:rPr>
          <w:lang w:val="en-US"/>
        </w:rPr>
        <w:t>1+</w:t>
      </w:r>
      <w:r w:rsidRPr="00B86B49">
        <w:t>П</w:t>
      </w:r>
      <w:r w:rsidRPr="00B86B49">
        <w:rPr>
          <w:lang w:val="en-US"/>
        </w:rPr>
        <w:t>2))=</w:t>
      </w:r>
      <w:r w:rsidR="00483341">
        <w:rPr>
          <w:lang w:val="en-US"/>
        </w:rPr>
        <w:t>49866/(168323-38338)=0,38=0,4</w:t>
      </w:r>
      <w:r w:rsidRPr="00B86B49">
        <w:rPr>
          <w:lang w:val="en-US"/>
        </w:rPr>
        <w:t xml:space="preserve">               </w:t>
      </w:r>
    </w:p>
    <w:p w:rsidR="00A16A1A" w:rsidRDefault="00A16A1A" w:rsidP="004067D3">
      <w:pPr>
        <w:jc w:val="both"/>
        <w:rPr>
          <w:b/>
        </w:rPr>
      </w:pPr>
    </w:p>
    <w:p w:rsidR="00E13B2A" w:rsidRPr="006A3489" w:rsidRDefault="00173043" w:rsidP="004067D3">
      <w:pPr>
        <w:jc w:val="both"/>
        <w:rPr>
          <w:b/>
        </w:rPr>
      </w:pPr>
      <w:r w:rsidRPr="006A3489">
        <w:rPr>
          <w:b/>
        </w:rPr>
        <w:t>Определим классность предприятия</w:t>
      </w:r>
      <w:r w:rsidR="005F4DF4" w:rsidRPr="006A3489">
        <w:rPr>
          <w:b/>
        </w:rPr>
        <w:t xml:space="preserve"> (соответственно таблице)</w:t>
      </w:r>
    </w:p>
    <w:p w:rsidR="00B620C2" w:rsidRPr="00CF200D" w:rsidRDefault="00B620C2" w:rsidP="004067D3">
      <w:pPr>
        <w:jc w:val="both"/>
        <w:rPr>
          <w:b/>
          <w:sz w:val="22"/>
          <w:szCs w:val="22"/>
        </w:rPr>
      </w:pPr>
    </w:p>
    <w:tbl>
      <w:tblPr>
        <w:tblW w:w="4460" w:type="dxa"/>
        <w:tblInd w:w="93" w:type="dxa"/>
        <w:tblLook w:val="0000" w:firstRow="0" w:lastRow="0" w:firstColumn="0" w:lastColumn="0" w:noHBand="0" w:noVBand="0"/>
      </w:tblPr>
      <w:tblGrid>
        <w:gridCol w:w="2175"/>
        <w:gridCol w:w="2045"/>
        <w:gridCol w:w="240"/>
      </w:tblGrid>
      <w:tr w:rsidR="00B620C2" w:rsidRPr="00CF200D">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20C2" w:rsidRPr="00CF200D" w:rsidRDefault="00B620C2" w:rsidP="004067D3">
            <w:pPr>
              <w:jc w:val="both"/>
              <w:rPr>
                <w:rFonts w:ascii="Arial CYR" w:hAnsi="Arial CYR" w:cs="Arial CYR"/>
                <w:sz w:val="22"/>
                <w:szCs w:val="22"/>
              </w:rPr>
            </w:pPr>
            <w:r w:rsidRPr="00CF200D">
              <w:rPr>
                <w:rFonts w:ascii="Arial CYR" w:hAnsi="Arial CYR" w:cs="Arial CYR"/>
                <w:sz w:val="22"/>
                <w:szCs w:val="22"/>
              </w:rPr>
              <w:t>I класс заёмщика</w:t>
            </w:r>
          </w:p>
        </w:tc>
        <w:tc>
          <w:tcPr>
            <w:tcW w:w="2045" w:type="dxa"/>
            <w:tcBorders>
              <w:top w:val="single" w:sz="4" w:space="0" w:color="auto"/>
              <w:left w:val="nil"/>
              <w:bottom w:val="single" w:sz="4" w:space="0" w:color="auto"/>
              <w:right w:val="single" w:sz="4" w:space="0" w:color="auto"/>
            </w:tcBorders>
            <w:shd w:val="clear" w:color="auto" w:fill="auto"/>
            <w:noWrap/>
            <w:vAlign w:val="bottom"/>
          </w:tcPr>
          <w:p w:rsidR="00B620C2" w:rsidRPr="00CF200D" w:rsidRDefault="00B620C2" w:rsidP="004067D3">
            <w:pPr>
              <w:jc w:val="both"/>
              <w:rPr>
                <w:rFonts w:ascii="Arial CYR" w:hAnsi="Arial CYR" w:cs="Arial CYR"/>
                <w:sz w:val="22"/>
                <w:szCs w:val="22"/>
              </w:rPr>
            </w:pPr>
            <w:r w:rsidRPr="00CF200D">
              <w:rPr>
                <w:rFonts w:ascii="Arial CYR" w:hAnsi="Arial CYR" w:cs="Arial CYR"/>
                <w:sz w:val="22"/>
                <w:szCs w:val="22"/>
              </w:rPr>
              <w:t>100 - 150 баллов</w:t>
            </w:r>
          </w:p>
        </w:tc>
        <w:tc>
          <w:tcPr>
            <w:tcW w:w="240" w:type="dxa"/>
            <w:tcBorders>
              <w:top w:val="nil"/>
              <w:left w:val="nil"/>
              <w:bottom w:val="nil"/>
              <w:right w:val="nil"/>
            </w:tcBorders>
            <w:shd w:val="clear" w:color="auto" w:fill="auto"/>
            <w:noWrap/>
            <w:vAlign w:val="bottom"/>
          </w:tcPr>
          <w:p w:rsidR="00B620C2" w:rsidRPr="00CF200D" w:rsidRDefault="00B620C2" w:rsidP="004067D3">
            <w:pPr>
              <w:jc w:val="both"/>
              <w:rPr>
                <w:rFonts w:ascii="Arial CYR" w:hAnsi="Arial CYR" w:cs="Arial CYR"/>
                <w:sz w:val="22"/>
                <w:szCs w:val="22"/>
              </w:rPr>
            </w:pPr>
          </w:p>
        </w:tc>
      </w:tr>
      <w:tr w:rsidR="00B620C2" w:rsidRPr="00CF200D">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B620C2" w:rsidRPr="00CF200D" w:rsidRDefault="00B620C2" w:rsidP="004067D3">
            <w:pPr>
              <w:jc w:val="both"/>
              <w:rPr>
                <w:rFonts w:ascii="Arial CYR" w:hAnsi="Arial CYR" w:cs="Arial CYR"/>
                <w:sz w:val="22"/>
                <w:szCs w:val="22"/>
              </w:rPr>
            </w:pPr>
            <w:r w:rsidRPr="00CF200D">
              <w:rPr>
                <w:rFonts w:ascii="Arial CYR" w:hAnsi="Arial CYR" w:cs="Arial CYR"/>
                <w:sz w:val="22"/>
                <w:szCs w:val="22"/>
              </w:rPr>
              <w:t>II класс заёмщика</w:t>
            </w:r>
          </w:p>
        </w:tc>
        <w:tc>
          <w:tcPr>
            <w:tcW w:w="2045" w:type="dxa"/>
            <w:tcBorders>
              <w:top w:val="nil"/>
              <w:left w:val="nil"/>
              <w:bottom w:val="single" w:sz="4" w:space="0" w:color="auto"/>
              <w:right w:val="single" w:sz="4" w:space="0" w:color="auto"/>
            </w:tcBorders>
            <w:shd w:val="clear" w:color="auto" w:fill="auto"/>
            <w:noWrap/>
            <w:vAlign w:val="bottom"/>
          </w:tcPr>
          <w:p w:rsidR="00B620C2" w:rsidRPr="00CF200D" w:rsidRDefault="00B620C2" w:rsidP="004067D3">
            <w:pPr>
              <w:jc w:val="both"/>
              <w:rPr>
                <w:rFonts w:ascii="Arial CYR" w:hAnsi="Arial CYR" w:cs="Arial CYR"/>
                <w:sz w:val="22"/>
                <w:szCs w:val="22"/>
              </w:rPr>
            </w:pPr>
            <w:r w:rsidRPr="00CF200D">
              <w:rPr>
                <w:rFonts w:ascii="Arial CYR" w:hAnsi="Arial CYR" w:cs="Arial CYR"/>
                <w:sz w:val="22"/>
                <w:szCs w:val="22"/>
              </w:rPr>
              <w:t>151 - 250 баллов</w:t>
            </w:r>
          </w:p>
        </w:tc>
        <w:tc>
          <w:tcPr>
            <w:tcW w:w="240" w:type="dxa"/>
            <w:tcBorders>
              <w:top w:val="nil"/>
              <w:left w:val="nil"/>
              <w:bottom w:val="nil"/>
              <w:right w:val="nil"/>
            </w:tcBorders>
            <w:shd w:val="clear" w:color="auto" w:fill="auto"/>
            <w:noWrap/>
            <w:vAlign w:val="bottom"/>
          </w:tcPr>
          <w:p w:rsidR="00B620C2" w:rsidRPr="00CF200D" w:rsidRDefault="00B620C2" w:rsidP="004067D3">
            <w:pPr>
              <w:jc w:val="both"/>
              <w:rPr>
                <w:rFonts w:ascii="Arial CYR" w:hAnsi="Arial CYR" w:cs="Arial CYR"/>
                <w:sz w:val="22"/>
                <w:szCs w:val="22"/>
              </w:rPr>
            </w:pPr>
          </w:p>
        </w:tc>
      </w:tr>
      <w:tr w:rsidR="00B620C2" w:rsidRPr="00CF200D">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B620C2" w:rsidRPr="00CF200D" w:rsidRDefault="00B620C2" w:rsidP="004067D3">
            <w:pPr>
              <w:jc w:val="both"/>
              <w:rPr>
                <w:rFonts w:ascii="Arial CYR" w:hAnsi="Arial CYR" w:cs="Arial CYR"/>
                <w:sz w:val="22"/>
                <w:szCs w:val="22"/>
              </w:rPr>
            </w:pPr>
            <w:r w:rsidRPr="00CF200D">
              <w:rPr>
                <w:rFonts w:ascii="Arial CYR" w:hAnsi="Arial CYR" w:cs="Arial CYR"/>
                <w:sz w:val="22"/>
                <w:szCs w:val="22"/>
              </w:rPr>
              <w:t>III класс заёмщика</w:t>
            </w:r>
          </w:p>
        </w:tc>
        <w:tc>
          <w:tcPr>
            <w:tcW w:w="2045" w:type="dxa"/>
            <w:tcBorders>
              <w:top w:val="nil"/>
              <w:left w:val="nil"/>
              <w:bottom w:val="single" w:sz="4" w:space="0" w:color="auto"/>
              <w:right w:val="single" w:sz="4" w:space="0" w:color="auto"/>
            </w:tcBorders>
            <w:shd w:val="clear" w:color="auto" w:fill="auto"/>
            <w:noWrap/>
            <w:vAlign w:val="bottom"/>
          </w:tcPr>
          <w:p w:rsidR="00B620C2" w:rsidRPr="00CF200D" w:rsidRDefault="00C667B5" w:rsidP="004067D3">
            <w:pPr>
              <w:jc w:val="both"/>
              <w:rPr>
                <w:rFonts w:ascii="Arial CYR" w:hAnsi="Arial CYR" w:cs="Arial CYR"/>
                <w:sz w:val="22"/>
                <w:szCs w:val="22"/>
              </w:rPr>
            </w:pPr>
            <w:r>
              <w:rPr>
                <w:rFonts w:ascii="Arial CYR" w:hAnsi="Arial CYR" w:cs="Arial CYR"/>
                <w:sz w:val="22"/>
                <w:szCs w:val="22"/>
                <w:lang w:val="en-US"/>
              </w:rPr>
              <w:t>2</w:t>
            </w:r>
            <w:r w:rsidR="00B620C2" w:rsidRPr="00CF200D">
              <w:rPr>
                <w:rFonts w:ascii="Arial CYR" w:hAnsi="Arial CYR" w:cs="Arial CYR"/>
                <w:sz w:val="22"/>
                <w:szCs w:val="22"/>
              </w:rPr>
              <w:t>51 - 300 баллов</w:t>
            </w:r>
          </w:p>
        </w:tc>
        <w:tc>
          <w:tcPr>
            <w:tcW w:w="240" w:type="dxa"/>
            <w:tcBorders>
              <w:top w:val="nil"/>
              <w:left w:val="nil"/>
              <w:bottom w:val="nil"/>
              <w:right w:val="nil"/>
            </w:tcBorders>
            <w:shd w:val="clear" w:color="auto" w:fill="auto"/>
            <w:noWrap/>
            <w:vAlign w:val="bottom"/>
          </w:tcPr>
          <w:p w:rsidR="00B620C2" w:rsidRPr="00CF200D" w:rsidRDefault="00B620C2" w:rsidP="004067D3">
            <w:pPr>
              <w:jc w:val="both"/>
              <w:rPr>
                <w:rFonts w:ascii="Arial CYR" w:hAnsi="Arial CYR" w:cs="Arial CYR"/>
                <w:sz w:val="22"/>
                <w:szCs w:val="22"/>
              </w:rPr>
            </w:pPr>
          </w:p>
        </w:tc>
      </w:tr>
      <w:tr w:rsidR="00B620C2" w:rsidRPr="00CF200D">
        <w:trPr>
          <w:trHeight w:val="255"/>
        </w:trPr>
        <w:tc>
          <w:tcPr>
            <w:tcW w:w="2175" w:type="dxa"/>
            <w:tcBorders>
              <w:top w:val="nil"/>
              <w:left w:val="nil"/>
              <w:bottom w:val="nil"/>
              <w:right w:val="nil"/>
            </w:tcBorders>
            <w:shd w:val="clear" w:color="auto" w:fill="auto"/>
            <w:noWrap/>
            <w:vAlign w:val="bottom"/>
          </w:tcPr>
          <w:p w:rsidR="00B620C2" w:rsidRPr="00CF200D" w:rsidRDefault="00B620C2" w:rsidP="004067D3">
            <w:pPr>
              <w:jc w:val="both"/>
              <w:rPr>
                <w:rFonts w:ascii="Arial CYR" w:hAnsi="Arial CYR" w:cs="Arial CYR"/>
                <w:sz w:val="22"/>
                <w:szCs w:val="22"/>
              </w:rPr>
            </w:pPr>
          </w:p>
        </w:tc>
        <w:tc>
          <w:tcPr>
            <w:tcW w:w="2045" w:type="dxa"/>
            <w:tcBorders>
              <w:top w:val="nil"/>
              <w:left w:val="nil"/>
              <w:bottom w:val="nil"/>
              <w:right w:val="nil"/>
            </w:tcBorders>
            <w:shd w:val="clear" w:color="auto" w:fill="auto"/>
            <w:noWrap/>
            <w:vAlign w:val="bottom"/>
          </w:tcPr>
          <w:p w:rsidR="00B620C2" w:rsidRPr="00CF200D" w:rsidRDefault="00B620C2" w:rsidP="004067D3">
            <w:pPr>
              <w:jc w:val="both"/>
              <w:rPr>
                <w:rFonts w:ascii="Arial CYR" w:hAnsi="Arial CYR" w:cs="Arial CYR"/>
                <w:sz w:val="22"/>
                <w:szCs w:val="22"/>
              </w:rPr>
            </w:pPr>
          </w:p>
        </w:tc>
        <w:tc>
          <w:tcPr>
            <w:tcW w:w="240" w:type="dxa"/>
            <w:tcBorders>
              <w:top w:val="nil"/>
              <w:left w:val="nil"/>
              <w:bottom w:val="nil"/>
              <w:right w:val="nil"/>
            </w:tcBorders>
            <w:shd w:val="clear" w:color="auto" w:fill="auto"/>
            <w:noWrap/>
            <w:vAlign w:val="bottom"/>
          </w:tcPr>
          <w:p w:rsidR="00B620C2" w:rsidRPr="00CF200D" w:rsidRDefault="00B620C2" w:rsidP="004067D3">
            <w:pPr>
              <w:jc w:val="both"/>
              <w:rPr>
                <w:rFonts w:ascii="Arial CYR" w:hAnsi="Arial CYR" w:cs="Arial CYR"/>
                <w:sz w:val="22"/>
                <w:szCs w:val="22"/>
              </w:rPr>
            </w:pPr>
          </w:p>
        </w:tc>
      </w:tr>
    </w:tbl>
    <w:p w:rsidR="00E13B2A" w:rsidRPr="006A3489" w:rsidRDefault="00E13B2A" w:rsidP="004067D3">
      <w:pPr>
        <w:jc w:val="both"/>
      </w:pPr>
      <w:r w:rsidRPr="006A3489">
        <w:t>Н</w:t>
      </w:r>
      <w:r w:rsidR="00173043" w:rsidRPr="006A3489">
        <w:t>а начало года</w:t>
      </w:r>
      <w:r w:rsidRPr="006A3489">
        <w:t>:</w:t>
      </w:r>
    </w:p>
    <w:p w:rsidR="00173043" w:rsidRPr="006A3489" w:rsidRDefault="00173043" w:rsidP="004067D3">
      <w:pPr>
        <w:jc w:val="both"/>
      </w:pPr>
      <w:r w:rsidRPr="006A3489">
        <w:t>=</w:t>
      </w:r>
      <w:r w:rsidR="00694456" w:rsidRPr="006A3489">
        <w:t>4,3</w:t>
      </w:r>
      <w:r w:rsidRPr="006A3489">
        <w:t>*</w:t>
      </w:r>
      <w:r w:rsidR="00E13B2A" w:rsidRPr="006A3489">
        <w:t>20</w:t>
      </w:r>
      <w:r w:rsidRPr="006A3489">
        <w:t>+</w:t>
      </w:r>
      <w:r w:rsidR="00694456" w:rsidRPr="006A3489">
        <w:t>1,7</w:t>
      </w:r>
      <w:r w:rsidRPr="006A3489">
        <w:t>*</w:t>
      </w:r>
      <w:r w:rsidR="00E13B2A" w:rsidRPr="006A3489">
        <w:t>20</w:t>
      </w:r>
      <w:r w:rsidRPr="006A3489">
        <w:t>+</w:t>
      </w:r>
      <w:r w:rsidR="00694456" w:rsidRPr="006A3489">
        <w:t>0,8</w:t>
      </w:r>
      <w:r w:rsidRPr="006A3489">
        <w:t>*20+</w:t>
      </w:r>
      <w:r w:rsidR="00694456" w:rsidRPr="006A3489">
        <w:t>0,04</w:t>
      </w:r>
      <w:r w:rsidRPr="006A3489">
        <w:t>*15+</w:t>
      </w:r>
      <w:r w:rsidR="00694456" w:rsidRPr="006A3489">
        <w:t>0,43</w:t>
      </w:r>
      <w:r w:rsidRPr="006A3489">
        <w:t>*</w:t>
      </w:r>
      <w:r w:rsidR="00E13B2A" w:rsidRPr="006A3489">
        <w:t>15</w:t>
      </w:r>
      <w:r w:rsidRPr="006A3489">
        <w:t>+</w:t>
      </w:r>
      <w:r w:rsidR="00694456" w:rsidRPr="006A3489">
        <w:t>0,8</w:t>
      </w:r>
      <w:r w:rsidRPr="006A3489">
        <w:t>*</w:t>
      </w:r>
      <w:r w:rsidR="00E13B2A" w:rsidRPr="006A3489">
        <w:t>10</w:t>
      </w:r>
      <w:r w:rsidRPr="006A3489">
        <w:t xml:space="preserve">= </w:t>
      </w:r>
      <w:r w:rsidR="00FA7906" w:rsidRPr="006A3489">
        <w:t xml:space="preserve">151 - </w:t>
      </w:r>
      <w:r w:rsidRPr="006A3489">
        <w:t>заёмщик 2- го класса</w:t>
      </w:r>
    </w:p>
    <w:p w:rsidR="00E13B2A" w:rsidRPr="006A3489" w:rsidRDefault="00E13B2A" w:rsidP="004067D3">
      <w:pPr>
        <w:jc w:val="both"/>
      </w:pPr>
      <w:r w:rsidRPr="006A3489">
        <w:t>На конец года:</w:t>
      </w:r>
    </w:p>
    <w:p w:rsidR="00173043" w:rsidRPr="006A3489" w:rsidRDefault="00173043" w:rsidP="004067D3">
      <w:pPr>
        <w:jc w:val="both"/>
      </w:pPr>
      <w:r w:rsidRPr="006A3489">
        <w:t>=</w:t>
      </w:r>
      <w:r w:rsidR="00694456" w:rsidRPr="006A3489">
        <w:t>4,4</w:t>
      </w:r>
      <w:r w:rsidRPr="006A3489">
        <w:t>*</w:t>
      </w:r>
      <w:r w:rsidR="00E13B2A" w:rsidRPr="006A3489">
        <w:t>20</w:t>
      </w:r>
      <w:r w:rsidRPr="006A3489">
        <w:t>+</w:t>
      </w:r>
      <w:r w:rsidR="00694456" w:rsidRPr="006A3489">
        <w:t>3,1</w:t>
      </w:r>
      <w:r w:rsidRPr="006A3489">
        <w:t>*</w:t>
      </w:r>
      <w:r w:rsidR="00E13B2A" w:rsidRPr="006A3489">
        <w:t>20</w:t>
      </w:r>
      <w:r w:rsidRPr="006A3489">
        <w:t>+</w:t>
      </w:r>
      <w:r w:rsidR="00694456" w:rsidRPr="006A3489">
        <w:t>1,9</w:t>
      </w:r>
      <w:r w:rsidRPr="006A3489">
        <w:t>*20+</w:t>
      </w:r>
      <w:r w:rsidR="00694456" w:rsidRPr="006A3489">
        <w:t>0,02</w:t>
      </w:r>
      <w:r w:rsidRPr="006A3489">
        <w:t>*15+</w:t>
      </w:r>
      <w:r w:rsidR="00694456" w:rsidRPr="006A3489">
        <w:t>0,43</w:t>
      </w:r>
      <w:r w:rsidRPr="006A3489">
        <w:t>*</w:t>
      </w:r>
      <w:r w:rsidR="00E13B2A" w:rsidRPr="006A3489">
        <w:t>15</w:t>
      </w:r>
      <w:r w:rsidRPr="006A3489">
        <w:t>+</w:t>
      </w:r>
      <w:r w:rsidR="00694456" w:rsidRPr="006A3489">
        <w:t>0,4</w:t>
      </w:r>
      <w:r w:rsidRPr="006A3489">
        <w:t>*</w:t>
      </w:r>
      <w:r w:rsidR="00E13B2A" w:rsidRPr="006A3489">
        <w:t>10</w:t>
      </w:r>
      <w:r w:rsidRPr="006A3489">
        <w:t>=</w:t>
      </w:r>
      <w:r w:rsidR="00FA7906" w:rsidRPr="006A3489">
        <w:t xml:space="preserve">199 - </w:t>
      </w:r>
      <w:r w:rsidRPr="006A3489">
        <w:t>заёмщик 2-го класса</w:t>
      </w:r>
    </w:p>
    <w:p w:rsidR="00E13B2A" w:rsidRPr="006A3489" w:rsidRDefault="00E13B2A" w:rsidP="004067D3">
      <w:pPr>
        <w:jc w:val="both"/>
      </w:pPr>
    </w:p>
    <w:p w:rsidR="00444E6A" w:rsidRPr="00FC13AF" w:rsidRDefault="00B2480D" w:rsidP="004067D3">
      <w:pPr>
        <w:jc w:val="both"/>
        <w:rPr>
          <w:b/>
        </w:rPr>
      </w:pPr>
      <w:r w:rsidRPr="00FC13AF">
        <w:rPr>
          <w:b/>
        </w:rPr>
        <w:t>Рассчитаем рентабельность всего предприятия</w:t>
      </w:r>
    </w:p>
    <w:p w:rsidR="00B2480D" w:rsidRPr="00851824" w:rsidRDefault="00444E6A" w:rsidP="004067D3">
      <w:pPr>
        <w:jc w:val="both"/>
      </w:pPr>
      <w:r w:rsidRPr="00851824">
        <w:t>Н</w:t>
      </w:r>
      <w:r w:rsidR="00B2480D" w:rsidRPr="00851824">
        <w:t>а начало года</w:t>
      </w:r>
      <w:r w:rsidRPr="00851824">
        <w:t xml:space="preserve">: </w:t>
      </w:r>
      <w:r w:rsidR="00B2480D" w:rsidRPr="00851824">
        <w:t>(Валовая прибыль/сумму активов)*100%=</w:t>
      </w:r>
      <w:r w:rsidR="00A72BC2">
        <w:t>57755</w:t>
      </w:r>
      <w:r w:rsidR="00B2480D" w:rsidRPr="00851824">
        <w:t>/</w:t>
      </w:r>
      <w:r w:rsidR="00A72BC2">
        <w:t>647736</w:t>
      </w:r>
      <w:r w:rsidR="00B2480D" w:rsidRPr="00851824">
        <w:t>*100%=</w:t>
      </w:r>
      <w:r w:rsidR="00A72BC2">
        <w:t>8</w:t>
      </w:r>
      <w:r w:rsidR="00A72BC2" w:rsidRPr="00A72BC2">
        <w:t>,</w:t>
      </w:r>
      <w:r w:rsidR="00A72BC2">
        <w:t>9</w:t>
      </w:r>
      <w:r w:rsidR="00B2480D" w:rsidRPr="00851824">
        <w:t>%</w:t>
      </w:r>
    </w:p>
    <w:p w:rsidR="008162B8" w:rsidRDefault="00444E6A" w:rsidP="004067D3">
      <w:pPr>
        <w:jc w:val="both"/>
      </w:pPr>
      <w:r w:rsidRPr="00851824">
        <w:t>Н</w:t>
      </w:r>
      <w:r w:rsidR="00B2480D" w:rsidRPr="00851824">
        <w:t>а конец года</w:t>
      </w:r>
      <w:r w:rsidRPr="00851824">
        <w:t xml:space="preserve">: </w:t>
      </w:r>
      <w:r w:rsidR="00B2480D" w:rsidRPr="00851824">
        <w:t>(Валовая прибыль/сумму активов)*100%=</w:t>
      </w:r>
      <w:r w:rsidR="00A72BC2" w:rsidRPr="00A72BC2">
        <w:t>104208</w:t>
      </w:r>
      <w:r w:rsidR="00B2480D" w:rsidRPr="00851824">
        <w:t>/</w:t>
      </w:r>
      <w:r w:rsidR="00A72BC2" w:rsidRPr="00A72BC2">
        <w:t>642426</w:t>
      </w:r>
      <w:r w:rsidR="00B2480D" w:rsidRPr="00851824">
        <w:t>*100%=</w:t>
      </w:r>
      <w:r w:rsidR="00A72BC2" w:rsidRPr="00A72BC2">
        <w:t>16,2</w:t>
      </w:r>
      <w:r w:rsidR="00B2480D" w:rsidRPr="00851824">
        <w:t xml:space="preserve">% </w:t>
      </w:r>
    </w:p>
    <w:p w:rsidR="00B2480D" w:rsidRPr="00851824" w:rsidRDefault="008162B8" w:rsidP="004067D3">
      <w:pPr>
        <w:jc w:val="both"/>
      </w:pPr>
      <w:r>
        <w:t>Следовательно</w:t>
      </w:r>
      <w:r w:rsidRPr="008162B8">
        <w:t>,</w:t>
      </w:r>
      <w:r w:rsidR="00B2480D" w:rsidRPr="00851824">
        <w:t xml:space="preserve"> </w:t>
      </w:r>
      <w:r w:rsidRPr="008162B8">
        <w:t xml:space="preserve">рентабельность всего предприятия </w:t>
      </w:r>
      <w:r w:rsidR="00B2480D" w:rsidRPr="00851824">
        <w:t>возросла по сравнению с предыдущим</w:t>
      </w:r>
      <w:r>
        <w:t xml:space="preserve"> годом</w:t>
      </w:r>
      <w:r w:rsidR="00B2480D" w:rsidRPr="00851824">
        <w:t>.</w:t>
      </w:r>
    </w:p>
    <w:p w:rsidR="00B2480D" w:rsidRPr="00851824" w:rsidRDefault="00B2480D" w:rsidP="004067D3">
      <w:pPr>
        <w:jc w:val="both"/>
      </w:pPr>
    </w:p>
    <w:p w:rsidR="00851824" w:rsidRPr="00FC13AF" w:rsidRDefault="00B2480D" w:rsidP="004067D3">
      <w:pPr>
        <w:jc w:val="both"/>
        <w:rPr>
          <w:b/>
        </w:rPr>
      </w:pPr>
      <w:r w:rsidRPr="00FC13AF">
        <w:rPr>
          <w:b/>
        </w:rPr>
        <w:t>Рентабельность оборота</w:t>
      </w:r>
    </w:p>
    <w:p w:rsidR="00B2480D" w:rsidRPr="00851824" w:rsidRDefault="00851824" w:rsidP="004067D3">
      <w:pPr>
        <w:jc w:val="both"/>
      </w:pPr>
      <w:r w:rsidRPr="00851824">
        <w:t>Н</w:t>
      </w:r>
      <w:r w:rsidR="00B2480D" w:rsidRPr="00851824">
        <w:t>а начало года = Валовая прибыль/Валовую выручку*100%=(</w:t>
      </w:r>
      <w:r w:rsidR="00205878">
        <w:t>57755</w:t>
      </w:r>
      <w:r w:rsidR="00B2480D" w:rsidRPr="00851824">
        <w:t>/17</w:t>
      </w:r>
      <w:r w:rsidR="00205878">
        <w:t>9762</w:t>
      </w:r>
      <w:r w:rsidR="00B2480D" w:rsidRPr="00851824">
        <w:t>)*100%=3</w:t>
      </w:r>
      <w:r w:rsidR="00205878">
        <w:t>2</w:t>
      </w:r>
      <w:r w:rsidR="00B2480D" w:rsidRPr="00851824">
        <w:t>,</w:t>
      </w:r>
      <w:r w:rsidR="00205878">
        <w:t>1</w:t>
      </w:r>
      <w:r w:rsidR="00B2480D" w:rsidRPr="00851824">
        <w:t>%</w:t>
      </w:r>
    </w:p>
    <w:p w:rsidR="00B2480D" w:rsidRDefault="00851824" w:rsidP="004067D3">
      <w:pPr>
        <w:jc w:val="both"/>
      </w:pPr>
      <w:r w:rsidRPr="00851824">
        <w:t>Н</w:t>
      </w:r>
      <w:r w:rsidR="00B2480D" w:rsidRPr="00851824">
        <w:t>а конец года = Валовая прибыль/Валовую выручку*100%=(10</w:t>
      </w:r>
      <w:r w:rsidR="00205878">
        <w:t>4208</w:t>
      </w:r>
      <w:r w:rsidR="00B2480D" w:rsidRPr="00851824">
        <w:t>/25</w:t>
      </w:r>
      <w:r w:rsidR="00205878">
        <w:t>8701</w:t>
      </w:r>
      <w:r w:rsidR="00B2480D" w:rsidRPr="00851824">
        <w:t>)*100%=</w:t>
      </w:r>
      <w:r w:rsidR="00205878">
        <w:t>40</w:t>
      </w:r>
      <w:r w:rsidR="00B2480D" w:rsidRPr="00851824">
        <w:t>,</w:t>
      </w:r>
      <w:r w:rsidR="00205878">
        <w:t>3</w:t>
      </w:r>
      <w:r w:rsidR="00B2480D" w:rsidRPr="00851824">
        <w:t xml:space="preserve">% </w:t>
      </w:r>
      <w:r w:rsidR="00205878" w:rsidRPr="00205878">
        <w:t>Рентабельность оборота</w:t>
      </w:r>
      <w:r w:rsidR="00205878">
        <w:t xml:space="preserve"> </w:t>
      </w:r>
      <w:r w:rsidR="00B2480D" w:rsidRPr="00851824">
        <w:t>увеличилась по сравнению с прошлым годом.</w:t>
      </w:r>
    </w:p>
    <w:p w:rsidR="00FC13AF" w:rsidRPr="00851824" w:rsidRDefault="00FC13AF" w:rsidP="004067D3">
      <w:pPr>
        <w:jc w:val="both"/>
      </w:pPr>
    </w:p>
    <w:p w:rsidR="00FC13AF" w:rsidRDefault="00B2480D" w:rsidP="004067D3">
      <w:pPr>
        <w:jc w:val="both"/>
      </w:pPr>
      <w:r w:rsidRPr="00FC13AF">
        <w:rPr>
          <w:b/>
        </w:rPr>
        <w:t>Число оборота капитала</w:t>
      </w:r>
      <w:r w:rsidRPr="00851824">
        <w:t xml:space="preserve"> </w:t>
      </w:r>
    </w:p>
    <w:p w:rsidR="00B2480D" w:rsidRPr="00381C99" w:rsidRDefault="00FC13AF" w:rsidP="004067D3">
      <w:pPr>
        <w:jc w:val="both"/>
      </w:pPr>
      <w:r>
        <w:t>Н</w:t>
      </w:r>
      <w:r w:rsidR="00B2480D" w:rsidRPr="00851824">
        <w:t>а начало года</w:t>
      </w:r>
      <w:r>
        <w:t xml:space="preserve">: </w:t>
      </w:r>
      <w:r w:rsidR="000818E9">
        <w:t>Валовая выручка/Сумма активов =</w:t>
      </w:r>
      <w:r w:rsidR="00B2480D" w:rsidRPr="00851824">
        <w:t xml:space="preserve"> </w:t>
      </w:r>
      <w:r w:rsidR="00381C99" w:rsidRPr="00851824">
        <w:t>17</w:t>
      </w:r>
      <w:r w:rsidR="00381C99">
        <w:t>9762/647736=0</w:t>
      </w:r>
      <w:r w:rsidR="00381C99" w:rsidRPr="00381C99">
        <w:t>,28</w:t>
      </w:r>
    </w:p>
    <w:p w:rsidR="00B2480D" w:rsidRPr="00381C99" w:rsidRDefault="00FC13AF" w:rsidP="004067D3">
      <w:pPr>
        <w:jc w:val="both"/>
      </w:pPr>
      <w:r>
        <w:t xml:space="preserve">На </w:t>
      </w:r>
      <w:r w:rsidR="00B2480D" w:rsidRPr="00851824">
        <w:t>конец года</w:t>
      </w:r>
      <w:r>
        <w:t>:</w:t>
      </w:r>
      <w:r w:rsidR="00B2480D" w:rsidRPr="00851824">
        <w:t xml:space="preserve"> </w:t>
      </w:r>
      <w:r w:rsidR="00381C99">
        <w:t xml:space="preserve">Валовая выручка/Сумма активов = </w:t>
      </w:r>
      <w:r w:rsidR="00381C99" w:rsidRPr="00851824">
        <w:t>25</w:t>
      </w:r>
      <w:r w:rsidR="00381C99">
        <w:t>8701/</w:t>
      </w:r>
      <w:r w:rsidR="00381C99" w:rsidRPr="00A72BC2">
        <w:t>642426</w:t>
      </w:r>
      <w:r w:rsidR="00381C99">
        <w:t>=</w:t>
      </w:r>
      <w:r w:rsidR="00381C99" w:rsidRPr="00381C99">
        <w:t>0,4</w:t>
      </w:r>
    </w:p>
    <w:p w:rsidR="00B2480D" w:rsidRDefault="00B2480D" w:rsidP="004067D3">
      <w:pPr>
        <w:jc w:val="both"/>
      </w:pPr>
      <w:r w:rsidRPr="00851824">
        <w:t>Следовательно</w:t>
      </w:r>
      <w:r w:rsidR="00381C99" w:rsidRPr="00381C99">
        <w:t>,</w:t>
      </w:r>
      <w:r w:rsidRPr="00851824">
        <w:t xml:space="preserve"> число оборотов капитала возросла что является хорошим показателем, показывает сколько раз в году оборачиваются средства.</w:t>
      </w:r>
    </w:p>
    <w:p w:rsidR="00FC13AF" w:rsidRPr="00851824" w:rsidRDefault="00FC13AF" w:rsidP="004067D3">
      <w:pPr>
        <w:jc w:val="both"/>
      </w:pPr>
    </w:p>
    <w:p w:rsidR="00FC13AF" w:rsidRDefault="00B2480D" w:rsidP="004067D3">
      <w:pPr>
        <w:jc w:val="both"/>
        <w:rPr>
          <w:b/>
        </w:rPr>
      </w:pPr>
      <w:r w:rsidRPr="00FC13AF">
        <w:rPr>
          <w:b/>
        </w:rPr>
        <w:t>Рентабельность реализованной продукции</w:t>
      </w:r>
    </w:p>
    <w:p w:rsidR="006A3489" w:rsidRDefault="00FC13AF" w:rsidP="004067D3">
      <w:pPr>
        <w:jc w:val="both"/>
        <w:rPr>
          <w:lang w:val="en-US"/>
        </w:rPr>
      </w:pPr>
      <w:r>
        <w:t>Н</w:t>
      </w:r>
      <w:r w:rsidR="00B2480D" w:rsidRPr="00851824">
        <w:t>а конец года</w:t>
      </w:r>
      <w:r>
        <w:t>:</w:t>
      </w:r>
    </w:p>
    <w:p w:rsidR="00B2480D" w:rsidRDefault="006A3489" w:rsidP="004067D3">
      <w:pPr>
        <w:jc w:val="both"/>
      </w:pPr>
      <w:r>
        <w:t>П</w:t>
      </w:r>
      <w:r w:rsidR="00B2480D" w:rsidRPr="00851824">
        <w:t>рибыль от реализации/Себестоимость</w:t>
      </w:r>
      <w:r w:rsidR="00FC13AF">
        <w:t>=</w:t>
      </w:r>
      <w:r w:rsidRPr="00B86B49">
        <w:t>11148</w:t>
      </w:r>
      <w:r w:rsidR="00B2480D" w:rsidRPr="00851824">
        <w:t>/15</w:t>
      </w:r>
      <w:r>
        <w:t>5880</w:t>
      </w:r>
      <w:r w:rsidR="00B2480D" w:rsidRPr="00851824">
        <w:t>*100%=</w:t>
      </w:r>
      <w:r>
        <w:t>7</w:t>
      </w:r>
      <w:r w:rsidRPr="006A3489">
        <w:t>,</w:t>
      </w:r>
      <w:r>
        <w:t>2</w:t>
      </w:r>
      <w:r w:rsidR="00B2480D" w:rsidRPr="00851824">
        <w:t>% указывает, сколько прибыли приходится на единицу реализованной продукции.</w:t>
      </w:r>
    </w:p>
    <w:p w:rsidR="00FC13AF" w:rsidRDefault="00FC13AF" w:rsidP="004067D3">
      <w:pPr>
        <w:jc w:val="both"/>
      </w:pPr>
    </w:p>
    <w:p w:rsidR="00E22B5E" w:rsidRDefault="00E22B5E" w:rsidP="004067D3">
      <w:pPr>
        <w:jc w:val="both"/>
      </w:pPr>
    </w:p>
    <w:p w:rsidR="00E22B5E" w:rsidRDefault="00E22B5E" w:rsidP="004067D3">
      <w:pPr>
        <w:jc w:val="both"/>
      </w:pPr>
    </w:p>
    <w:p w:rsidR="00E22B5E" w:rsidRDefault="00E22B5E" w:rsidP="004067D3">
      <w:pPr>
        <w:jc w:val="both"/>
      </w:pPr>
    </w:p>
    <w:p w:rsidR="00E22B5E" w:rsidRDefault="00E22B5E" w:rsidP="004067D3">
      <w:pPr>
        <w:jc w:val="both"/>
      </w:pPr>
    </w:p>
    <w:p w:rsidR="00E22B5E" w:rsidRDefault="00E22B5E" w:rsidP="004067D3">
      <w:pPr>
        <w:jc w:val="both"/>
      </w:pPr>
    </w:p>
    <w:p w:rsidR="00E22B5E" w:rsidRDefault="00E22B5E" w:rsidP="004067D3">
      <w:pPr>
        <w:jc w:val="both"/>
      </w:pPr>
    </w:p>
    <w:p w:rsidR="00E22B5E" w:rsidRDefault="00E22B5E" w:rsidP="004067D3">
      <w:pPr>
        <w:jc w:val="both"/>
      </w:pPr>
    </w:p>
    <w:p w:rsidR="00E22B5E" w:rsidRDefault="00E22B5E" w:rsidP="004067D3">
      <w:pPr>
        <w:jc w:val="both"/>
      </w:pPr>
    </w:p>
    <w:p w:rsidR="00E22B5E" w:rsidRDefault="00E22B5E" w:rsidP="004067D3">
      <w:pPr>
        <w:jc w:val="both"/>
      </w:pPr>
    </w:p>
    <w:p w:rsidR="00E22B5E" w:rsidRDefault="00E22B5E" w:rsidP="004067D3">
      <w:pPr>
        <w:jc w:val="both"/>
      </w:pPr>
    </w:p>
    <w:p w:rsidR="00E22B5E" w:rsidRDefault="00E22B5E" w:rsidP="004067D3">
      <w:pPr>
        <w:jc w:val="both"/>
      </w:pPr>
    </w:p>
    <w:p w:rsidR="00E22B5E" w:rsidRDefault="00E22B5E" w:rsidP="004067D3">
      <w:pPr>
        <w:jc w:val="both"/>
      </w:pPr>
    </w:p>
    <w:p w:rsidR="00E22B5E" w:rsidRDefault="00E22B5E" w:rsidP="004067D3">
      <w:pPr>
        <w:jc w:val="both"/>
      </w:pPr>
    </w:p>
    <w:p w:rsidR="00E22B5E" w:rsidRDefault="00E22B5E" w:rsidP="004067D3">
      <w:pPr>
        <w:jc w:val="both"/>
      </w:pPr>
    </w:p>
    <w:p w:rsidR="00E22B5E" w:rsidRPr="00851824" w:rsidRDefault="00E22B5E" w:rsidP="004067D3">
      <w:pPr>
        <w:jc w:val="both"/>
      </w:pPr>
    </w:p>
    <w:p w:rsidR="00B2480D" w:rsidRPr="00851824" w:rsidRDefault="00B2480D" w:rsidP="004067D3">
      <w:pPr>
        <w:jc w:val="both"/>
        <w:rPr>
          <w:b/>
        </w:rPr>
      </w:pPr>
      <w:r w:rsidRPr="00851824">
        <w:rPr>
          <w:b/>
        </w:rPr>
        <w:t>Таблица сравнения показателей:</w:t>
      </w:r>
    </w:p>
    <w:tbl>
      <w:tblPr>
        <w:tblW w:w="9520" w:type="dxa"/>
        <w:tblInd w:w="93" w:type="dxa"/>
        <w:tblLook w:val="0000" w:firstRow="0" w:lastRow="0" w:firstColumn="0" w:lastColumn="0" w:noHBand="0" w:noVBand="0"/>
      </w:tblPr>
      <w:tblGrid>
        <w:gridCol w:w="6340"/>
        <w:gridCol w:w="1480"/>
        <w:gridCol w:w="1420"/>
        <w:gridCol w:w="280"/>
      </w:tblGrid>
      <w:tr w:rsidR="006A3489">
        <w:trPr>
          <w:trHeight w:val="315"/>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489" w:rsidRDefault="006A3489" w:rsidP="004067D3">
            <w:pPr>
              <w:jc w:val="both"/>
            </w:pPr>
            <w:r>
              <w:t>Показатель</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на начало года</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на конец года</w:t>
            </w:r>
          </w:p>
        </w:tc>
        <w:tc>
          <w:tcPr>
            <w:tcW w:w="2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r>
      <w:tr w:rsidR="006A3489">
        <w:trPr>
          <w:trHeight w:val="315"/>
        </w:trPr>
        <w:tc>
          <w:tcPr>
            <w:tcW w:w="6340" w:type="dxa"/>
            <w:tcBorders>
              <w:top w:val="nil"/>
              <w:left w:val="single" w:sz="4" w:space="0" w:color="auto"/>
              <w:bottom w:val="single" w:sz="4" w:space="0" w:color="auto"/>
              <w:right w:val="single" w:sz="4" w:space="0" w:color="auto"/>
            </w:tcBorders>
            <w:shd w:val="clear" w:color="auto" w:fill="auto"/>
            <w:noWrap/>
            <w:vAlign w:val="bottom"/>
          </w:tcPr>
          <w:p w:rsidR="006A3489" w:rsidRDefault="006A3489" w:rsidP="004067D3">
            <w:pPr>
              <w:jc w:val="both"/>
            </w:pPr>
            <w:r>
              <w:t>Коэффициент текущей ликвидности</w:t>
            </w:r>
          </w:p>
        </w:tc>
        <w:tc>
          <w:tcPr>
            <w:tcW w:w="148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4,3</w:t>
            </w:r>
          </w:p>
        </w:tc>
        <w:tc>
          <w:tcPr>
            <w:tcW w:w="142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4,4</w:t>
            </w:r>
          </w:p>
        </w:tc>
        <w:tc>
          <w:tcPr>
            <w:tcW w:w="2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r>
      <w:tr w:rsidR="006A3489">
        <w:trPr>
          <w:trHeight w:val="315"/>
        </w:trPr>
        <w:tc>
          <w:tcPr>
            <w:tcW w:w="6340" w:type="dxa"/>
            <w:tcBorders>
              <w:top w:val="nil"/>
              <w:left w:val="single" w:sz="4" w:space="0" w:color="auto"/>
              <w:bottom w:val="single" w:sz="4" w:space="0" w:color="auto"/>
              <w:right w:val="single" w:sz="4" w:space="0" w:color="auto"/>
            </w:tcBorders>
            <w:shd w:val="clear" w:color="auto" w:fill="auto"/>
            <w:noWrap/>
            <w:vAlign w:val="bottom"/>
          </w:tcPr>
          <w:p w:rsidR="006A3489" w:rsidRDefault="006A3489" w:rsidP="004067D3">
            <w:pPr>
              <w:jc w:val="both"/>
            </w:pPr>
            <w:r>
              <w:t>Коэффициент срочной ликвидности</w:t>
            </w:r>
          </w:p>
        </w:tc>
        <w:tc>
          <w:tcPr>
            <w:tcW w:w="148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1,7</w:t>
            </w:r>
          </w:p>
        </w:tc>
        <w:tc>
          <w:tcPr>
            <w:tcW w:w="142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3,1</w:t>
            </w:r>
          </w:p>
        </w:tc>
        <w:tc>
          <w:tcPr>
            <w:tcW w:w="2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r>
      <w:tr w:rsidR="006A3489">
        <w:trPr>
          <w:trHeight w:val="315"/>
        </w:trPr>
        <w:tc>
          <w:tcPr>
            <w:tcW w:w="6340" w:type="dxa"/>
            <w:tcBorders>
              <w:top w:val="nil"/>
              <w:left w:val="single" w:sz="4" w:space="0" w:color="auto"/>
              <w:bottom w:val="single" w:sz="4" w:space="0" w:color="auto"/>
              <w:right w:val="single" w:sz="4" w:space="0" w:color="auto"/>
            </w:tcBorders>
            <w:shd w:val="clear" w:color="auto" w:fill="auto"/>
            <w:noWrap/>
            <w:vAlign w:val="bottom"/>
          </w:tcPr>
          <w:p w:rsidR="006A3489" w:rsidRDefault="006A3489" w:rsidP="004067D3">
            <w:pPr>
              <w:jc w:val="both"/>
            </w:pPr>
            <w:r>
              <w:t>Коэффициент абсолютной ликвидности</w:t>
            </w:r>
          </w:p>
        </w:tc>
        <w:tc>
          <w:tcPr>
            <w:tcW w:w="148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0,8</w:t>
            </w:r>
          </w:p>
        </w:tc>
        <w:tc>
          <w:tcPr>
            <w:tcW w:w="142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1,9</w:t>
            </w:r>
          </w:p>
        </w:tc>
        <w:tc>
          <w:tcPr>
            <w:tcW w:w="2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r>
      <w:tr w:rsidR="006A3489">
        <w:trPr>
          <w:trHeight w:val="315"/>
        </w:trPr>
        <w:tc>
          <w:tcPr>
            <w:tcW w:w="6340" w:type="dxa"/>
            <w:tcBorders>
              <w:top w:val="nil"/>
              <w:left w:val="single" w:sz="4" w:space="0" w:color="auto"/>
              <w:bottom w:val="single" w:sz="4" w:space="0" w:color="auto"/>
              <w:right w:val="single" w:sz="4" w:space="0" w:color="auto"/>
            </w:tcBorders>
            <w:shd w:val="clear" w:color="auto" w:fill="auto"/>
            <w:noWrap/>
            <w:vAlign w:val="bottom"/>
          </w:tcPr>
          <w:p w:rsidR="006A3489" w:rsidRDefault="006A3489" w:rsidP="004067D3">
            <w:pPr>
              <w:jc w:val="both"/>
            </w:pPr>
            <w:r>
              <w:t>Коэффициент соотношения собственных и заёмных средств</w:t>
            </w:r>
          </w:p>
        </w:tc>
        <w:tc>
          <w:tcPr>
            <w:tcW w:w="148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0,04</w:t>
            </w:r>
          </w:p>
        </w:tc>
        <w:tc>
          <w:tcPr>
            <w:tcW w:w="142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0,02</w:t>
            </w:r>
          </w:p>
        </w:tc>
        <w:tc>
          <w:tcPr>
            <w:tcW w:w="2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r>
      <w:tr w:rsidR="006A3489">
        <w:trPr>
          <w:trHeight w:val="315"/>
        </w:trPr>
        <w:tc>
          <w:tcPr>
            <w:tcW w:w="6340" w:type="dxa"/>
            <w:tcBorders>
              <w:top w:val="nil"/>
              <w:left w:val="single" w:sz="4" w:space="0" w:color="auto"/>
              <w:bottom w:val="single" w:sz="4" w:space="0" w:color="auto"/>
              <w:right w:val="single" w:sz="4" w:space="0" w:color="auto"/>
            </w:tcBorders>
            <w:shd w:val="clear" w:color="auto" w:fill="auto"/>
            <w:noWrap/>
            <w:vAlign w:val="bottom"/>
          </w:tcPr>
          <w:p w:rsidR="006A3489" w:rsidRDefault="006A3489" w:rsidP="004067D3">
            <w:pPr>
              <w:jc w:val="both"/>
            </w:pPr>
            <w:r>
              <w:t>Коэффициент рентабельности продаж</w:t>
            </w:r>
          </w:p>
        </w:tc>
        <w:tc>
          <w:tcPr>
            <w:tcW w:w="148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0,043</w:t>
            </w:r>
          </w:p>
        </w:tc>
        <w:tc>
          <w:tcPr>
            <w:tcW w:w="2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r>
      <w:tr w:rsidR="006A3489">
        <w:trPr>
          <w:trHeight w:val="315"/>
        </w:trPr>
        <w:tc>
          <w:tcPr>
            <w:tcW w:w="6340" w:type="dxa"/>
            <w:tcBorders>
              <w:top w:val="nil"/>
              <w:left w:val="single" w:sz="4" w:space="0" w:color="auto"/>
              <w:bottom w:val="single" w:sz="4" w:space="0" w:color="auto"/>
              <w:right w:val="single" w:sz="4" w:space="0" w:color="auto"/>
            </w:tcBorders>
            <w:shd w:val="clear" w:color="auto" w:fill="auto"/>
            <w:noWrap/>
            <w:vAlign w:val="bottom"/>
          </w:tcPr>
          <w:p w:rsidR="006A3489" w:rsidRDefault="006A3489" w:rsidP="004067D3">
            <w:pPr>
              <w:jc w:val="both"/>
            </w:pPr>
            <w:r>
              <w:t>Коэффициент маневренности</w:t>
            </w:r>
          </w:p>
        </w:tc>
        <w:tc>
          <w:tcPr>
            <w:tcW w:w="148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0,8</w:t>
            </w:r>
          </w:p>
        </w:tc>
        <w:tc>
          <w:tcPr>
            <w:tcW w:w="142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0,4</w:t>
            </w:r>
          </w:p>
        </w:tc>
        <w:tc>
          <w:tcPr>
            <w:tcW w:w="2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r>
      <w:tr w:rsidR="006A3489">
        <w:trPr>
          <w:trHeight w:val="315"/>
        </w:trPr>
        <w:tc>
          <w:tcPr>
            <w:tcW w:w="6340" w:type="dxa"/>
            <w:tcBorders>
              <w:top w:val="nil"/>
              <w:left w:val="single" w:sz="4" w:space="0" w:color="auto"/>
              <w:bottom w:val="single" w:sz="4" w:space="0" w:color="auto"/>
              <w:right w:val="single" w:sz="4" w:space="0" w:color="auto"/>
            </w:tcBorders>
            <w:shd w:val="clear" w:color="auto" w:fill="auto"/>
            <w:noWrap/>
            <w:vAlign w:val="bottom"/>
          </w:tcPr>
          <w:p w:rsidR="006A3489" w:rsidRDefault="006A3489" w:rsidP="004067D3">
            <w:pPr>
              <w:jc w:val="both"/>
            </w:pPr>
            <w:r>
              <w:t>Классность предприятия</w:t>
            </w:r>
          </w:p>
        </w:tc>
        <w:tc>
          <w:tcPr>
            <w:tcW w:w="148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2</w:t>
            </w:r>
          </w:p>
        </w:tc>
        <w:tc>
          <w:tcPr>
            <w:tcW w:w="142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2</w:t>
            </w:r>
          </w:p>
        </w:tc>
        <w:tc>
          <w:tcPr>
            <w:tcW w:w="2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r>
      <w:tr w:rsidR="006A3489">
        <w:trPr>
          <w:trHeight w:val="315"/>
        </w:trPr>
        <w:tc>
          <w:tcPr>
            <w:tcW w:w="6340" w:type="dxa"/>
            <w:tcBorders>
              <w:top w:val="nil"/>
              <w:left w:val="single" w:sz="4" w:space="0" w:color="auto"/>
              <w:bottom w:val="single" w:sz="4" w:space="0" w:color="auto"/>
              <w:right w:val="single" w:sz="4" w:space="0" w:color="auto"/>
            </w:tcBorders>
            <w:shd w:val="clear" w:color="auto" w:fill="auto"/>
            <w:noWrap/>
            <w:vAlign w:val="bottom"/>
          </w:tcPr>
          <w:p w:rsidR="006A3489" w:rsidRDefault="006A3489" w:rsidP="004067D3">
            <w:pPr>
              <w:jc w:val="both"/>
            </w:pPr>
            <w:r>
              <w:t>Рентабельность всего предприятия</w:t>
            </w:r>
          </w:p>
        </w:tc>
        <w:tc>
          <w:tcPr>
            <w:tcW w:w="148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8,90%</w:t>
            </w:r>
          </w:p>
        </w:tc>
        <w:tc>
          <w:tcPr>
            <w:tcW w:w="142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16,20%</w:t>
            </w:r>
          </w:p>
        </w:tc>
        <w:tc>
          <w:tcPr>
            <w:tcW w:w="2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r>
      <w:tr w:rsidR="006A3489">
        <w:trPr>
          <w:trHeight w:val="315"/>
        </w:trPr>
        <w:tc>
          <w:tcPr>
            <w:tcW w:w="6340" w:type="dxa"/>
            <w:tcBorders>
              <w:top w:val="nil"/>
              <w:left w:val="single" w:sz="4" w:space="0" w:color="auto"/>
              <w:bottom w:val="single" w:sz="4" w:space="0" w:color="auto"/>
              <w:right w:val="single" w:sz="4" w:space="0" w:color="auto"/>
            </w:tcBorders>
            <w:shd w:val="clear" w:color="auto" w:fill="auto"/>
            <w:noWrap/>
            <w:vAlign w:val="bottom"/>
          </w:tcPr>
          <w:p w:rsidR="006A3489" w:rsidRDefault="006A3489" w:rsidP="004067D3">
            <w:pPr>
              <w:jc w:val="both"/>
            </w:pPr>
            <w:r>
              <w:t>Рентабельность оборота</w:t>
            </w:r>
          </w:p>
        </w:tc>
        <w:tc>
          <w:tcPr>
            <w:tcW w:w="148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32,10%</w:t>
            </w:r>
          </w:p>
        </w:tc>
        <w:tc>
          <w:tcPr>
            <w:tcW w:w="142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40,30%</w:t>
            </w:r>
          </w:p>
        </w:tc>
        <w:tc>
          <w:tcPr>
            <w:tcW w:w="2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r>
      <w:tr w:rsidR="006A3489">
        <w:trPr>
          <w:trHeight w:val="315"/>
        </w:trPr>
        <w:tc>
          <w:tcPr>
            <w:tcW w:w="6340" w:type="dxa"/>
            <w:tcBorders>
              <w:top w:val="nil"/>
              <w:left w:val="single" w:sz="4" w:space="0" w:color="auto"/>
              <w:bottom w:val="single" w:sz="4" w:space="0" w:color="auto"/>
              <w:right w:val="single" w:sz="4" w:space="0" w:color="auto"/>
            </w:tcBorders>
            <w:shd w:val="clear" w:color="auto" w:fill="auto"/>
            <w:noWrap/>
            <w:vAlign w:val="bottom"/>
          </w:tcPr>
          <w:p w:rsidR="006A3489" w:rsidRDefault="006A3489" w:rsidP="004067D3">
            <w:pPr>
              <w:jc w:val="both"/>
            </w:pPr>
            <w:r>
              <w:t>Число оборотов капитала</w:t>
            </w:r>
          </w:p>
        </w:tc>
        <w:tc>
          <w:tcPr>
            <w:tcW w:w="148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0,28</w:t>
            </w:r>
          </w:p>
        </w:tc>
        <w:tc>
          <w:tcPr>
            <w:tcW w:w="142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0,4</w:t>
            </w:r>
          </w:p>
        </w:tc>
        <w:tc>
          <w:tcPr>
            <w:tcW w:w="2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r>
      <w:tr w:rsidR="006A3489">
        <w:trPr>
          <w:trHeight w:val="315"/>
        </w:trPr>
        <w:tc>
          <w:tcPr>
            <w:tcW w:w="6340" w:type="dxa"/>
            <w:tcBorders>
              <w:top w:val="nil"/>
              <w:left w:val="single" w:sz="4" w:space="0" w:color="auto"/>
              <w:bottom w:val="single" w:sz="4" w:space="0" w:color="auto"/>
              <w:right w:val="single" w:sz="4" w:space="0" w:color="auto"/>
            </w:tcBorders>
            <w:shd w:val="clear" w:color="auto" w:fill="auto"/>
            <w:noWrap/>
            <w:vAlign w:val="bottom"/>
          </w:tcPr>
          <w:p w:rsidR="006A3489" w:rsidRDefault="006A3489" w:rsidP="004067D3">
            <w:pPr>
              <w:jc w:val="both"/>
            </w:pPr>
            <w:r>
              <w:t>Рентабельность реализованной продукции</w:t>
            </w:r>
          </w:p>
        </w:tc>
        <w:tc>
          <w:tcPr>
            <w:tcW w:w="148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rsidR="006A3489" w:rsidRDefault="006A3489" w:rsidP="004067D3">
            <w:pPr>
              <w:jc w:val="both"/>
              <w:rPr>
                <w:rFonts w:ascii="Arial CYR" w:hAnsi="Arial CYR" w:cs="Arial CYR"/>
                <w:sz w:val="20"/>
                <w:szCs w:val="20"/>
              </w:rPr>
            </w:pPr>
            <w:r>
              <w:rPr>
                <w:rFonts w:ascii="Arial CYR" w:hAnsi="Arial CYR" w:cs="Arial CYR"/>
                <w:sz w:val="20"/>
                <w:szCs w:val="20"/>
              </w:rPr>
              <w:t>7,20%</w:t>
            </w:r>
          </w:p>
        </w:tc>
        <w:tc>
          <w:tcPr>
            <w:tcW w:w="2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r>
      <w:tr w:rsidR="006A3489">
        <w:trPr>
          <w:trHeight w:val="255"/>
        </w:trPr>
        <w:tc>
          <w:tcPr>
            <w:tcW w:w="634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c>
          <w:tcPr>
            <w:tcW w:w="14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c>
          <w:tcPr>
            <w:tcW w:w="142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c>
          <w:tcPr>
            <w:tcW w:w="280" w:type="dxa"/>
            <w:tcBorders>
              <w:top w:val="nil"/>
              <w:left w:val="nil"/>
              <w:bottom w:val="nil"/>
              <w:right w:val="nil"/>
            </w:tcBorders>
            <w:shd w:val="clear" w:color="auto" w:fill="auto"/>
            <w:noWrap/>
            <w:vAlign w:val="bottom"/>
          </w:tcPr>
          <w:p w:rsidR="006A3489" w:rsidRDefault="006A3489" w:rsidP="004067D3">
            <w:pPr>
              <w:jc w:val="both"/>
              <w:rPr>
                <w:rFonts w:ascii="Arial CYR" w:hAnsi="Arial CYR" w:cs="Arial CYR"/>
                <w:sz w:val="20"/>
                <w:szCs w:val="20"/>
              </w:rPr>
            </w:pPr>
          </w:p>
        </w:tc>
      </w:tr>
    </w:tbl>
    <w:p w:rsidR="00B2480D" w:rsidRPr="00851824" w:rsidRDefault="00B2480D" w:rsidP="004067D3">
      <w:pPr>
        <w:jc w:val="both"/>
      </w:pPr>
      <w:r w:rsidRPr="007F6DC4">
        <w:rPr>
          <w:b/>
        </w:rPr>
        <w:t>Коэффициент срочной ликвидности</w:t>
      </w:r>
      <w:r w:rsidRPr="00851824">
        <w:t xml:space="preserve"> в данном случае равен 3,</w:t>
      </w:r>
      <w:r w:rsidR="007F6DC4">
        <w:t>1</w:t>
      </w:r>
      <w:r w:rsidRPr="00851824">
        <w:t xml:space="preserve"> –</w:t>
      </w:r>
      <w:r w:rsidR="007F6DC4">
        <w:t xml:space="preserve"> </w:t>
      </w:r>
      <w:r w:rsidRPr="00851824">
        <w:t>показывает, какая часть краткосрочных обязательств организации может быть немедленно погашена за счёт средств на различных счетах, в краткосрочных ценных бумагах, а также поступлений по расчетам.</w:t>
      </w:r>
    </w:p>
    <w:p w:rsidR="00B2480D" w:rsidRPr="00851824" w:rsidRDefault="00B2480D" w:rsidP="004067D3">
      <w:pPr>
        <w:jc w:val="both"/>
      </w:pPr>
      <w:r w:rsidRPr="007F6DC4">
        <w:rPr>
          <w:b/>
        </w:rPr>
        <w:t xml:space="preserve">Коэффициент маневренности собственного капитала </w:t>
      </w:r>
      <w:r w:rsidRPr="00851824">
        <w:t>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w:t>
      </w:r>
    </w:p>
    <w:p w:rsidR="00351CF6" w:rsidRDefault="00351CF6" w:rsidP="004067D3">
      <w:pPr>
        <w:jc w:val="both"/>
      </w:pPr>
    </w:p>
    <w:p w:rsidR="00B2480D" w:rsidRPr="00851824" w:rsidRDefault="00B2480D" w:rsidP="004067D3">
      <w:pPr>
        <w:jc w:val="both"/>
      </w:pPr>
      <w:r w:rsidRPr="00351CF6">
        <w:rPr>
          <w:b/>
        </w:rPr>
        <w:t>Коэффициент абсолютной ликвидности</w:t>
      </w:r>
      <w:r w:rsidRPr="00851824">
        <w:t xml:space="preserve"> составляет </w:t>
      </w:r>
      <w:r w:rsidR="00351CF6">
        <w:t>1</w:t>
      </w:r>
      <w:r w:rsidRPr="00851824">
        <w:t>,</w:t>
      </w:r>
      <w:r w:rsidR="00351CF6">
        <w:t>9</w:t>
      </w:r>
      <w:r w:rsidRPr="00851824">
        <w:t xml:space="preserve"> показывает, что  у предприятия  скопился излишек свободных средств, которые лучше направить для получения дополнительной прибыли и какую часть краткосрочной задолженности организация может погасить в ближайшее время за счет денежных средств.</w:t>
      </w:r>
    </w:p>
    <w:p w:rsidR="00351CF6" w:rsidRDefault="00351CF6" w:rsidP="004067D3">
      <w:pPr>
        <w:jc w:val="both"/>
        <w:rPr>
          <w:b/>
        </w:rPr>
      </w:pPr>
    </w:p>
    <w:p w:rsidR="00B2480D" w:rsidRDefault="00B2480D" w:rsidP="004067D3">
      <w:pPr>
        <w:jc w:val="both"/>
      </w:pPr>
      <w:r w:rsidRPr="00351CF6">
        <w:rPr>
          <w:b/>
        </w:rPr>
        <w:t>Коэффициент текущей ликвидности</w:t>
      </w:r>
      <w:r w:rsidRPr="00851824">
        <w:t xml:space="preserve"> показывает в какой степени  текущие активы покрывают краткосрочные обязательства,</w:t>
      </w:r>
      <w:r w:rsidR="00351CF6">
        <w:t xml:space="preserve"> </w:t>
      </w:r>
      <w:r w:rsidRPr="00851824">
        <w:t xml:space="preserve">он равен </w:t>
      </w:r>
      <w:r w:rsidR="00351CF6">
        <w:t>4</w:t>
      </w:r>
      <w:r w:rsidRPr="00851824">
        <w:t>,</w:t>
      </w:r>
      <w:r w:rsidR="00351CF6">
        <w:t>4</w:t>
      </w:r>
      <w:r w:rsidR="00351CF6" w:rsidRPr="00351CF6">
        <w:t>,</w:t>
      </w:r>
      <w:r w:rsidRPr="00851824">
        <w:t xml:space="preserve"> что говорит о хорошей кредитоспособности предприятия. </w:t>
      </w:r>
    </w:p>
    <w:p w:rsidR="00351CF6" w:rsidRPr="00851824" w:rsidRDefault="00351CF6" w:rsidP="004067D3">
      <w:pPr>
        <w:jc w:val="both"/>
      </w:pPr>
    </w:p>
    <w:p w:rsidR="00B2480D" w:rsidRPr="0049245B" w:rsidRDefault="00B2480D" w:rsidP="004067D3">
      <w:pPr>
        <w:jc w:val="both"/>
      </w:pPr>
      <w:r w:rsidRPr="00851824">
        <w:t>Мы имеем дело с предприятием, которое относится к предприятию с неустойчивым финансовым состоянием</w:t>
      </w:r>
      <w:r w:rsidR="00351CF6">
        <w:t xml:space="preserve"> (источники собственных средств покрывают основные средства и менее половины запасов и затрат)</w:t>
      </w:r>
      <w:r w:rsidRPr="00851824">
        <w:t xml:space="preserve">. </w:t>
      </w:r>
      <w:r w:rsidR="000C5AAE">
        <w:t>О</w:t>
      </w:r>
      <w:r w:rsidRPr="00851824">
        <w:t>ценивая все показатели в том числе низкую рентабельность и то</w:t>
      </w:r>
      <w:r w:rsidR="000C5AAE" w:rsidRPr="000C5AAE">
        <w:t>,</w:t>
      </w:r>
      <w:r w:rsidRPr="00851824">
        <w:t xml:space="preserve"> что предприятие относится к финансово неустойчивому типу</w:t>
      </w:r>
      <w:r w:rsidR="000C5AAE" w:rsidRPr="000C5AAE">
        <w:t>,</w:t>
      </w:r>
      <w:r w:rsidRPr="00851824">
        <w:t xml:space="preserve"> то  откажем предприятию в кредите, или предоставим кредит на очень жёстких условиях, а точнее – необходимо получить гарантии</w:t>
      </w:r>
      <w:r w:rsidR="000C5AAE" w:rsidRPr="000C5AAE">
        <w:t xml:space="preserve"> </w:t>
      </w:r>
      <w:r w:rsidRPr="00851824">
        <w:t>(например ответственность третьих лиц),</w:t>
      </w:r>
      <w:r w:rsidR="000C5AAE" w:rsidRPr="000C5AAE">
        <w:t xml:space="preserve"> </w:t>
      </w:r>
      <w:r w:rsidRPr="00851824">
        <w:t xml:space="preserve">установим увеличение  ставки  рефинансирования </w:t>
      </w:r>
      <w:r w:rsidR="000C5AAE">
        <w:t xml:space="preserve">до </w:t>
      </w:r>
      <w:r w:rsidRPr="00851824">
        <w:t>1</w:t>
      </w:r>
      <w:r w:rsidR="000C5AAE">
        <w:t>8</w:t>
      </w:r>
      <w:r w:rsidR="000C5AAE" w:rsidRPr="000C5AAE">
        <w:t>,5</w:t>
      </w:r>
      <w:r w:rsidRPr="00851824">
        <w:t>%.Ставка рефинансирования - устанавливаемая Центральным Банком России процентная ставка кредитования коммерческих банков и других кредитных организаций, используемая в качестве инструмента регулирования кредитно-денежной системы, и составляет на данный момент 12,5%</w:t>
      </w:r>
      <w:r w:rsidR="000C5AAE" w:rsidRPr="000C5AAE">
        <w:t>,</w:t>
      </w:r>
      <w:r w:rsidR="000C5AAE">
        <w:t xml:space="preserve"> а для заёмщиков 2 класса банк устанавливает </w:t>
      </w:r>
      <w:r w:rsidR="00FE2905">
        <w:t>повышение текущей ставки рефинансирования на 5 – 8 %</w:t>
      </w:r>
      <w:r w:rsidR="00FE2905" w:rsidRPr="00FE2905">
        <w:t>.</w:t>
      </w:r>
      <w:r w:rsidR="000C5AAE" w:rsidRPr="000C5AAE">
        <w:t xml:space="preserve"> </w:t>
      </w:r>
      <w:r w:rsidR="009C0970">
        <w:t>Поэтому ставка будет примерно от 17</w:t>
      </w:r>
      <w:r w:rsidR="009C0970" w:rsidRPr="0049245B">
        <w:t xml:space="preserve">,5 % </w:t>
      </w:r>
      <w:r w:rsidR="009C0970">
        <w:t xml:space="preserve">до </w:t>
      </w:r>
      <w:r w:rsidR="009C0970" w:rsidRPr="0049245B">
        <w:t>20,5 %.</w:t>
      </w:r>
    </w:p>
    <w:p w:rsidR="00E27780" w:rsidRPr="0049245B" w:rsidRDefault="009C0970" w:rsidP="004067D3">
      <w:pPr>
        <w:jc w:val="both"/>
      </w:pPr>
      <w:r>
        <w:t>Так как согласно таблице:</w:t>
      </w:r>
      <w:r w:rsidRPr="0049245B">
        <w:t xml:space="preserve"> </w:t>
      </w:r>
    </w:p>
    <w:tbl>
      <w:tblPr>
        <w:tblW w:w="5200" w:type="dxa"/>
        <w:tblInd w:w="93" w:type="dxa"/>
        <w:tblLook w:val="0000" w:firstRow="0" w:lastRow="0" w:firstColumn="0" w:lastColumn="0" w:noHBand="0" w:noVBand="0"/>
      </w:tblPr>
      <w:tblGrid>
        <w:gridCol w:w="2320"/>
        <w:gridCol w:w="2560"/>
        <w:gridCol w:w="320"/>
      </w:tblGrid>
      <w:tr w:rsidR="0049245B">
        <w:trPr>
          <w:trHeight w:val="315"/>
        </w:trPr>
        <w:tc>
          <w:tcPr>
            <w:tcW w:w="2320" w:type="dxa"/>
            <w:tcBorders>
              <w:top w:val="nil"/>
              <w:left w:val="nil"/>
              <w:bottom w:val="nil"/>
              <w:right w:val="nil"/>
            </w:tcBorders>
            <w:shd w:val="clear" w:color="auto" w:fill="auto"/>
            <w:noWrap/>
            <w:vAlign w:val="bottom"/>
          </w:tcPr>
          <w:p w:rsidR="0049245B" w:rsidRDefault="0049245B" w:rsidP="004067D3">
            <w:pPr>
              <w:jc w:val="both"/>
            </w:pPr>
            <w:r>
              <w:t>I класс заёмщика</w:t>
            </w:r>
          </w:p>
        </w:tc>
        <w:tc>
          <w:tcPr>
            <w:tcW w:w="2560" w:type="dxa"/>
            <w:tcBorders>
              <w:top w:val="nil"/>
              <w:left w:val="nil"/>
              <w:bottom w:val="nil"/>
              <w:right w:val="nil"/>
            </w:tcBorders>
            <w:shd w:val="clear" w:color="auto" w:fill="auto"/>
            <w:noWrap/>
            <w:vAlign w:val="bottom"/>
          </w:tcPr>
          <w:p w:rsidR="0049245B" w:rsidRDefault="0049245B" w:rsidP="004067D3">
            <w:pPr>
              <w:jc w:val="both"/>
              <w:rPr>
                <w:rFonts w:ascii="Arial CYR" w:hAnsi="Arial CYR" w:cs="Arial CYR"/>
                <w:sz w:val="20"/>
                <w:szCs w:val="20"/>
              </w:rPr>
            </w:pPr>
            <w:r>
              <w:rPr>
                <w:rFonts w:ascii="Arial CYR" w:hAnsi="Arial CYR" w:cs="Arial CYR"/>
                <w:sz w:val="20"/>
                <w:szCs w:val="20"/>
              </w:rPr>
              <w:t>ставка ЦБ РФ + 2 - 4 %</w:t>
            </w:r>
          </w:p>
        </w:tc>
        <w:tc>
          <w:tcPr>
            <w:tcW w:w="320" w:type="dxa"/>
            <w:tcBorders>
              <w:top w:val="nil"/>
              <w:left w:val="nil"/>
              <w:bottom w:val="nil"/>
              <w:right w:val="nil"/>
            </w:tcBorders>
            <w:shd w:val="clear" w:color="auto" w:fill="auto"/>
            <w:noWrap/>
            <w:vAlign w:val="bottom"/>
          </w:tcPr>
          <w:p w:rsidR="0049245B" w:rsidRDefault="0049245B" w:rsidP="004067D3">
            <w:pPr>
              <w:jc w:val="both"/>
              <w:rPr>
                <w:rFonts w:ascii="Arial CYR" w:hAnsi="Arial CYR" w:cs="Arial CYR"/>
                <w:sz w:val="20"/>
                <w:szCs w:val="20"/>
              </w:rPr>
            </w:pPr>
          </w:p>
        </w:tc>
      </w:tr>
      <w:tr w:rsidR="0049245B">
        <w:trPr>
          <w:trHeight w:val="315"/>
        </w:trPr>
        <w:tc>
          <w:tcPr>
            <w:tcW w:w="2320" w:type="dxa"/>
            <w:tcBorders>
              <w:top w:val="nil"/>
              <w:left w:val="nil"/>
              <w:bottom w:val="nil"/>
              <w:right w:val="nil"/>
            </w:tcBorders>
            <w:shd w:val="clear" w:color="auto" w:fill="auto"/>
            <w:noWrap/>
            <w:vAlign w:val="bottom"/>
          </w:tcPr>
          <w:p w:rsidR="0049245B" w:rsidRDefault="0049245B" w:rsidP="004067D3">
            <w:pPr>
              <w:jc w:val="both"/>
            </w:pPr>
            <w:r>
              <w:t>II класс заёмщика</w:t>
            </w:r>
          </w:p>
        </w:tc>
        <w:tc>
          <w:tcPr>
            <w:tcW w:w="2560" w:type="dxa"/>
            <w:tcBorders>
              <w:top w:val="nil"/>
              <w:left w:val="nil"/>
              <w:bottom w:val="nil"/>
              <w:right w:val="nil"/>
            </w:tcBorders>
            <w:shd w:val="clear" w:color="auto" w:fill="auto"/>
            <w:noWrap/>
            <w:vAlign w:val="bottom"/>
          </w:tcPr>
          <w:p w:rsidR="0049245B" w:rsidRDefault="0049245B" w:rsidP="004067D3">
            <w:pPr>
              <w:jc w:val="both"/>
              <w:rPr>
                <w:rFonts w:ascii="Arial CYR" w:hAnsi="Arial CYR" w:cs="Arial CYR"/>
                <w:sz w:val="20"/>
                <w:szCs w:val="20"/>
              </w:rPr>
            </w:pPr>
            <w:r>
              <w:rPr>
                <w:rFonts w:ascii="Arial CYR" w:hAnsi="Arial CYR" w:cs="Arial CYR"/>
                <w:sz w:val="20"/>
                <w:szCs w:val="20"/>
              </w:rPr>
              <w:t>ставка ЦБ РФ + 5 - 8 %</w:t>
            </w:r>
          </w:p>
        </w:tc>
        <w:tc>
          <w:tcPr>
            <w:tcW w:w="320" w:type="dxa"/>
            <w:tcBorders>
              <w:top w:val="nil"/>
              <w:left w:val="nil"/>
              <w:bottom w:val="nil"/>
              <w:right w:val="nil"/>
            </w:tcBorders>
            <w:shd w:val="clear" w:color="auto" w:fill="auto"/>
            <w:noWrap/>
            <w:vAlign w:val="bottom"/>
          </w:tcPr>
          <w:p w:rsidR="0049245B" w:rsidRDefault="0049245B" w:rsidP="004067D3">
            <w:pPr>
              <w:jc w:val="both"/>
              <w:rPr>
                <w:rFonts w:ascii="Arial CYR" w:hAnsi="Arial CYR" w:cs="Arial CYR"/>
                <w:sz w:val="20"/>
                <w:szCs w:val="20"/>
              </w:rPr>
            </w:pPr>
          </w:p>
        </w:tc>
      </w:tr>
      <w:tr w:rsidR="0049245B">
        <w:trPr>
          <w:trHeight w:val="315"/>
        </w:trPr>
        <w:tc>
          <w:tcPr>
            <w:tcW w:w="2320" w:type="dxa"/>
            <w:tcBorders>
              <w:top w:val="nil"/>
              <w:left w:val="nil"/>
              <w:bottom w:val="nil"/>
              <w:right w:val="nil"/>
            </w:tcBorders>
            <w:shd w:val="clear" w:color="auto" w:fill="auto"/>
            <w:noWrap/>
            <w:vAlign w:val="bottom"/>
          </w:tcPr>
          <w:p w:rsidR="0049245B" w:rsidRDefault="0049245B" w:rsidP="004067D3">
            <w:pPr>
              <w:jc w:val="both"/>
            </w:pPr>
            <w:r>
              <w:t>III класс заёмщика</w:t>
            </w:r>
          </w:p>
        </w:tc>
        <w:tc>
          <w:tcPr>
            <w:tcW w:w="2560" w:type="dxa"/>
            <w:tcBorders>
              <w:top w:val="nil"/>
              <w:left w:val="nil"/>
              <w:bottom w:val="nil"/>
              <w:right w:val="nil"/>
            </w:tcBorders>
            <w:shd w:val="clear" w:color="auto" w:fill="auto"/>
            <w:noWrap/>
            <w:vAlign w:val="bottom"/>
          </w:tcPr>
          <w:p w:rsidR="0049245B" w:rsidRDefault="0049245B" w:rsidP="004067D3">
            <w:pPr>
              <w:jc w:val="both"/>
              <w:rPr>
                <w:rFonts w:ascii="Arial CYR" w:hAnsi="Arial CYR" w:cs="Arial CYR"/>
                <w:sz w:val="20"/>
                <w:szCs w:val="20"/>
              </w:rPr>
            </w:pPr>
            <w:r>
              <w:rPr>
                <w:rFonts w:ascii="Arial CYR" w:hAnsi="Arial CYR" w:cs="Arial CYR"/>
                <w:sz w:val="20"/>
                <w:szCs w:val="20"/>
              </w:rPr>
              <w:t>ставка ЦБ РФ + 9 - 13 %</w:t>
            </w:r>
          </w:p>
        </w:tc>
        <w:tc>
          <w:tcPr>
            <w:tcW w:w="320" w:type="dxa"/>
            <w:tcBorders>
              <w:top w:val="nil"/>
              <w:left w:val="nil"/>
              <w:bottom w:val="nil"/>
              <w:right w:val="nil"/>
            </w:tcBorders>
            <w:shd w:val="clear" w:color="auto" w:fill="auto"/>
            <w:noWrap/>
            <w:vAlign w:val="bottom"/>
          </w:tcPr>
          <w:p w:rsidR="0049245B" w:rsidRDefault="0049245B" w:rsidP="004067D3">
            <w:pPr>
              <w:jc w:val="both"/>
              <w:rPr>
                <w:rFonts w:ascii="Arial CYR" w:hAnsi="Arial CYR" w:cs="Arial CYR"/>
                <w:sz w:val="20"/>
                <w:szCs w:val="20"/>
              </w:rPr>
            </w:pPr>
          </w:p>
        </w:tc>
      </w:tr>
      <w:tr w:rsidR="0049245B">
        <w:trPr>
          <w:trHeight w:val="315"/>
        </w:trPr>
        <w:tc>
          <w:tcPr>
            <w:tcW w:w="2320" w:type="dxa"/>
            <w:tcBorders>
              <w:top w:val="nil"/>
              <w:left w:val="nil"/>
              <w:bottom w:val="nil"/>
              <w:right w:val="nil"/>
            </w:tcBorders>
            <w:shd w:val="clear" w:color="auto" w:fill="auto"/>
            <w:noWrap/>
            <w:vAlign w:val="bottom"/>
          </w:tcPr>
          <w:p w:rsidR="0049245B" w:rsidRDefault="0049245B" w:rsidP="004067D3">
            <w:pPr>
              <w:jc w:val="both"/>
            </w:pPr>
          </w:p>
        </w:tc>
        <w:tc>
          <w:tcPr>
            <w:tcW w:w="2560" w:type="dxa"/>
            <w:tcBorders>
              <w:top w:val="nil"/>
              <w:left w:val="nil"/>
              <w:bottom w:val="nil"/>
              <w:right w:val="nil"/>
            </w:tcBorders>
            <w:shd w:val="clear" w:color="auto" w:fill="auto"/>
            <w:noWrap/>
            <w:vAlign w:val="bottom"/>
          </w:tcPr>
          <w:p w:rsidR="0049245B" w:rsidRDefault="0049245B" w:rsidP="004067D3">
            <w:pPr>
              <w:jc w:val="both"/>
              <w:rPr>
                <w:rFonts w:ascii="Arial CYR" w:hAnsi="Arial CYR" w:cs="Arial CYR"/>
                <w:sz w:val="20"/>
                <w:szCs w:val="20"/>
              </w:rPr>
            </w:pPr>
          </w:p>
        </w:tc>
        <w:tc>
          <w:tcPr>
            <w:tcW w:w="320" w:type="dxa"/>
            <w:tcBorders>
              <w:top w:val="nil"/>
              <w:left w:val="nil"/>
              <w:bottom w:val="nil"/>
              <w:right w:val="nil"/>
            </w:tcBorders>
            <w:shd w:val="clear" w:color="auto" w:fill="auto"/>
            <w:noWrap/>
            <w:vAlign w:val="bottom"/>
          </w:tcPr>
          <w:p w:rsidR="0049245B" w:rsidRDefault="0049245B" w:rsidP="004067D3">
            <w:pPr>
              <w:jc w:val="both"/>
              <w:rPr>
                <w:rFonts w:ascii="Arial CYR" w:hAnsi="Arial CYR" w:cs="Arial CYR"/>
                <w:sz w:val="20"/>
                <w:szCs w:val="20"/>
              </w:rPr>
            </w:pPr>
          </w:p>
        </w:tc>
      </w:tr>
    </w:tbl>
    <w:p w:rsidR="00AE7E2A" w:rsidRDefault="00AE7E2A" w:rsidP="004067D3">
      <w:pPr>
        <w:jc w:val="both"/>
        <w:rPr>
          <w:b/>
          <w:i/>
          <w:sz w:val="28"/>
          <w:szCs w:val="28"/>
        </w:rPr>
      </w:pPr>
      <w:r w:rsidRPr="00AE7E2A">
        <w:rPr>
          <w:b/>
          <w:i/>
          <w:sz w:val="28"/>
          <w:szCs w:val="28"/>
        </w:rPr>
        <w:t>Список использованной литературы:</w:t>
      </w:r>
    </w:p>
    <w:p w:rsidR="00E22B5E" w:rsidRPr="00811F47" w:rsidRDefault="00E22B5E" w:rsidP="004067D3">
      <w:pPr>
        <w:jc w:val="both"/>
        <w:rPr>
          <w:sz w:val="28"/>
          <w:szCs w:val="28"/>
        </w:rPr>
      </w:pPr>
    </w:p>
    <w:p w:rsidR="00AE7E2A" w:rsidRPr="00AE7E2A" w:rsidRDefault="00AE7E2A" w:rsidP="004067D3">
      <w:pPr>
        <w:jc w:val="both"/>
      </w:pPr>
      <w:r w:rsidRPr="00AE7E2A">
        <w:t>1.</w:t>
      </w:r>
      <w:r>
        <w:t xml:space="preserve"> </w:t>
      </w:r>
      <w:r w:rsidRPr="00AE7E2A">
        <w:t>Абрамова М.А., Александрова Л.С. Экономическая теория. Учебное пособие. М.: Юриспруденция, 2001.</w:t>
      </w:r>
    </w:p>
    <w:p w:rsidR="00E024C6" w:rsidRDefault="00C93A09" w:rsidP="004067D3">
      <w:pPr>
        <w:jc w:val="both"/>
      </w:pPr>
      <w:r>
        <w:t>2</w:t>
      </w:r>
      <w:r w:rsidRPr="00C93A09">
        <w:t>.</w:t>
      </w:r>
      <w:r>
        <w:t xml:space="preserve"> </w:t>
      </w:r>
      <w:r w:rsidRPr="00C93A09">
        <w:t xml:space="preserve">Медведев А.В. Пути финансовой стабилизации. </w:t>
      </w:r>
      <w:r>
        <w:t xml:space="preserve">М.: </w:t>
      </w:r>
      <w:r w:rsidRPr="00C93A09">
        <w:t>Деньги и  кредит</w:t>
      </w:r>
      <w:r>
        <w:rPr>
          <w:lang w:val="en-US"/>
        </w:rPr>
        <w:t>,</w:t>
      </w:r>
      <w:r w:rsidRPr="00C93A09">
        <w:t xml:space="preserve"> </w:t>
      </w:r>
      <w:r>
        <w:t>2003</w:t>
      </w:r>
      <w:r w:rsidRPr="00C93A09">
        <w:t xml:space="preserve">. </w:t>
      </w:r>
    </w:p>
    <w:p w:rsidR="004B150F" w:rsidRDefault="00E024C6" w:rsidP="004067D3">
      <w:pPr>
        <w:jc w:val="both"/>
      </w:pPr>
      <w:r w:rsidRPr="00E024C6">
        <w:t xml:space="preserve">3. Видяпин В.И., Журавлева Г.П. Общая экономическая теория. М., </w:t>
      </w:r>
      <w:r w:rsidRPr="004B150F">
        <w:t>200</w:t>
      </w:r>
      <w:r w:rsidRPr="00E024C6">
        <w:t>5.</w:t>
      </w:r>
    </w:p>
    <w:p w:rsidR="00E17C69" w:rsidRDefault="004B150F" w:rsidP="004067D3">
      <w:pPr>
        <w:jc w:val="both"/>
      </w:pPr>
      <w:r w:rsidRPr="004B150F">
        <w:t>4. Булатов А.С.  Экономика.  М.: Бек</w:t>
      </w:r>
      <w:r>
        <w:rPr>
          <w:lang w:val="en-US"/>
        </w:rPr>
        <w:t>,</w:t>
      </w:r>
      <w:r w:rsidRPr="004B150F">
        <w:t xml:space="preserve"> </w:t>
      </w:r>
      <w:r w:rsidR="00E17C69">
        <w:rPr>
          <w:lang w:val="en-US"/>
        </w:rPr>
        <w:t>2003</w:t>
      </w:r>
      <w:r w:rsidRPr="004B150F">
        <w:t>.</w:t>
      </w:r>
    </w:p>
    <w:p w:rsidR="00E17C69" w:rsidRDefault="00E17C69" w:rsidP="004067D3">
      <w:pPr>
        <w:jc w:val="both"/>
      </w:pPr>
      <w:r>
        <w:t>5. Жуков Е.Ф.  Общая теория денег и кредита.  М.: Банки и биржи</w:t>
      </w:r>
      <w:r>
        <w:rPr>
          <w:lang w:val="en-US"/>
        </w:rPr>
        <w:t>,</w:t>
      </w:r>
      <w:r>
        <w:t xml:space="preserve"> </w:t>
      </w:r>
      <w:r>
        <w:rPr>
          <w:lang w:val="en-US"/>
        </w:rPr>
        <w:t>2004</w:t>
      </w:r>
      <w:r>
        <w:t>.</w:t>
      </w:r>
    </w:p>
    <w:p w:rsidR="00E17C69" w:rsidRDefault="00E17C69" w:rsidP="004067D3">
      <w:pPr>
        <w:jc w:val="both"/>
      </w:pPr>
      <w:r>
        <w:t>6. Камаев В.Д. Экономика и бизнес. М.: изд-во МГТУ</w:t>
      </w:r>
      <w:r w:rsidRPr="00D02BFA">
        <w:t>, 2001.</w:t>
      </w:r>
    </w:p>
    <w:p w:rsidR="00D64871" w:rsidRDefault="00E17C69" w:rsidP="004067D3">
      <w:pPr>
        <w:jc w:val="both"/>
      </w:pPr>
      <w:r>
        <w:t>7. Р.Макконел, С.Л.Брю  Экономикс</w:t>
      </w:r>
      <w:r w:rsidR="00D02BFA" w:rsidRPr="00215686">
        <w:t>.</w:t>
      </w:r>
      <w:r>
        <w:t xml:space="preserve"> М.: Дрофа</w:t>
      </w:r>
      <w:r w:rsidRPr="00215686">
        <w:t>,</w:t>
      </w:r>
      <w:r>
        <w:t xml:space="preserve"> </w:t>
      </w:r>
      <w:r w:rsidRPr="00215686">
        <w:t>2002</w:t>
      </w:r>
      <w:r>
        <w:t>.</w:t>
      </w:r>
    </w:p>
    <w:p w:rsidR="00D64871" w:rsidRDefault="00D64871" w:rsidP="004067D3">
      <w:pPr>
        <w:jc w:val="both"/>
      </w:pPr>
      <w:r>
        <w:t>8</w:t>
      </w:r>
      <w:r w:rsidRPr="00D64871">
        <w:t>.</w:t>
      </w:r>
      <w:r>
        <w:t xml:space="preserve"> </w:t>
      </w:r>
      <w:r w:rsidRPr="00D64871">
        <w:t>Амосов А. Особенности инфляции и возможность противодейс</w:t>
      </w:r>
      <w:r>
        <w:t>т</w:t>
      </w:r>
      <w:r w:rsidRPr="00D64871">
        <w:t>вия ей</w:t>
      </w:r>
      <w:r w:rsidR="00215686" w:rsidRPr="00215686">
        <w:t>.</w:t>
      </w:r>
      <w:r w:rsidRPr="00D64871">
        <w:t xml:space="preserve"> М.</w:t>
      </w:r>
      <w:r w:rsidR="00215686">
        <w:t>:</w:t>
      </w:r>
      <w:r w:rsidR="00215686" w:rsidRPr="00215686">
        <w:t xml:space="preserve"> </w:t>
      </w:r>
      <w:r w:rsidR="00215686">
        <w:t xml:space="preserve"> </w:t>
      </w:r>
      <w:r w:rsidR="00215686" w:rsidRPr="00D64871">
        <w:t>Экономист</w:t>
      </w:r>
      <w:r w:rsidRPr="00D64871">
        <w:t xml:space="preserve">, </w:t>
      </w:r>
      <w:r>
        <w:rPr>
          <w:lang w:val="en-US"/>
        </w:rPr>
        <w:t>200</w:t>
      </w:r>
      <w:r w:rsidR="00215686">
        <w:rPr>
          <w:lang w:val="en-US"/>
        </w:rPr>
        <w:t>5</w:t>
      </w:r>
      <w:r w:rsidRPr="00D64871">
        <w:t>.</w:t>
      </w:r>
    </w:p>
    <w:p w:rsidR="00D64871" w:rsidRDefault="00D64871" w:rsidP="004067D3">
      <w:pPr>
        <w:jc w:val="both"/>
      </w:pPr>
      <w:r>
        <w:t>9</w:t>
      </w:r>
      <w:r w:rsidRPr="00D64871">
        <w:t>.</w:t>
      </w:r>
      <w:r>
        <w:t xml:space="preserve"> </w:t>
      </w:r>
      <w:r w:rsidRPr="00D64871">
        <w:t xml:space="preserve">Сажина М.А., Чибриков Г.Г. Экономическая теория. Учебник для вузов. М.: </w:t>
      </w:r>
      <w:r w:rsidR="00215686">
        <w:t>Из</w:t>
      </w:r>
      <w:r w:rsidRPr="00D64871">
        <w:t xml:space="preserve">дательская группа НОРМА – ИНФРА М, </w:t>
      </w:r>
      <w:r>
        <w:rPr>
          <w:lang w:val="en-US"/>
        </w:rPr>
        <w:t>2006</w:t>
      </w:r>
      <w:r w:rsidRPr="00D64871">
        <w:t>.</w:t>
      </w:r>
    </w:p>
    <w:p w:rsidR="00E17C69" w:rsidRPr="00D64871" w:rsidRDefault="00D64871" w:rsidP="004067D3">
      <w:pPr>
        <w:jc w:val="both"/>
      </w:pPr>
      <w:r w:rsidRPr="00D64871">
        <w:t>1</w:t>
      </w:r>
      <w:r>
        <w:t>0</w:t>
      </w:r>
      <w:r w:rsidRPr="00D64871">
        <w:t>.</w:t>
      </w:r>
      <w:r>
        <w:t xml:space="preserve"> </w:t>
      </w:r>
      <w:r w:rsidRPr="00D64871">
        <w:t>Хейне П. Экономический образ мышления. М.: Новости</w:t>
      </w:r>
      <w:r>
        <w:rPr>
          <w:lang w:val="en-US"/>
        </w:rPr>
        <w:t>,</w:t>
      </w:r>
      <w:r w:rsidRPr="00D64871">
        <w:t xml:space="preserve"> </w:t>
      </w:r>
      <w:r>
        <w:rPr>
          <w:lang w:val="en-US"/>
        </w:rPr>
        <w:t>200</w:t>
      </w:r>
      <w:r w:rsidRPr="00D64871">
        <w:t>1.</w:t>
      </w:r>
      <w:bookmarkStart w:id="0" w:name="_GoBack"/>
      <w:bookmarkEnd w:id="0"/>
    </w:p>
    <w:sectPr w:rsidR="00E17C69" w:rsidRPr="00D64871" w:rsidSect="00FE764D">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827" w:rsidRDefault="00285827">
      <w:r>
        <w:separator/>
      </w:r>
    </w:p>
  </w:endnote>
  <w:endnote w:type="continuationSeparator" w:id="0">
    <w:p w:rsidR="00285827" w:rsidRDefault="0028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6D" w:rsidRDefault="00FF186D" w:rsidP="00FE764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F186D" w:rsidRDefault="00FF186D" w:rsidP="00FE76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6D" w:rsidRDefault="00FF186D" w:rsidP="00FE764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B6840">
      <w:rPr>
        <w:rStyle w:val="a4"/>
        <w:noProof/>
      </w:rPr>
      <w:t>1</w:t>
    </w:r>
    <w:r>
      <w:rPr>
        <w:rStyle w:val="a4"/>
      </w:rPr>
      <w:fldChar w:fldCharType="end"/>
    </w:r>
  </w:p>
  <w:p w:rsidR="00FF186D" w:rsidRDefault="00FF186D" w:rsidP="00FE76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827" w:rsidRDefault="00285827">
      <w:r>
        <w:separator/>
      </w:r>
    </w:p>
  </w:footnote>
  <w:footnote w:type="continuationSeparator" w:id="0">
    <w:p w:rsidR="00285827" w:rsidRDefault="00285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537404"/>
    <w:multiLevelType w:val="singleLevel"/>
    <w:tmpl w:val="03B464F0"/>
    <w:lvl w:ilvl="0">
      <w:start w:val="1"/>
      <w:numFmt w:val="decimal"/>
      <w:lvlText w:val="%1."/>
      <w:legacy w:legacy="1" w:legacySpace="0" w:legacyIndent="283"/>
      <w:lvlJc w:val="left"/>
      <w:pPr>
        <w:ind w:left="283" w:hanging="283"/>
      </w:pPr>
    </w:lvl>
  </w:abstractNum>
  <w:num w:numId="1">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8E4"/>
    <w:rsid w:val="00011F05"/>
    <w:rsid w:val="000341D2"/>
    <w:rsid w:val="000410CA"/>
    <w:rsid w:val="00052FA1"/>
    <w:rsid w:val="000818E9"/>
    <w:rsid w:val="00082BDB"/>
    <w:rsid w:val="000C5AAE"/>
    <w:rsid w:val="0011089E"/>
    <w:rsid w:val="00115166"/>
    <w:rsid w:val="00164D18"/>
    <w:rsid w:val="00173043"/>
    <w:rsid w:val="001B2380"/>
    <w:rsid w:val="001C408A"/>
    <w:rsid w:val="00205878"/>
    <w:rsid w:val="00215686"/>
    <w:rsid w:val="0025467D"/>
    <w:rsid w:val="00257D51"/>
    <w:rsid w:val="00285827"/>
    <w:rsid w:val="00287AC2"/>
    <w:rsid w:val="002D2DEC"/>
    <w:rsid w:val="00304EFA"/>
    <w:rsid w:val="003062B6"/>
    <w:rsid w:val="003269C1"/>
    <w:rsid w:val="00327DB8"/>
    <w:rsid w:val="00351CF6"/>
    <w:rsid w:val="00377272"/>
    <w:rsid w:val="003773E9"/>
    <w:rsid w:val="00381C99"/>
    <w:rsid w:val="003A3B96"/>
    <w:rsid w:val="003F2A7D"/>
    <w:rsid w:val="00401956"/>
    <w:rsid w:val="00404F0D"/>
    <w:rsid w:val="004067D3"/>
    <w:rsid w:val="00420C0B"/>
    <w:rsid w:val="00444E6A"/>
    <w:rsid w:val="00483341"/>
    <w:rsid w:val="004842F3"/>
    <w:rsid w:val="0049245B"/>
    <w:rsid w:val="004B150F"/>
    <w:rsid w:val="0050565B"/>
    <w:rsid w:val="005230F1"/>
    <w:rsid w:val="005348E4"/>
    <w:rsid w:val="00555F7E"/>
    <w:rsid w:val="00570761"/>
    <w:rsid w:val="0058413F"/>
    <w:rsid w:val="005F1AC3"/>
    <w:rsid w:val="005F4DF4"/>
    <w:rsid w:val="00666BDA"/>
    <w:rsid w:val="00676BC1"/>
    <w:rsid w:val="00683B70"/>
    <w:rsid w:val="0068738F"/>
    <w:rsid w:val="00694456"/>
    <w:rsid w:val="006A3489"/>
    <w:rsid w:val="00786748"/>
    <w:rsid w:val="007B5A7B"/>
    <w:rsid w:val="007B7DFD"/>
    <w:rsid w:val="007D4B32"/>
    <w:rsid w:val="007F67A1"/>
    <w:rsid w:val="007F6DC4"/>
    <w:rsid w:val="00811F47"/>
    <w:rsid w:val="008162B8"/>
    <w:rsid w:val="00851824"/>
    <w:rsid w:val="00860902"/>
    <w:rsid w:val="008C5C18"/>
    <w:rsid w:val="008D6D18"/>
    <w:rsid w:val="008E7CEF"/>
    <w:rsid w:val="008F55CD"/>
    <w:rsid w:val="009B2569"/>
    <w:rsid w:val="009B3B15"/>
    <w:rsid w:val="009B6840"/>
    <w:rsid w:val="009C0970"/>
    <w:rsid w:val="009D1B89"/>
    <w:rsid w:val="00A00F0F"/>
    <w:rsid w:val="00A034B3"/>
    <w:rsid w:val="00A07F01"/>
    <w:rsid w:val="00A16A1A"/>
    <w:rsid w:val="00A22034"/>
    <w:rsid w:val="00A72BC2"/>
    <w:rsid w:val="00AE219F"/>
    <w:rsid w:val="00AE7E2A"/>
    <w:rsid w:val="00B00EB3"/>
    <w:rsid w:val="00B2480D"/>
    <w:rsid w:val="00B3333C"/>
    <w:rsid w:val="00B620C2"/>
    <w:rsid w:val="00B86B49"/>
    <w:rsid w:val="00BA53D7"/>
    <w:rsid w:val="00BB072D"/>
    <w:rsid w:val="00BC00B5"/>
    <w:rsid w:val="00BD2673"/>
    <w:rsid w:val="00C25FCB"/>
    <w:rsid w:val="00C31129"/>
    <w:rsid w:val="00C667B5"/>
    <w:rsid w:val="00C93A09"/>
    <w:rsid w:val="00CF200D"/>
    <w:rsid w:val="00D02ABA"/>
    <w:rsid w:val="00D02BFA"/>
    <w:rsid w:val="00D25D9F"/>
    <w:rsid w:val="00D45551"/>
    <w:rsid w:val="00D64871"/>
    <w:rsid w:val="00DC1839"/>
    <w:rsid w:val="00DD59B3"/>
    <w:rsid w:val="00DD7B2F"/>
    <w:rsid w:val="00E024C6"/>
    <w:rsid w:val="00E13B2A"/>
    <w:rsid w:val="00E15193"/>
    <w:rsid w:val="00E17C69"/>
    <w:rsid w:val="00E22B5E"/>
    <w:rsid w:val="00E27780"/>
    <w:rsid w:val="00E418DF"/>
    <w:rsid w:val="00E44650"/>
    <w:rsid w:val="00E44D5C"/>
    <w:rsid w:val="00E67C55"/>
    <w:rsid w:val="00E84BF0"/>
    <w:rsid w:val="00EA3BA5"/>
    <w:rsid w:val="00EB705D"/>
    <w:rsid w:val="00EF3563"/>
    <w:rsid w:val="00F26F06"/>
    <w:rsid w:val="00F40F0B"/>
    <w:rsid w:val="00F41B4B"/>
    <w:rsid w:val="00FA7906"/>
    <w:rsid w:val="00FB74B1"/>
    <w:rsid w:val="00FC13AF"/>
    <w:rsid w:val="00FE2905"/>
    <w:rsid w:val="00FE764D"/>
    <w:rsid w:val="00FF1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A70709-001A-4854-9912-B6B21657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6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764D"/>
    <w:pPr>
      <w:tabs>
        <w:tab w:val="center" w:pos="4677"/>
        <w:tab w:val="right" w:pos="9355"/>
      </w:tabs>
    </w:pPr>
  </w:style>
  <w:style w:type="character" w:styleId="a4">
    <w:name w:val="page number"/>
    <w:basedOn w:val="a0"/>
    <w:rsid w:val="00FE7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49463">
      <w:bodyDiv w:val="1"/>
      <w:marLeft w:val="0"/>
      <w:marRight w:val="0"/>
      <w:marTop w:val="0"/>
      <w:marBottom w:val="0"/>
      <w:divBdr>
        <w:top w:val="none" w:sz="0" w:space="0" w:color="auto"/>
        <w:left w:val="none" w:sz="0" w:space="0" w:color="auto"/>
        <w:bottom w:val="none" w:sz="0" w:space="0" w:color="auto"/>
        <w:right w:val="none" w:sz="0" w:space="0" w:color="auto"/>
      </w:divBdr>
    </w:div>
    <w:div w:id="799153156">
      <w:bodyDiv w:val="1"/>
      <w:marLeft w:val="0"/>
      <w:marRight w:val="0"/>
      <w:marTop w:val="0"/>
      <w:marBottom w:val="0"/>
      <w:divBdr>
        <w:top w:val="none" w:sz="0" w:space="0" w:color="auto"/>
        <w:left w:val="none" w:sz="0" w:space="0" w:color="auto"/>
        <w:bottom w:val="none" w:sz="0" w:space="0" w:color="auto"/>
        <w:right w:val="none" w:sz="0" w:space="0" w:color="auto"/>
      </w:divBdr>
    </w:div>
    <w:div w:id="810950879">
      <w:bodyDiv w:val="1"/>
      <w:marLeft w:val="0"/>
      <w:marRight w:val="0"/>
      <w:marTop w:val="0"/>
      <w:marBottom w:val="0"/>
      <w:divBdr>
        <w:top w:val="none" w:sz="0" w:space="0" w:color="auto"/>
        <w:left w:val="none" w:sz="0" w:space="0" w:color="auto"/>
        <w:bottom w:val="none" w:sz="0" w:space="0" w:color="auto"/>
        <w:right w:val="none" w:sz="0" w:space="0" w:color="auto"/>
      </w:divBdr>
    </w:div>
    <w:div w:id="847714559">
      <w:bodyDiv w:val="1"/>
      <w:marLeft w:val="0"/>
      <w:marRight w:val="0"/>
      <w:marTop w:val="0"/>
      <w:marBottom w:val="0"/>
      <w:divBdr>
        <w:top w:val="none" w:sz="0" w:space="0" w:color="auto"/>
        <w:left w:val="none" w:sz="0" w:space="0" w:color="auto"/>
        <w:bottom w:val="none" w:sz="0" w:space="0" w:color="auto"/>
        <w:right w:val="none" w:sz="0" w:space="0" w:color="auto"/>
      </w:divBdr>
    </w:div>
    <w:div w:id="854617469">
      <w:bodyDiv w:val="1"/>
      <w:marLeft w:val="0"/>
      <w:marRight w:val="0"/>
      <w:marTop w:val="0"/>
      <w:marBottom w:val="0"/>
      <w:divBdr>
        <w:top w:val="none" w:sz="0" w:space="0" w:color="auto"/>
        <w:left w:val="none" w:sz="0" w:space="0" w:color="auto"/>
        <w:bottom w:val="none" w:sz="0" w:space="0" w:color="auto"/>
        <w:right w:val="none" w:sz="0" w:space="0" w:color="auto"/>
      </w:divBdr>
    </w:div>
    <w:div w:id="986202296">
      <w:bodyDiv w:val="1"/>
      <w:marLeft w:val="0"/>
      <w:marRight w:val="0"/>
      <w:marTop w:val="0"/>
      <w:marBottom w:val="0"/>
      <w:divBdr>
        <w:top w:val="none" w:sz="0" w:space="0" w:color="auto"/>
        <w:left w:val="none" w:sz="0" w:space="0" w:color="auto"/>
        <w:bottom w:val="none" w:sz="0" w:space="0" w:color="auto"/>
        <w:right w:val="none" w:sz="0" w:space="0" w:color="auto"/>
      </w:divBdr>
    </w:div>
    <w:div w:id="1522008786">
      <w:bodyDiv w:val="1"/>
      <w:marLeft w:val="0"/>
      <w:marRight w:val="0"/>
      <w:marTop w:val="0"/>
      <w:marBottom w:val="0"/>
      <w:divBdr>
        <w:top w:val="none" w:sz="0" w:space="0" w:color="auto"/>
        <w:left w:val="none" w:sz="0" w:space="0" w:color="auto"/>
        <w:bottom w:val="none" w:sz="0" w:space="0" w:color="auto"/>
        <w:right w:val="none" w:sz="0" w:space="0" w:color="auto"/>
      </w:divBdr>
    </w:div>
    <w:div w:id="1751274810">
      <w:bodyDiv w:val="1"/>
      <w:marLeft w:val="0"/>
      <w:marRight w:val="0"/>
      <w:marTop w:val="0"/>
      <w:marBottom w:val="0"/>
      <w:divBdr>
        <w:top w:val="none" w:sz="0" w:space="0" w:color="auto"/>
        <w:left w:val="none" w:sz="0" w:space="0" w:color="auto"/>
        <w:bottom w:val="none" w:sz="0" w:space="0" w:color="auto"/>
        <w:right w:val="none" w:sz="0" w:space="0" w:color="auto"/>
      </w:divBdr>
    </w:div>
    <w:div w:id="203032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6568</Words>
  <Characters>37441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1</vt:lpstr>
    </vt:vector>
  </TitlesOfParts>
  <Company>1</Company>
  <LinksUpToDate>false</LinksUpToDate>
  <CharactersWithSpaces>43922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KITES</dc:creator>
  <cp:keywords/>
  <dc:description/>
  <cp:lastModifiedBy>admin</cp:lastModifiedBy>
  <cp:revision>2</cp:revision>
  <dcterms:created xsi:type="dcterms:W3CDTF">2014-04-11T21:23:00Z</dcterms:created>
  <dcterms:modified xsi:type="dcterms:W3CDTF">2014-04-11T21:23:00Z</dcterms:modified>
</cp:coreProperties>
</file>