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AC" w:rsidRDefault="002E06AC">
      <w:pPr>
        <w:pStyle w:val="a9"/>
      </w:pPr>
      <w:r>
        <w:t>СОДЕРЖАНИЕ</w:t>
      </w:r>
    </w:p>
    <w:p w:rsidR="002E06AC" w:rsidRDefault="002E06AC">
      <w:pPr>
        <w:ind w:firstLine="0"/>
        <w:rPr>
          <w:sz w:val="32"/>
          <w:szCs w:val="32"/>
        </w:rPr>
      </w:pPr>
    </w:p>
    <w:p w:rsidR="002E06AC" w:rsidRDefault="002E06AC">
      <w:pPr>
        <w:ind w:firstLine="0"/>
        <w:rPr>
          <w:sz w:val="32"/>
          <w:szCs w:val="32"/>
        </w:rPr>
      </w:pPr>
      <w:r>
        <w:rPr>
          <w:sz w:val="32"/>
          <w:szCs w:val="32"/>
        </w:rPr>
        <w:t>ВВЕДЕНИЕ</w:t>
      </w:r>
    </w:p>
    <w:p w:rsidR="002E06AC" w:rsidRDefault="002E06AC">
      <w:pPr>
        <w:ind w:firstLine="0"/>
        <w:rPr>
          <w:sz w:val="32"/>
          <w:szCs w:val="32"/>
        </w:rPr>
      </w:pPr>
    </w:p>
    <w:p w:rsidR="002E06AC" w:rsidRDefault="002E06AC">
      <w:pPr>
        <w:ind w:firstLine="0"/>
        <w:rPr>
          <w:sz w:val="32"/>
          <w:szCs w:val="32"/>
        </w:rPr>
      </w:pPr>
      <w:r>
        <w:rPr>
          <w:sz w:val="32"/>
          <w:szCs w:val="32"/>
        </w:rPr>
        <w:t>ГЛАВА 1. УПРАВЛЕНИЕ КОРЕННЫМИ НАРОДАМИ СИБИРИ ПО «УСТАВУ ОБ УПРАВЛЕНИИ ИНОРОДЦАМИ»</w:t>
      </w:r>
    </w:p>
    <w:p w:rsidR="002E06AC" w:rsidRDefault="002E06AC">
      <w:pPr>
        <w:ind w:firstLine="0"/>
        <w:rPr>
          <w:sz w:val="32"/>
          <w:szCs w:val="32"/>
        </w:rPr>
      </w:pPr>
    </w:p>
    <w:p w:rsidR="002E06AC" w:rsidRDefault="002E06AC">
      <w:pPr>
        <w:ind w:firstLine="0"/>
        <w:rPr>
          <w:sz w:val="32"/>
          <w:szCs w:val="32"/>
        </w:rPr>
      </w:pPr>
      <w:r>
        <w:rPr>
          <w:sz w:val="32"/>
          <w:szCs w:val="32"/>
        </w:rPr>
        <w:t>1. РАЗДЕЛЕНИЕ ИНОРОДЦЕВ НА ГРУППЫ</w:t>
      </w:r>
    </w:p>
    <w:p w:rsidR="002E06AC" w:rsidRDefault="002E06AC">
      <w:pPr>
        <w:ind w:firstLine="0"/>
        <w:rPr>
          <w:sz w:val="32"/>
          <w:szCs w:val="32"/>
        </w:rPr>
      </w:pPr>
    </w:p>
    <w:p w:rsidR="002E06AC" w:rsidRDefault="002E06AC">
      <w:pPr>
        <w:ind w:firstLine="0"/>
        <w:rPr>
          <w:sz w:val="32"/>
          <w:szCs w:val="32"/>
        </w:rPr>
      </w:pPr>
      <w:r>
        <w:rPr>
          <w:sz w:val="32"/>
          <w:szCs w:val="32"/>
        </w:rPr>
        <w:t>2. УПРАВЛЕНИЕ «ИНОРОДЦЕВ»</w:t>
      </w:r>
    </w:p>
    <w:p w:rsidR="002E06AC" w:rsidRDefault="002E06AC">
      <w:pPr>
        <w:ind w:firstLine="0"/>
        <w:rPr>
          <w:sz w:val="32"/>
          <w:szCs w:val="32"/>
        </w:rPr>
      </w:pPr>
    </w:p>
    <w:p w:rsidR="002E06AC" w:rsidRDefault="002E06AC">
      <w:pPr>
        <w:ind w:firstLine="0"/>
        <w:rPr>
          <w:sz w:val="32"/>
          <w:szCs w:val="32"/>
        </w:rPr>
      </w:pPr>
      <w:r>
        <w:rPr>
          <w:sz w:val="32"/>
          <w:szCs w:val="32"/>
        </w:rPr>
        <w:t>ГЛАВА 2. ПОЛИТИКА ЦАРСКОГО ПРАВИТЕЛЬСТВА В ОТНОШЕНИИ КОРЕННЫХ НАРОДОВ СИБИРИ ПО «УСТАВУ ОБ УПРАВЛЕНИИ ИНОРОДЦАМИ»</w:t>
      </w:r>
    </w:p>
    <w:p w:rsidR="002E06AC" w:rsidRDefault="002E06AC">
      <w:pPr>
        <w:ind w:firstLine="0"/>
        <w:rPr>
          <w:sz w:val="32"/>
          <w:szCs w:val="32"/>
        </w:rPr>
      </w:pPr>
    </w:p>
    <w:p w:rsidR="002E06AC" w:rsidRDefault="002E06AC">
      <w:pPr>
        <w:ind w:firstLine="0"/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2E06AC" w:rsidRDefault="002E06AC">
      <w:pPr>
        <w:ind w:firstLine="0"/>
        <w:rPr>
          <w:sz w:val="32"/>
          <w:szCs w:val="32"/>
        </w:rPr>
      </w:pPr>
    </w:p>
    <w:p w:rsidR="002E06AC" w:rsidRDefault="002E06AC">
      <w:pPr>
        <w:ind w:firstLine="0"/>
        <w:rPr>
          <w:sz w:val="32"/>
          <w:szCs w:val="32"/>
        </w:rPr>
      </w:pPr>
      <w:r>
        <w:rPr>
          <w:sz w:val="32"/>
          <w:szCs w:val="32"/>
        </w:rPr>
        <w:t>ПРИМЕЧАНИЕ</w:t>
      </w:r>
    </w:p>
    <w:p w:rsidR="002E06AC" w:rsidRDefault="002E06AC">
      <w:pPr>
        <w:ind w:firstLine="0"/>
        <w:rPr>
          <w:sz w:val="32"/>
          <w:szCs w:val="32"/>
        </w:rPr>
      </w:pPr>
    </w:p>
    <w:p w:rsidR="002E06AC" w:rsidRDefault="002E06AC">
      <w:pPr>
        <w:ind w:firstLine="0"/>
        <w:rPr>
          <w:sz w:val="32"/>
          <w:szCs w:val="32"/>
        </w:rPr>
      </w:pPr>
      <w:r>
        <w:rPr>
          <w:sz w:val="32"/>
          <w:szCs w:val="32"/>
        </w:rPr>
        <w:t>СПИСОК ЛИТЕРАТУРЫ</w:t>
      </w: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0"/>
        <w:rPr>
          <w:sz w:val="32"/>
          <w:szCs w:val="32"/>
        </w:rPr>
      </w:pPr>
    </w:p>
    <w:p w:rsidR="002E06AC" w:rsidRDefault="002E06AC">
      <w:pPr>
        <w:ind w:firstLine="0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</w:t>
      </w: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 xml:space="preserve">«Устав об управлении инородцев», утвержденный, 22 июля 1822 г. имел важнейшее значение для жизни народов Сибири. Как исторический источник «Устав» имеет неоценимое значение для изучения жизни, управления народов Сибири в течение его действия. Кроме того, он позволяет понять политику царского правительства по отношению к так называемым «инородцам»: по сути, колониальным народам, так как в России, имевшей огромные неосвоенные просторы, колониальная экспансия направлялась, не в заморские страны, а к окраинам империи.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 xml:space="preserve">Актуальность этого вопроса подчеркивается тем, что вплоть до сегодняшнего дня не существует сколь либо подробного исследования «Устава». О нем можно узнать только из общих работ, и то ему уделяется от нескольких абзацев до нескольких страниц.  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 xml:space="preserve">Следовательно, цель работы – проанализировать «Устав» как исторический источник. Задачи, стоящие передо мной, таковы: </w:t>
      </w:r>
    </w:p>
    <w:p w:rsidR="002E06AC" w:rsidRDefault="002E06A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изучить управление Сибири по «Уставу»;</w:t>
      </w:r>
    </w:p>
    <w:p w:rsidR="002E06AC" w:rsidRDefault="002E06A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проанализировать царскую политику в отношении «инородцев» по «Уставу»;</w:t>
      </w:r>
    </w:p>
    <w:p w:rsidR="002E06AC" w:rsidRDefault="002E06A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этом основании дать характеристику «Уставу» как историческому источнику и определить его ценность как исторического источника.</w:t>
      </w: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Подробный анализ источника со множеством цитат дан в работе «История Якутской АССР»</w:t>
      </w:r>
      <w:r>
        <w:rPr>
          <w:rStyle w:val="a5"/>
          <w:sz w:val="32"/>
          <w:szCs w:val="32"/>
        </w:rPr>
        <w:endnoteReference w:id="1"/>
      </w:r>
      <w:r>
        <w:rPr>
          <w:sz w:val="32"/>
          <w:szCs w:val="32"/>
        </w:rPr>
        <w:t>. Это работа, в которой наиболее полно даются сведения по «Уставу».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Далее, была использована книга «История             Бурят-монгольской АССР»</w:t>
      </w:r>
      <w:r>
        <w:rPr>
          <w:rStyle w:val="a5"/>
          <w:sz w:val="32"/>
          <w:szCs w:val="32"/>
        </w:rPr>
        <w:endnoteReference w:id="2"/>
      </w:r>
      <w:r>
        <w:rPr>
          <w:sz w:val="32"/>
          <w:szCs w:val="32"/>
        </w:rPr>
        <w:t xml:space="preserve">. В принципе,                      фактические данные в ней практически ничем                             не дополняют сведения из «Истории Якутской АССР»,                  и даны в более сжатом виде. Однако важна                      позиция исследователей – с этой точки зрения книга является хорошим дополнением к «Истории                      Якутской  АССР».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Впрочем, что касается авторских                       выводов, заметим, что обе книги изданы в 50-х годах,                то есть авторский анализ в любом случае                укладывается в рамки идеологии марксизма-               ленинизма.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То же самое по поводу идеологии можно сказать и о книгах Ерошкина Н. П. Более всего оказала помощь его монография «Очерки истории государственных учреждений дореволюционной России».</w:t>
      </w:r>
      <w:r>
        <w:rPr>
          <w:rStyle w:val="a5"/>
          <w:sz w:val="32"/>
          <w:szCs w:val="32"/>
        </w:rPr>
        <w:endnoteReference w:id="3"/>
      </w:r>
      <w:r>
        <w:rPr>
          <w:sz w:val="32"/>
          <w:szCs w:val="32"/>
        </w:rPr>
        <w:t xml:space="preserve">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 xml:space="preserve">Сведения об «Уставе» в ней даны в более сжатом виде, чем в «Истории Якутской АССР» или                           даже «Истории Бурят-монгольской АССР», но                      зато в «Очерках» содержатся сведения о                      составителях «Устава», их намерениях и том, как эти намерения реализовались.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Монография того же Ерошкина Н. П. «История государственных учреждений дореволюционной России»</w:t>
      </w:r>
      <w:r>
        <w:rPr>
          <w:rStyle w:val="a5"/>
          <w:sz w:val="32"/>
          <w:szCs w:val="32"/>
        </w:rPr>
        <w:endnoteReference w:id="4"/>
      </w:r>
      <w:r>
        <w:rPr>
          <w:sz w:val="32"/>
          <w:szCs w:val="32"/>
        </w:rPr>
        <w:t xml:space="preserve">, несмотря   на  то,   что   была   издана   через   23 года  после </w:t>
      </w: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0"/>
        <w:rPr>
          <w:sz w:val="32"/>
          <w:szCs w:val="32"/>
        </w:rPr>
      </w:pPr>
      <w:r>
        <w:rPr>
          <w:sz w:val="32"/>
          <w:szCs w:val="32"/>
        </w:rPr>
        <w:t>«Очерков», никаких новых сведений по «Уставу» не предлагает; наоборот, материал дан боле конспективно, чем в очерках. То же самое можно сказать и о коллективной работе Ерошкина Н. П., Куликова Ю. В., Чернова А. В. «История государственных учреждений России до Великой Октябрьской социалистической революции».</w:t>
      </w:r>
      <w:r>
        <w:rPr>
          <w:rStyle w:val="a5"/>
          <w:sz w:val="32"/>
          <w:szCs w:val="32"/>
        </w:rPr>
        <w:endnoteReference w:id="5"/>
      </w:r>
      <w:r>
        <w:rPr>
          <w:sz w:val="32"/>
          <w:szCs w:val="32"/>
        </w:rPr>
        <w:t xml:space="preserve"> </w:t>
      </w: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1. УПРАВЛЕНИЕ КОРЕННЫМИ НАРОДАМИ СИБИРИ ПО «УСТАВУ ОБ УПРАВЛЕНИИ ИНОРОДЦАМИ»</w:t>
      </w:r>
    </w:p>
    <w:p w:rsidR="002E06AC" w:rsidRDefault="002E06AC">
      <w:pPr>
        <w:ind w:firstLine="0"/>
        <w:jc w:val="center"/>
        <w:rPr>
          <w:b/>
          <w:bCs/>
          <w:sz w:val="32"/>
          <w:szCs w:val="32"/>
        </w:rPr>
      </w:pPr>
    </w:p>
    <w:p w:rsidR="002E06AC" w:rsidRDefault="002E06AC">
      <w:pPr>
        <w:ind w:firstLine="0"/>
        <w:jc w:val="center"/>
        <w:rPr>
          <w:b/>
          <w:bCs/>
          <w:sz w:val="32"/>
          <w:szCs w:val="32"/>
        </w:rPr>
      </w:pPr>
    </w:p>
    <w:p w:rsidR="002E06AC" w:rsidRDefault="002E06AC">
      <w:pPr>
        <w:ind w:firstLine="0"/>
        <w:jc w:val="center"/>
        <w:rPr>
          <w:b/>
          <w:bCs/>
          <w:sz w:val="32"/>
          <w:szCs w:val="32"/>
        </w:rPr>
      </w:pPr>
    </w:p>
    <w:p w:rsidR="002E06AC" w:rsidRDefault="002E06AC">
      <w:pPr>
        <w:ind w:firstLine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1. РАЗДЕЛЕНИЕ ИНОРОДЦЕВ НА ГРУППЫ</w:t>
      </w:r>
    </w:p>
    <w:p w:rsidR="002E06AC" w:rsidRDefault="002E06AC">
      <w:pPr>
        <w:ind w:firstLine="0"/>
        <w:rPr>
          <w:sz w:val="32"/>
          <w:szCs w:val="32"/>
        </w:rPr>
      </w:pPr>
    </w:p>
    <w:p w:rsidR="002E06AC" w:rsidRDefault="002E06AC">
      <w:pPr>
        <w:ind w:firstLine="0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По «Уставу» «все обитающие в Сибири инородные племена» разделя</w:t>
      </w:r>
      <w:r>
        <w:rPr>
          <w:sz w:val="32"/>
          <w:szCs w:val="32"/>
        </w:rPr>
        <w:softHyphen/>
        <w:t>лись на три разряда: оседлых, кочевых и бродячих. В первый разряд вклю</w:t>
      </w:r>
      <w:r>
        <w:rPr>
          <w:sz w:val="32"/>
          <w:szCs w:val="32"/>
        </w:rPr>
        <w:softHyphen/>
        <w:t>чались «живущие в городах и селениях», во второй «кочующие земледель</w:t>
      </w:r>
      <w:r>
        <w:rPr>
          <w:sz w:val="32"/>
          <w:szCs w:val="32"/>
        </w:rPr>
        <w:softHyphen/>
        <w:t>цы» (буряты, качинцы), «южные скотоводы и промышленники» (сагайпы, те же буряты, некоторые группы южных тунгусов) и «северные скотоводы и промышленники».</w:t>
      </w:r>
      <w:r>
        <w:rPr>
          <w:rStyle w:val="a5"/>
          <w:sz w:val="32"/>
          <w:szCs w:val="32"/>
        </w:rPr>
        <w:endnoteReference w:id="6"/>
      </w:r>
      <w:r>
        <w:rPr>
          <w:sz w:val="32"/>
          <w:szCs w:val="32"/>
        </w:rPr>
        <w:t xml:space="preserve">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Якуты были тоже отнесены к группе «кочевых инородцев». Признаков, определяющих «бродячих инородцев», Устав не давал. В числе народов, отнесенных к этой группе, были ненцы, «инородцы Охотские, Гнжигинские и Камчатские» и «инородцы Якутской области, то есть: Коряки, Юкагиры, Ламуты и проч.».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Наибольшее внимание Устав уделил «кочевым» народам. Разложение родоплеменных отношений привело к выделению у этих народов феодальной верхушки, но феодальные основы общественного строя у этих народов сохраняли еще патриархальные формы общественных отношений. Все эти феодалы хотя и захватили лучшие для земледелия и кочевья земли у своих родственников, но продолжали считаться главами-«родоначальниками» и мотивировали все свои действия «интересами» рода.</w:t>
      </w:r>
      <w:r>
        <w:rPr>
          <w:rStyle w:val="a5"/>
          <w:sz w:val="32"/>
          <w:szCs w:val="32"/>
        </w:rPr>
        <w:endnoteReference w:id="7"/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Правовое положение «кочевых инородцев» по Уставу 1822 г. опреде</w:t>
      </w:r>
      <w:r>
        <w:rPr>
          <w:sz w:val="32"/>
          <w:szCs w:val="32"/>
        </w:rPr>
        <w:softHyphen/>
        <w:t>лялось следующим образом. Они составляли «особенное сословие», прирав</w:t>
      </w:r>
      <w:r>
        <w:rPr>
          <w:sz w:val="32"/>
          <w:szCs w:val="32"/>
        </w:rPr>
        <w:softHyphen/>
        <w:t>ненное к крестьянскому, но отличное от него «в образе управления». «Ко</w:t>
      </w:r>
      <w:r>
        <w:rPr>
          <w:sz w:val="32"/>
          <w:szCs w:val="32"/>
        </w:rPr>
        <w:softHyphen/>
        <w:t>чевые инородцы» управлялись по «степным законам п обычаям, каждому племени свойственным». Только но уголовным преступлениям они должны были судиться в общем порядке. За ними сохранялись свобода в вероиспо</w:t>
      </w:r>
      <w:r>
        <w:rPr>
          <w:sz w:val="32"/>
          <w:szCs w:val="32"/>
        </w:rPr>
        <w:softHyphen/>
        <w:t>ведании н богослужении, освобождение от рекрутской повинности. Подати они платили «по особому положению» с числа душ, которое определялось общей переписью, а также участвовали в «общих по губернии повин</w:t>
      </w:r>
      <w:r>
        <w:rPr>
          <w:sz w:val="32"/>
          <w:szCs w:val="32"/>
        </w:rPr>
        <w:softHyphen/>
        <w:t>ностях».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Устав 1822 г. определял и экономическое положение «кочевых инородцев». «Кочующие инородцы для каждого поколения имеют назначен</w:t>
      </w:r>
      <w:r>
        <w:rPr>
          <w:sz w:val="32"/>
          <w:szCs w:val="32"/>
        </w:rPr>
        <w:softHyphen/>
        <w:t>ные во владение земли». Распределение этих земель по участкам «зависит от самих кочующих по жеребью или другим их обыкновениям». Русским запрещалось самовольно селиться на землях, отведенных «кочевым ино</w:t>
      </w:r>
      <w:r>
        <w:rPr>
          <w:sz w:val="32"/>
          <w:szCs w:val="32"/>
        </w:rPr>
        <w:softHyphen/>
        <w:t>родцам», но разрешалось брать эти земли «в оброчное содержание». Наем на работу к частным лицам разрешался только с ведома родового началь</w:t>
      </w:r>
      <w:r>
        <w:rPr>
          <w:sz w:val="32"/>
          <w:szCs w:val="32"/>
        </w:rPr>
        <w:softHyphen/>
        <w:t>ства. Разрешалась свободная торговля во всякое время «всеми припасами и изделиями», кроме вина. Чиновникам торговля с «кочевыми инородцами» категорически запрещалась. Для удобства ведения торговли «инородцам» назначались особью места для ярмарок и время их, в соответствии «с вре</w:t>
      </w:r>
      <w:r>
        <w:rPr>
          <w:sz w:val="32"/>
          <w:szCs w:val="32"/>
        </w:rPr>
        <w:softHyphen/>
        <w:t>менем взноса податей п сообразно с нуждами инородцев».</w:t>
      </w:r>
      <w:r>
        <w:rPr>
          <w:rStyle w:val="a5"/>
          <w:sz w:val="32"/>
          <w:szCs w:val="32"/>
        </w:rPr>
        <w:endnoteReference w:id="8"/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Правовое положение «бродячих инородцев» по Уставу 1822 г. мало чем отличалось от положения «кочевых». Устав указывал, что «права бродя</w:t>
      </w:r>
      <w:r>
        <w:rPr>
          <w:sz w:val="32"/>
          <w:szCs w:val="32"/>
        </w:rPr>
        <w:softHyphen/>
        <w:t>чих инородцев или ловцов, живущих в отдалении и рассеянными, вообще состоят в применении правил, для кочующих постановленных». Отличие заключалось лишь в том, что «назначение земель по племенам» и распре</w:t>
      </w:r>
      <w:r>
        <w:rPr>
          <w:sz w:val="32"/>
          <w:szCs w:val="32"/>
        </w:rPr>
        <w:softHyphen/>
        <w:t>деление их по участкам не распространялось на «бродячих инородцев». Им назначались «по удобности целые полосы земли», в пределах которых им разрешалось свободно переходить для промыслов из уезда в уезд и из губернии в губернию. Кроме того, «бродячие инородцы» не участвовали в земских губернских денежных повинностях.</w:t>
      </w:r>
      <w:r>
        <w:rPr>
          <w:rStyle w:val="a5"/>
          <w:sz w:val="32"/>
          <w:szCs w:val="32"/>
        </w:rPr>
        <w:endnoteReference w:id="9"/>
      </w: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УПРАВЛЕНИЕ «ИНОРОДЦЕВ»</w:t>
      </w: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Подробно регламентировал Устав 1822 г. систему управления у «коче</w:t>
      </w:r>
      <w:r>
        <w:rPr>
          <w:sz w:val="32"/>
          <w:szCs w:val="32"/>
        </w:rPr>
        <w:softHyphen/>
        <w:t>вых» и «бродячих инородцев», «Состояние инородцев, кочующих и бродя</w:t>
      </w:r>
      <w:r>
        <w:rPr>
          <w:sz w:val="32"/>
          <w:szCs w:val="32"/>
        </w:rPr>
        <w:softHyphen/>
        <w:t>чих,— гласил Устав», - отличается: 1) непостоянством их жительства; 2) степенью гражданского образования; 3) простотою нравов; 4) особыми обычаями; 5) образом пропитания; 6) трудностью взаимных сообщений;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7) недостатком монеты в обращении; 8) недостатком способов к сбыванию на месте лова и произведений». Отсюда—следующие правила. Каждое стойбище или улус, в котором считалось не менее 15 семейств, должно было иметь собственное родовое управление, а стойбища или улу</w:t>
      </w:r>
      <w:r>
        <w:rPr>
          <w:sz w:val="32"/>
          <w:szCs w:val="32"/>
        </w:rPr>
        <w:softHyphen/>
        <w:t xml:space="preserve">сы, имевшие менее 15 семейств,—причисляться к ближайшим стойбищам.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Родовое управление состояло из старосты и одного или двух его помощни</w:t>
      </w:r>
      <w:r>
        <w:rPr>
          <w:sz w:val="32"/>
          <w:szCs w:val="32"/>
        </w:rPr>
        <w:softHyphen/>
        <w:t xml:space="preserve">ков из «почетных» и «лучших» родовичей. Староста в соответствии с обычаем избирался или наследовал свое звание. Между своими родовичами он мог носить «именование князца, зайсана н проч.», но в сношениях с правительством всегда назывался старостой.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Помощники старосты выби</w:t>
      </w:r>
      <w:r>
        <w:rPr>
          <w:sz w:val="32"/>
          <w:szCs w:val="32"/>
        </w:rPr>
        <w:softHyphen/>
        <w:t>рались родовичами на определенное или неопределенное время. Несколько стойбищ или улусов одного рода подчинялись «инородной управе», состояв</w:t>
      </w:r>
      <w:r>
        <w:rPr>
          <w:sz w:val="32"/>
          <w:szCs w:val="32"/>
        </w:rPr>
        <w:softHyphen/>
        <w:t xml:space="preserve">шей из головы, двух выборных и письмоводителя. </w:t>
      </w: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Голова получал свое звание наследственно или по выбору, сообразно «с стенными обычаями каждого племени». «Бродячие инородцы», или «ловцы», как . иначе их называет Устав 1822 г., инородных управ не имели, родовое управление у них ограничивалось одним старостой, которым становились «нынешние князцы и других наименований почетные люди, ловцами управляющие».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Права и обязанности родовых управлений и инородных управ подробно регламентировались. Родовое управление как первичная ячейка админи</w:t>
      </w:r>
      <w:r>
        <w:rPr>
          <w:sz w:val="32"/>
          <w:szCs w:val="32"/>
        </w:rPr>
        <w:softHyphen/>
        <w:t>стративной организации имело «ближайший надзор за порядком во вве</w:t>
      </w:r>
      <w:r>
        <w:rPr>
          <w:sz w:val="32"/>
          <w:szCs w:val="32"/>
        </w:rPr>
        <w:softHyphen/>
        <w:t>ренном ему роде или наслеге». За маловажные проступки оно могло нака</w:t>
      </w:r>
      <w:r>
        <w:rPr>
          <w:sz w:val="32"/>
          <w:szCs w:val="32"/>
        </w:rPr>
        <w:softHyphen/>
        <w:t>зывать «по обычаям каждого племени и в качестве домашнего исправле</w:t>
      </w:r>
      <w:r>
        <w:rPr>
          <w:sz w:val="32"/>
          <w:szCs w:val="32"/>
        </w:rPr>
        <w:softHyphen/>
        <w:t xml:space="preserve">ния». </w:t>
      </w:r>
      <w:r>
        <w:rPr>
          <w:rStyle w:val="a5"/>
          <w:sz w:val="32"/>
          <w:szCs w:val="32"/>
        </w:rPr>
        <w:endnoteReference w:id="10"/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Через родовые управления приводились в исполнение все распоря</w:t>
      </w:r>
      <w:r>
        <w:rPr>
          <w:sz w:val="32"/>
          <w:szCs w:val="32"/>
        </w:rPr>
        <w:softHyphen/>
        <w:t xml:space="preserve">жения правительства. Непосредственно на них же возлагался сбор податей «за весь род, как с одного нераздельного лица». На инородные управы возлагались надзор за родовыми управлениями и «местные распоряжения».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Последние заключались: 1) в точном исполнении всех предписаний на</w:t>
      </w:r>
      <w:r>
        <w:rPr>
          <w:sz w:val="32"/>
          <w:szCs w:val="32"/>
        </w:rPr>
        <w:softHyphen/>
        <w:t>чальства; 2) в понуждении к сбору податей; 3) в сохранении благочиния и порядка; 4) в сохранении прав инородцев от всякого постороннего сте</w:t>
      </w:r>
      <w:r>
        <w:rPr>
          <w:sz w:val="32"/>
          <w:szCs w:val="32"/>
        </w:rPr>
        <w:softHyphen/>
        <w:t>снения; 5) в розысканиях, по особенным случаям нужных». Инородная управа имела непосредственные сношения с земской полицией и испол</w:t>
      </w:r>
      <w:r>
        <w:rPr>
          <w:sz w:val="32"/>
          <w:szCs w:val="32"/>
        </w:rPr>
        <w:softHyphen/>
        <w:t xml:space="preserve">няла все полученные от нее предписания.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Наконец, родовое управление и инородная управа несли и судебные функции. Родовое управление в исковых делах имело право «словесных судов». В делах между людьми разных стойбищ или «по неудовольствию па разбирательство» родового управления второй степенью «расправы      словесной»       была      инородная        упра</w:t>
      </w:r>
      <w:r>
        <w:rPr>
          <w:sz w:val="32"/>
          <w:szCs w:val="32"/>
        </w:rPr>
        <w:softHyphen/>
        <w:t xml:space="preserve">ва; </w:t>
      </w:r>
    </w:p>
    <w:p w:rsidR="002E06AC" w:rsidRDefault="002E06AC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в делах между людьми, подчиненными разным управам, или в качестве третьей и последней степени «словесной расправы» в случае «неудовольстиия» на разбирательство инородной управы выступала местная земская полиция.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Главной задачей «словесной расправы» являлось прекращение несогласий между «инородцами» и примирение спорящих на основания «степных законов и обычаев». В ее функции входил также разбор долго</w:t>
      </w:r>
      <w:r>
        <w:rPr>
          <w:sz w:val="32"/>
          <w:szCs w:val="32"/>
        </w:rPr>
        <w:softHyphen/>
        <w:t>вых исков и дел о пенях по свадебным договорам.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Высшим органом управления у «кочевых инородцев» являлась степ</w:t>
      </w:r>
      <w:r>
        <w:rPr>
          <w:sz w:val="32"/>
          <w:szCs w:val="32"/>
        </w:rPr>
        <w:softHyphen/>
        <w:t>ная дума, которая состояла из главного родоначальника и выборных засе</w:t>
      </w:r>
      <w:r>
        <w:rPr>
          <w:sz w:val="32"/>
          <w:szCs w:val="32"/>
        </w:rPr>
        <w:softHyphen/>
        <w:t>дателей, число которых зависело от обычая или надобности. Обязанности степной думы состояли: «I) в народоисчислении; 2) в раскладке сборов;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3) в правильном учете всех сумм и общественного имущества; 4) в рас</w:t>
      </w:r>
      <w:r>
        <w:rPr>
          <w:sz w:val="32"/>
          <w:szCs w:val="32"/>
        </w:rPr>
        <w:softHyphen/>
        <w:t>пространении земледелия и народной промышленности; 5) в ходатайстве у высшего начальства о пользах родовичей». По «сем этим вопросам степ</w:t>
      </w:r>
      <w:r>
        <w:rPr>
          <w:sz w:val="32"/>
          <w:szCs w:val="32"/>
        </w:rPr>
        <w:softHyphen/>
        <w:t>ная дума отдавала распоряжения инородным управам и в свою очередь подчинялась окружному управлению.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Старосты родовых управлений, главы инородных управ и заседатели стенных дум, вступавшие в должность «преемничеством» или по выбору, утверждались губернатором или областным начальником. Главный родо</w:t>
      </w:r>
      <w:r>
        <w:rPr>
          <w:sz w:val="32"/>
          <w:szCs w:val="32"/>
        </w:rPr>
        <w:softHyphen/>
        <w:t>начальник степной думы утверждался генерал-губернатором.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Вопрос о бюджете «стенного управления» в Уста не 1822 г. был изложен неясно и допускал различные толкования. С одной стороны, указывалось, что вес старосты, головы и прочие должностные лица не получают от родовичей никакого жалования и «исправляют должности но сим званиям как общедоступную службу».</w:t>
      </w:r>
      <w:r>
        <w:rPr>
          <w:rStyle w:val="a5"/>
          <w:sz w:val="32"/>
          <w:szCs w:val="32"/>
        </w:rPr>
        <w:endnoteReference w:id="11"/>
      </w:r>
      <w:r>
        <w:rPr>
          <w:sz w:val="32"/>
          <w:szCs w:val="32"/>
        </w:rPr>
        <w:t xml:space="preserve"> </w:t>
      </w: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С другой стороны, Устав подчеркивал, что «содер</w:t>
      </w:r>
      <w:r>
        <w:rPr>
          <w:sz w:val="32"/>
          <w:szCs w:val="32"/>
        </w:rPr>
        <w:softHyphen/>
        <w:t>жание стенного управления составляет внутреннюю повинность кочую</w:t>
      </w:r>
      <w:r>
        <w:rPr>
          <w:sz w:val="32"/>
          <w:szCs w:val="32"/>
        </w:rPr>
        <w:softHyphen/>
        <w:t>щих», и отмечал законность привилегированного экономического положе</w:t>
      </w:r>
      <w:r>
        <w:rPr>
          <w:sz w:val="32"/>
          <w:szCs w:val="32"/>
        </w:rPr>
        <w:softHyphen/>
        <w:t>ния верхушки «степного управления»: «доходы, какие званию их при</w:t>
      </w:r>
      <w:r>
        <w:rPr>
          <w:sz w:val="32"/>
          <w:szCs w:val="32"/>
        </w:rPr>
        <w:softHyphen/>
        <w:t>своены по степным законам и обычаям с промыслов и владеемых земель, остаются в прежнем положении... в собрании степных законов имеет быть об них положительно означено».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В Уставе 1822 г. подробно определен порядок сбора податей и повин</w:t>
      </w:r>
      <w:r>
        <w:rPr>
          <w:sz w:val="32"/>
          <w:szCs w:val="32"/>
        </w:rPr>
        <w:softHyphen/>
        <w:t>ностей с «инородцев». Подати и повинности определялись троякого рода:</w:t>
      </w:r>
    </w:p>
    <w:p w:rsidR="002E06AC" w:rsidRDefault="002E06A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казенные подати;</w:t>
      </w:r>
    </w:p>
    <w:p w:rsidR="002E06AC" w:rsidRDefault="002E06A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земские повинности;</w:t>
      </w:r>
    </w:p>
    <w:p w:rsidR="002E06AC" w:rsidRDefault="002E06A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повинности внутренние, на содержание степного управления. </w:t>
      </w:r>
    </w:p>
    <w:p w:rsidR="002E06AC" w:rsidRDefault="002E06AC">
      <w:pPr>
        <w:ind w:firstLine="0"/>
        <w:rPr>
          <w:sz w:val="32"/>
          <w:szCs w:val="32"/>
        </w:rPr>
      </w:pPr>
      <w:r>
        <w:rPr>
          <w:sz w:val="32"/>
          <w:szCs w:val="32"/>
        </w:rPr>
        <w:t>О порядке назначения казенных податей (ясак) как податей, утверждаемых в центре. Устав 1822 г. ничего не говорит. Объем земских повинностей для «инородцев» устанавливало местное Главное управление. Сборы на внутренние повинности определя</w:t>
      </w:r>
      <w:r>
        <w:rPr>
          <w:sz w:val="32"/>
          <w:szCs w:val="32"/>
        </w:rPr>
        <w:softHyphen/>
        <w:t xml:space="preserve">лись степной думой, а там, где се не было,— «общественным приговором инородцев». </w:t>
      </w:r>
    </w:p>
    <w:p w:rsidR="002E06AC" w:rsidRDefault="002E06AC">
      <w:pPr>
        <w:ind w:firstLine="0"/>
        <w:rPr>
          <w:sz w:val="32"/>
          <w:szCs w:val="32"/>
        </w:rPr>
      </w:pPr>
      <w:r>
        <w:rPr>
          <w:sz w:val="32"/>
          <w:szCs w:val="32"/>
        </w:rPr>
        <w:t>Губернатор или областной начальник составлял подробный расчет сборов на каждый год, в том числе сколько с каждого рода и со всех «инородцев» в губернии или области «причитается порознь каждого наименования», а также сколько всех сборов с души для каждого рода. Степные думы, получив такое «расписание», делали «раскладки» на родо</w:t>
      </w:r>
      <w:r>
        <w:rPr>
          <w:sz w:val="32"/>
          <w:szCs w:val="32"/>
        </w:rPr>
        <w:softHyphen/>
        <w:t>вые управления, последние в свою очередь распределяли, «сколько именно каждое семейство взнести обязано звериными шкурами пли деньгами, смотря по успеху промыслов и состоянию каждого». Сбор податей лежал на обязанности родовых управлений и производился на ярмарках или сугланах («мирское собрание инородцев»), но «бродячие инородцы», «по уважению дальних их отлучек для промыслов», могли сдавать подати в других местах и даже в других уездах и губерниях.</w:t>
      </w:r>
    </w:p>
    <w:p w:rsidR="002E06AC" w:rsidRDefault="002E06AC">
      <w:pPr>
        <w:ind w:firstLine="0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Особый раздел в Уставе 1822 г. посвящен «казенным продажам». Ка</w:t>
      </w:r>
      <w:r>
        <w:rPr>
          <w:sz w:val="32"/>
          <w:szCs w:val="32"/>
        </w:rPr>
        <w:softHyphen/>
        <w:t>зенная торговля проследовала двоякую цель: «I) доставление необходи</w:t>
      </w:r>
      <w:r>
        <w:rPr>
          <w:sz w:val="32"/>
          <w:szCs w:val="32"/>
        </w:rPr>
        <w:softHyphen/>
        <w:t>мого пособия по продовольствию и промыслам кочующих; 2) умерение вольных цен на необходимые потребности». В крайних случаях (угроза -голода) Устав проектировал продажу казенных товаров по пониженной цене и в долг («если необходимость в том надлежащим образом будет до</w:t>
      </w:r>
      <w:r>
        <w:rPr>
          <w:sz w:val="32"/>
          <w:szCs w:val="32"/>
        </w:rPr>
        <w:softHyphen/>
        <w:t>казана») и под ответственность представителей местного управления.</w:t>
      </w:r>
      <w:r>
        <w:rPr>
          <w:rStyle w:val="a5"/>
          <w:sz w:val="32"/>
          <w:szCs w:val="32"/>
        </w:rPr>
        <w:endnoteReference w:id="12"/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Таковы главный положения «Устава об инородцах»  1822 г.</w:t>
      </w: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2. ПОЛИТИКА ЦАРСКОГО ПРАВИТЕЛЬСТВА В ОТНОШЕНИИ КОРЕННЫХ НАРОДОВ СИБИРИ ПО «УСТАВУ ОБ УПРАВЛЕНИИ ИНОРОДЦАМИ»</w:t>
      </w: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«Устав об управлении инородцами был составлен М. М. Сперанским и его ближайшим помощником инженером Г. С. Батеньковым. Они пытались как-то ограничить произвол чиновничества, усилить контроль за действиями местной администрации.</w:t>
      </w:r>
      <w:r>
        <w:rPr>
          <w:rStyle w:val="a5"/>
          <w:sz w:val="32"/>
          <w:szCs w:val="32"/>
        </w:rPr>
        <w:endnoteReference w:id="13"/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Устав 1822 г. являлся основным юридическим документом, определяв</w:t>
      </w:r>
      <w:r>
        <w:rPr>
          <w:sz w:val="32"/>
          <w:szCs w:val="32"/>
        </w:rPr>
        <w:softHyphen/>
        <w:t>шим жизнь «инородцев» в XIX в. и действовавшим почти до Октябрьской революции. Когда в 1852 г. Анненковым, после ревизии Западной Сибири, была представлена во II Сибирский комитет специальная записка о не</w:t>
      </w:r>
      <w:r>
        <w:rPr>
          <w:sz w:val="32"/>
          <w:szCs w:val="32"/>
        </w:rPr>
        <w:softHyphen/>
        <w:t>состоятельности Устава 1822 г., она не нашла отклика в правительстве, н Сибирский комитет дал указание сибирским генерал-губернаторам «иметь строгое наблюдение за точным исполнением правил Учреждения 1822 г.».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Однако записка Анненкова о несостоятельности Устава 1822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г. весьма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показательна. Стройная система регламентации Устава во многом оказа</w:t>
      </w:r>
      <w:r>
        <w:rPr>
          <w:sz w:val="32"/>
          <w:szCs w:val="32"/>
        </w:rPr>
        <w:softHyphen/>
        <w:t>лась нежизненной и неосуществимой.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Исследователи неоднократно отмечали надуманность Устава в некото</w:t>
      </w:r>
      <w:r>
        <w:rPr>
          <w:sz w:val="32"/>
          <w:szCs w:val="32"/>
        </w:rPr>
        <w:softHyphen/>
        <w:t>рых его частях. Совершенно случайным, не основанным на изучении жизни пародов Сибири, было разделение их на «оседлых», «кочевых» и «бродя</w:t>
      </w:r>
      <w:r>
        <w:rPr>
          <w:sz w:val="32"/>
          <w:szCs w:val="32"/>
        </w:rPr>
        <w:softHyphen/>
        <w:t>чих». Искусственной являлась сама рубрика «бродячие», так как бродячих пародов, передвигавшихся без определенного порядка, в России вообще не было. Искусственной была и конструкция родовых управлений, требо</w:t>
      </w:r>
      <w:r>
        <w:rPr>
          <w:sz w:val="32"/>
          <w:szCs w:val="32"/>
        </w:rPr>
        <w:softHyphen/>
        <w:t xml:space="preserve">вавшая наличия стойбища в 15 семейств.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При этой конструкции живая ткань родовой организации — у народов, у которых она вообще сохраня</w:t>
      </w:r>
      <w:r>
        <w:rPr>
          <w:sz w:val="32"/>
          <w:szCs w:val="32"/>
        </w:rPr>
        <w:softHyphen/>
        <w:t>лась,— разрывалась, более крупные роды раздроблялись, более мелкие присоединялись к другим. Прямым следствием этого являлось создание так называемых «административных родов». Вместе с тем нельзя не под</w:t>
      </w:r>
      <w:r>
        <w:rPr>
          <w:sz w:val="32"/>
          <w:szCs w:val="32"/>
        </w:rPr>
        <w:softHyphen/>
        <w:t xml:space="preserve">черкнуть, что Устав 1822 г.—единственный в своем роде законодательный документ, не имеющий аналогий в законодательствах Западной Европы и Америки.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Устав обобщал и систематизировал то, что сложилось в админи</w:t>
      </w:r>
      <w:r>
        <w:rPr>
          <w:sz w:val="32"/>
          <w:szCs w:val="32"/>
        </w:rPr>
        <w:softHyphen/>
        <w:t>стративной практике управления народностями Сибири; составители Уста</w:t>
      </w:r>
      <w:r>
        <w:rPr>
          <w:sz w:val="32"/>
          <w:szCs w:val="32"/>
        </w:rPr>
        <w:softHyphen/>
        <w:t>ва Сперанский и Батеньков не отбрасывали обычное право народов Сибири, считались с ним и стремились ограничить вмешательство чиновников в «степное управление», ограничить их злоупотребления. Фактически, прав</w:t>
      </w:r>
      <w:r>
        <w:rPr>
          <w:sz w:val="32"/>
          <w:szCs w:val="32"/>
        </w:rPr>
        <w:softHyphen/>
        <w:t>да, последнее осталось на бумаге.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Во многом Устав 1822 г. был непоследователен. В нем заметна тенден</w:t>
      </w:r>
      <w:r>
        <w:rPr>
          <w:sz w:val="32"/>
          <w:szCs w:val="32"/>
        </w:rPr>
        <w:softHyphen/>
        <w:t>ция поддержать экономику народов Сибири: запрещалось насильственно захватывать угодья «инородцев» и принудительно использовать их рабо</w:t>
      </w:r>
      <w:r>
        <w:rPr>
          <w:sz w:val="32"/>
          <w:szCs w:val="32"/>
        </w:rPr>
        <w:softHyphen/>
        <w:t xml:space="preserve">чую силу, чиновникам запрещалось торговать с ними; а целью казенной торговли ставилось «уморение вольных цен», т. е. известное ограждение торговой эксплуатации.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Появление всех этих статей вполне понятно. Хозяйство основной массы «инородцев», особенно народов Севера, ката</w:t>
      </w:r>
      <w:r>
        <w:rPr>
          <w:sz w:val="32"/>
          <w:szCs w:val="32"/>
        </w:rPr>
        <w:softHyphen/>
        <w:t>строфически разрушалось. Грозным признаком этого явились голодные годы —1810, 1811, 1814, 1816 и 1817. Росли недоимки, фискальная поли</w:t>
      </w:r>
      <w:r>
        <w:rPr>
          <w:sz w:val="32"/>
          <w:szCs w:val="32"/>
        </w:rPr>
        <w:softHyphen/>
        <w:t>тика правительства трещала по швам. Для того чтобы обеспечить посту</w:t>
      </w:r>
      <w:r>
        <w:rPr>
          <w:sz w:val="32"/>
          <w:szCs w:val="32"/>
        </w:rPr>
        <w:softHyphen/>
        <w:t>пление податей с «инородцев», нужно было как-то оградить их от торговой кабалы, которая процветала в Сибири, и обеспечить им пользование их вековыми угодьями.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Но вместе с тем, в Уставе 1822 г. все это звучало декларативно. Ника</w:t>
      </w:r>
      <w:r>
        <w:rPr>
          <w:sz w:val="32"/>
          <w:szCs w:val="32"/>
        </w:rPr>
        <w:softHyphen/>
        <w:t>ких гарантий Устав не содержал. Говоря о казенной торговле. Устав под</w:t>
      </w:r>
      <w:r>
        <w:rPr>
          <w:sz w:val="32"/>
          <w:szCs w:val="32"/>
        </w:rPr>
        <w:softHyphen/>
        <w:t>черкивал, что она не должна оказывать «ни малейшего стеснения промыш</w:t>
      </w:r>
      <w:r>
        <w:rPr>
          <w:sz w:val="32"/>
          <w:szCs w:val="32"/>
        </w:rPr>
        <w:softHyphen/>
        <w:t xml:space="preserve">ленности частных людей». Дальнейшая практика показала, что вахтеры казенных магазинов входили в сделку с купцами, вместе с ними вздували цены на продаваемые товары и беспощадно грабили так опекаемых в Уставе 1822 г. «инородцев».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Устав не содержал гарантий и по линии охра</w:t>
      </w:r>
      <w:r>
        <w:rPr>
          <w:sz w:val="32"/>
          <w:szCs w:val="32"/>
        </w:rPr>
        <w:softHyphen/>
        <w:t xml:space="preserve">ны промысловых угодий коренного населения. Во-первых, но было проведено никакого землеустройства (оно и не предполагалось Уставом), которое одно лишь могло гарантировать сохранение за «инородцами» их земель, так как владение и пользование ими не было оформлено документами. Во-вторых, сам Устав в этом отношении открывал лазейку, разрешая брать у инородцев угодья «в оброчное содержание». В-третьих, никаких реальных мер против самовольного захвата угодий Устав не предусматривал.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Все это привело к тому, что и после введения Устава 1822 года, который торжественно провозгласил, что «инородцы для каждого поколения имеют назначенные во владение земли», в широких масштабах продолжалось обезземеливание коренного населения Сибири, в том числе в Якутии. Обезземеливание проходило различными путями: через «оброчное содержание» и аренду, часто бессрочную, через куплю-продажу (характерно, что в Уставе 1822 года об этом ничего не говорится), через самовольный захват.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Обнаженно и открыто выступают в Уставе 1822 года фискальные цели, которые Устав и стремился обеспечить в первую очередь. Сбором податей и повинностей занимались все инстанции «степного управления» под прямым контролем областного управления. Сам областной начальник устанавливал, сколько с каждого рода и даже с каждой души причитается сборов.</w:t>
      </w: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Устав 1822 года не вмешивался во внутреннюю жизнь «инородцев», в их быт и традиции. «Кочующие инородцы остаются вообще на прежних их правах», «кочующие управляются по степным законам и обычаям, каждому племени свойственным», - подчеркивал Устав.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 xml:space="preserve">Устав предоставлял им свободу в вероисповедании и богослужении (что, впрочем, не приостанавливало активной политики христианизации, проводившейся в </w:t>
      </w:r>
      <w:r>
        <w:rPr>
          <w:sz w:val="32"/>
          <w:szCs w:val="32"/>
          <w:lang w:val="en-US"/>
        </w:rPr>
        <w:t>XIX</w:t>
      </w:r>
      <w:r>
        <w:rPr>
          <w:sz w:val="32"/>
          <w:szCs w:val="32"/>
        </w:rPr>
        <w:t xml:space="preserve"> веке царизмом и церковью), право судопроизводства по мелким гражданским делам.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Но вместе с тем Устав 1822 года настойчиво выдвигал и поддерживал верхушку «инородцев» – патриархально-феодальную знать: «Инородцы управляются собственными своими родоначальниками и почетными людьми, из коих составляется их степное управление».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 xml:space="preserve">Таким образом, именно в Уставе 1822 года получил законодательное оформление наметившийся еще в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веке союз правительства с патриархально-феодальной знатью народов Сибири. Поддерживая патриархально-феодальную знать, укрепляя ее привилегированное положение, Устав превращал ее в свою агентуру, проводника своей политики. Вместе с тем, он, не вполне доверяя и ей, ставил ее под строгий контроль административного и судебного имперского аппарата.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Особенно в этом отношении подчеркивалось значение земской полиции, на которую возлагаются «надзор за инородными управами и родовыми управлениями».</w:t>
      </w:r>
      <w:r>
        <w:rPr>
          <w:rStyle w:val="a5"/>
          <w:sz w:val="32"/>
          <w:szCs w:val="32"/>
        </w:rPr>
        <w:endnoteReference w:id="14"/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Устав 1822 года обобщал и систематизировал то, что сложилось в процессе административной практикиуправления народностями Сибири. Вместе с тем составители Уства Г. С. Батеньков и М. М. Сперанский стремились ограничить вмешательство чиновников в «степное управление», предотвратить их злоупотребления, упорядочить взыскание податных сборов, ограничить личную власть «главных родовых начальников» коллегиальностью «учреждение степных дум, общественные сугланы). Однако эти стремления составителей Устава не осуществились.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Царское правительство и его местная администрация по-прежнему опирались на эксплуататорскую верхушку – на «степную аристократию». Степные думы, родовые управления превращались в коллегии нойонов, которые использовали аппарат «степного управления» для своих эксплуататорских  целей.</w:t>
      </w:r>
      <w:r>
        <w:rPr>
          <w:rStyle w:val="a5"/>
          <w:sz w:val="32"/>
          <w:szCs w:val="32"/>
        </w:rPr>
        <w:endnoteReference w:id="15"/>
      </w:r>
      <w:r>
        <w:rPr>
          <w:sz w:val="32"/>
          <w:szCs w:val="32"/>
        </w:rPr>
        <w:t xml:space="preserve">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1418"/>
        <w:rPr>
          <w:sz w:val="32"/>
          <w:szCs w:val="32"/>
        </w:rPr>
      </w:pPr>
    </w:p>
    <w:p w:rsidR="002E06AC" w:rsidRDefault="002E06AC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ЗАКЛЮЧЕНИЕ</w:t>
      </w:r>
    </w:p>
    <w:p w:rsidR="002E06AC" w:rsidRDefault="002E06AC">
      <w:pPr>
        <w:ind w:firstLine="0"/>
        <w:jc w:val="center"/>
        <w:rPr>
          <w:b/>
          <w:bCs/>
          <w:sz w:val="32"/>
          <w:szCs w:val="32"/>
        </w:rPr>
      </w:pPr>
    </w:p>
    <w:p w:rsidR="002E06AC" w:rsidRDefault="002E06AC">
      <w:pPr>
        <w:spacing w:line="360" w:lineRule="auto"/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 xml:space="preserve">Итак, мы рассмотрели «Устав по управлению инородцами». Как исторический источник он имеет огромное значение, так как дает сведения об управлении коренными народами Сибири в царской России. </w:t>
      </w:r>
    </w:p>
    <w:p w:rsidR="002E06AC" w:rsidRDefault="002E06AC" w:rsidP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Благодаря этому источнику мы также можем узнать сведения о патриархально-феодальном устройстве «инородцев», о том, как разрушалось это устройство царскими властями, как происходило обезземеливание «инородцев».</w:t>
      </w:r>
    </w:p>
    <w:p w:rsidR="002E06AC" w:rsidRDefault="002E06AC" w:rsidP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Кроме того, по «Уставу» мы можем выяснить политику царизма в отношении «инородцев». «Устав» имел противоречивый характер. Несомненно, его составители имели благие цели при составлении. Но в то же время, при анализе источника, можно заметить недоработки в «Уставе», противоречия, которые впоследствии сыграли важную роль в жизни «инородцев», ухудшая их положение. Хотя, конечно, введение «Устава» регламентировало отношение с «инородцами» и ограждало их от произвола.</w:t>
      </w: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 w:rsidP="002E06AC">
      <w:pPr>
        <w:ind w:firstLine="1418"/>
        <w:rPr>
          <w:sz w:val="32"/>
          <w:szCs w:val="32"/>
        </w:rPr>
      </w:pPr>
    </w:p>
    <w:p w:rsidR="002E06AC" w:rsidRDefault="002E06AC">
      <w:pPr>
        <w:ind w:firstLine="0"/>
        <w:jc w:val="center"/>
        <w:rPr>
          <w:b/>
          <w:bCs/>
          <w:sz w:val="32"/>
          <w:szCs w:val="32"/>
        </w:rPr>
      </w:pPr>
    </w:p>
    <w:p w:rsidR="002E06AC" w:rsidRDefault="002E06AC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ПРИМЕЧАНИЯ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2E06AC" w:rsidRDefault="002E06AC">
      <w:pPr>
        <w:ind w:firstLine="1418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2E06AC" w:rsidRDefault="002E06AC">
      <w:pPr>
        <w:ind w:firstLine="1418"/>
        <w:rPr>
          <w:sz w:val="32"/>
          <w:szCs w:val="32"/>
        </w:rPr>
      </w:pPr>
      <w:bookmarkStart w:id="0" w:name="_GoBack"/>
      <w:bookmarkEnd w:id="0"/>
    </w:p>
    <w:sectPr w:rsidR="002E06AC">
      <w:headerReference w:type="default" r:id="rId7"/>
      <w:footerReference w:type="default" r:id="rId8"/>
      <w:pgSz w:w="11906" w:h="16838"/>
      <w:pgMar w:top="1134" w:right="1797" w:bottom="1134" w:left="1797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221" w:rsidRDefault="00E74221">
      <w:r>
        <w:separator/>
      </w:r>
    </w:p>
  </w:endnote>
  <w:endnote w:type="continuationSeparator" w:id="0">
    <w:p w:rsidR="00E74221" w:rsidRDefault="00E74221">
      <w:r>
        <w:continuationSeparator/>
      </w:r>
    </w:p>
  </w:endnote>
  <w:endnote w:id="1">
    <w:p w:rsidR="00E74221" w:rsidRDefault="002E06AC">
      <w:pPr>
        <w:pStyle w:val="a3"/>
        <w:jc w:val="both"/>
      </w:pPr>
      <w:r>
        <w:rPr>
          <w:rStyle w:val="a5"/>
          <w:sz w:val="32"/>
          <w:szCs w:val="32"/>
        </w:rPr>
        <w:endnoteRef/>
      </w:r>
      <w:r>
        <w:rPr>
          <w:sz w:val="32"/>
          <w:szCs w:val="32"/>
        </w:rPr>
        <w:t xml:space="preserve"> История Якутской АССР. М., 1957.</w:t>
      </w:r>
    </w:p>
  </w:endnote>
  <w:endnote w:id="2">
    <w:p w:rsidR="00E74221" w:rsidRDefault="002E06AC">
      <w:pPr>
        <w:pStyle w:val="a3"/>
        <w:jc w:val="both"/>
      </w:pPr>
      <w:r>
        <w:rPr>
          <w:rStyle w:val="a5"/>
          <w:sz w:val="32"/>
          <w:szCs w:val="32"/>
        </w:rPr>
        <w:endnoteRef/>
      </w:r>
      <w:r>
        <w:rPr>
          <w:sz w:val="32"/>
          <w:szCs w:val="32"/>
        </w:rPr>
        <w:t xml:space="preserve"> История Бурят-Монгольской АССР. Улан-Удэ, 1954.</w:t>
      </w:r>
    </w:p>
  </w:endnote>
  <w:endnote w:id="3">
    <w:p w:rsidR="00E74221" w:rsidRDefault="002E06AC">
      <w:pPr>
        <w:pStyle w:val="a3"/>
        <w:jc w:val="both"/>
      </w:pPr>
      <w:r>
        <w:rPr>
          <w:rStyle w:val="a5"/>
          <w:sz w:val="32"/>
          <w:szCs w:val="32"/>
        </w:rPr>
        <w:endnoteRef/>
      </w:r>
      <w:r>
        <w:rPr>
          <w:sz w:val="32"/>
          <w:szCs w:val="32"/>
        </w:rPr>
        <w:t xml:space="preserve"> Ерошкин Н. П. Очерки истории государственных учреждений дореволюционной России. М., 1960.</w:t>
      </w:r>
    </w:p>
  </w:endnote>
  <w:endnote w:id="4">
    <w:p w:rsidR="00E74221" w:rsidRDefault="002E06AC">
      <w:pPr>
        <w:ind w:firstLine="0"/>
      </w:pPr>
      <w:r>
        <w:rPr>
          <w:rStyle w:val="a5"/>
          <w:sz w:val="32"/>
          <w:szCs w:val="32"/>
        </w:rPr>
        <w:endnoteRef/>
      </w:r>
      <w:r>
        <w:rPr>
          <w:sz w:val="32"/>
          <w:szCs w:val="32"/>
        </w:rPr>
        <w:t xml:space="preserve"> Ерошкин Н. П. История государственных учреждений дореволюционной России. М., 1983.</w:t>
      </w:r>
    </w:p>
  </w:endnote>
  <w:endnote w:id="5">
    <w:p w:rsidR="00E74221" w:rsidRDefault="002E06AC">
      <w:pPr>
        <w:pStyle w:val="a3"/>
        <w:jc w:val="both"/>
      </w:pPr>
      <w:r>
        <w:rPr>
          <w:rStyle w:val="a5"/>
          <w:sz w:val="32"/>
          <w:szCs w:val="32"/>
        </w:rPr>
        <w:endnoteRef/>
      </w:r>
      <w:r>
        <w:rPr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>Ерошкин Н. П., Куликов Ю. В., Чернов А. В. История государственных учреждений России до Великой Октябрьской социалистической революции.</w:t>
      </w:r>
    </w:p>
  </w:endnote>
  <w:endnote w:id="6">
    <w:p w:rsidR="00E74221" w:rsidRDefault="002E06AC">
      <w:pPr>
        <w:pStyle w:val="a3"/>
        <w:jc w:val="both"/>
      </w:pPr>
      <w:r>
        <w:rPr>
          <w:rStyle w:val="a5"/>
          <w:sz w:val="32"/>
          <w:szCs w:val="32"/>
        </w:rPr>
        <w:endnoteRef/>
      </w:r>
      <w:r>
        <w:rPr>
          <w:sz w:val="32"/>
          <w:szCs w:val="32"/>
        </w:rPr>
        <w:t xml:space="preserve"> История Якутской АССР. М., 1957. С. 168.</w:t>
      </w:r>
    </w:p>
  </w:endnote>
  <w:endnote w:id="7">
    <w:p w:rsidR="00E74221" w:rsidRDefault="002E06AC">
      <w:pPr>
        <w:pStyle w:val="a3"/>
        <w:jc w:val="both"/>
      </w:pPr>
      <w:r>
        <w:rPr>
          <w:rStyle w:val="a5"/>
          <w:sz w:val="32"/>
          <w:szCs w:val="32"/>
        </w:rPr>
        <w:endnoteRef/>
      </w:r>
      <w:r>
        <w:rPr>
          <w:sz w:val="32"/>
          <w:szCs w:val="32"/>
        </w:rPr>
        <w:t xml:space="preserve"> Ерошкин Н. П. Очерки истории государственных учреждений дореволюционной России. М., 1960.С. 242 – 243.</w:t>
      </w:r>
    </w:p>
  </w:endnote>
  <w:endnote w:id="8">
    <w:p w:rsidR="00E74221" w:rsidRDefault="002E06AC">
      <w:pPr>
        <w:pStyle w:val="a3"/>
        <w:jc w:val="both"/>
      </w:pPr>
      <w:r>
        <w:rPr>
          <w:rStyle w:val="a5"/>
          <w:sz w:val="32"/>
          <w:szCs w:val="32"/>
        </w:rPr>
        <w:endnoteRef/>
      </w:r>
      <w:r>
        <w:rPr>
          <w:sz w:val="32"/>
          <w:szCs w:val="32"/>
        </w:rPr>
        <w:t xml:space="preserve"> История Якутской АССР. М., 1957. С. 168.</w:t>
      </w:r>
    </w:p>
  </w:endnote>
  <w:endnote w:id="9">
    <w:p w:rsidR="00E74221" w:rsidRDefault="002E06AC">
      <w:pPr>
        <w:pStyle w:val="a3"/>
        <w:jc w:val="both"/>
      </w:pPr>
      <w:r>
        <w:rPr>
          <w:rStyle w:val="a5"/>
          <w:sz w:val="32"/>
          <w:szCs w:val="32"/>
        </w:rPr>
        <w:endnoteRef/>
      </w:r>
      <w:r>
        <w:rPr>
          <w:sz w:val="32"/>
          <w:szCs w:val="32"/>
        </w:rPr>
        <w:t xml:space="preserve"> Там же. С. 169.</w:t>
      </w:r>
    </w:p>
  </w:endnote>
  <w:endnote w:id="10">
    <w:p w:rsidR="00E74221" w:rsidRDefault="002E06AC">
      <w:pPr>
        <w:pStyle w:val="a3"/>
        <w:jc w:val="both"/>
      </w:pPr>
      <w:r>
        <w:rPr>
          <w:rStyle w:val="a5"/>
          <w:sz w:val="32"/>
          <w:szCs w:val="32"/>
        </w:rPr>
        <w:endnoteRef/>
      </w:r>
      <w:r>
        <w:rPr>
          <w:sz w:val="32"/>
          <w:szCs w:val="32"/>
        </w:rPr>
        <w:t xml:space="preserve"> Там же. С. 170.</w:t>
      </w:r>
    </w:p>
  </w:endnote>
  <w:endnote w:id="11">
    <w:p w:rsidR="00E74221" w:rsidRDefault="002E06AC">
      <w:pPr>
        <w:pStyle w:val="a3"/>
        <w:jc w:val="both"/>
      </w:pPr>
      <w:r>
        <w:rPr>
          <w:rStyle w:val="a5"/>
          <w:sz w:val="32"/>
          <w:szCs w:val="32"/>
        </w:rPr>
        <w:endnoteRef/>
      </w:r>
      <w:r>
        <w:rPr>
          <w:sz w:val="32"/>
          <w:szCs w:val="32"/>
        </w:rPr>
        <w:t xml:space="preserve"> Там же. С. 169 – 170.</w:t>
      </w:r>
    </w:p>
  </w:endnote>
  <w:endnote w:id="12">
    <w:p w:rsidR="00E74221" w:rsidRDefault="002E06AC">
      <w:pPr>
        <w:pStyle w:val="a3"/>
        <w:jc w:val="both"/>
      </w:pPr>
      <w:r>
        <w:rPr>
          <w:rStyle w:val="a5"/>
          <w:sz w:val="32"/>
          <w:szCs w:val="32"/>
        </w:rPr>
        <w:endnoteRef/>
      </w:r>
      <w:r>
        <w:rPr>
          <w:sz w:val="32"/>
          <w:szCs w:val="32"/>
        </w:rPr>
        <w:t xml:space="preserve"> Там же. С. 171.</w:t>
      </w:r>
    </w:p>
  </w:endnote>
  <w:endnote w:id="13">
    <w:p w:rsidR="00E74221" w:rsidRDefault="002E06AC">
      <w:pPr>
        <w:pStyle w:val="a3"/>
        <w:jc w:val="both"/>
      </w:pPr>
      <w:r>
        <w:rPr>
          <w:rStyle w:val="a5"/>
          <w:sz w:val="32"/>
          <w:szCs w:val="32"/>
        </w:rPr>
        <w:endnoteRef/>
      </w:r>
      <w:r>
        <w:rPr>
          <w:sz w:val="32"/>
          <w:szCs w:val="32"/>
        </w:rPr>
        <w:t xml:space="preserve"> История Бурят-Монгольской АССР. Улан-Удэ, 1954. С. 225. С. 222.</w:t>
      </w:r>
    </w:p>
  </w:endnote>
  <w:endnote w:id="14">
    <w:p w:rsidR="00E74221" w:rsidRDefault="002E06AC">
      <w:pPr>
        <w:pStyle w:val="a3"/>
        <w:jc w:val="both"/>
      </w:pPr>
      <w:r>
        <w:rPr>
          <w:rStyle w:val="a5"/>
          <w:sz w:val="32"/>
          <w:szCs w:val="32"/>
        </w:rPr>
        <w:endnoteRef/>
      </w:r>
      <w:r>
        <w:rPr>
          <w:sz w:val="32"/>
          <w:szCs w:val="32"/>
        </w:rPr>
        <w:t xml:space="preserve"> История Якутской АССР. М., 1957. С. 172.</w:t>
      </w:r>
    </w:p>
  </w:endnote>
  <w:endnote w:id="15">
    <w:p w:rsidR="002E06AC" w:rsidRDefault="002E06AC">
      <w:pPr>
        <w:pStyle w:val="a3"/>
        <w:jc w:val="both"/>
        <w:rPr>
          <w:snapToGrid w:val="0"/>
          <w:sz w:val="28"/>
          <w:szCs w:val="28"/>
        </w:rPr>
      </w:pPr>
      <w:r>
        <w:rPr>
          <w:rStyle w:val="a5"/>
          <w:sz w:val="32"/>
          <w:szCs w:val="32"/>
        </w:rPr>
        <w:endnoteRef/>
      </w:r>
      <w:r>
        <w:rPr>
          <w:sz w:val="32"/>
          <w:szCs w:val="32"/>
        </w:rPr>
        <w:t xml:space="preserve"> История Бурят-Монгольской АССР. Улан-Удэ, 1954. С. 225.</w:t>
      </w:r>
      <w:r>
        <w:rPr>
          <w:snapToGrid w:val="0"/>
          <w:sz w:val="28"/>
          <w:szCs w:val="28"/>
        </w:rPr>
        <w:t xml:space="preserve"> </w:t>
      </w:r>
    </w:p>
    <w:p w:rsidR="002E06AC" w:rsidRDefault="002E06AC">
      <w:pPr>
        <w:pStyle w:val="a3"/>
        <w:rPr>
          <w:snapToGrid w:val="0"/>
          <w:sz w:val="28"/>
          <w:szCs w:val="28"/>
        </w:rPr>
      </w:pPr>
    </w:p>
    <w:p w:rsidR="002E06AC" w:rsidRDefault="002E06AC">
      <w:pPr>
        <w:pStyle w:val="a3"/>
        <w:rPr>
          <w:snapToGrid w:val="0"/>
          <w:sz w:val="28"/>
          <w:szCs w:val="28"/>
        </w:rPr>
      </w:pPr>
    </w:p>
    <w:p w:rsidR="002E06AC" w:rsidRDefault="002E06AC">
      <w:pPr>
        <w:pStyle w:val="a3"/>
        <w:rPr>
          <w:snapToGrid w:val="0"/>
          <w:sz w:val="28"/>
          <w:szCs w:val="28"/>
        </w:rPr>
      </w:pPr>
    </w:p>
    <w:p w:rsidR="002E06AC" w:rsidRDefault="002E06AC">
      <w:pPr>
        <w:pStyle w:val="a3"/>
        <w:rPr>
          <w:snapToGrid w:val="0"/>
          <w:sz w:val="28"/>
          <w:szCs w:val="28"/>
        </w:rPr>
      </w:pPr>
    </w:p>
    <w:p w:rsidR="002E06AC" w:rsidRDefault="002E06AC">
      <w:pPr>
        <w:pStyle w:val="a3"/>
        <w:rPr>
          <w:snapToGrid w:val="0"/>
          <w:sz w:val="28"/>
          <w:szCs w:val="28"/>
        </w:rPr>
      </w:pPr>
    </w:p>
    <w:p w:rsidR="002E06AC" w:rsidRDefault="002E06AC">
      <w:pPr>
        <w:pStyle w:val="a3"/>
        <w:rPr>
          <w:snapToGrid w:val="0"/>
          <w:sz w:val="28"/>
          <w:szCs w:val="28"/>
        </w:rPr>
      </w:pPr>
    </w:p>
    <w:p w:rsidR="002E06AC" w:rsidRDefault="002E06AC">
      <w:pPr>
        <w:pStyle w:val="a3"/>
        <w:rPr>
          <w:snapToGrid w:val="0"/>
          <w:sz w:val="28"/>
          <w:szCs w:val="28"/>
        </w:rPr>
      </w:pPr>
    </w:p>
    <w:p w:rsidR="002E06AC" w:rsidRDefault="002E06AC">
      <w:pPr>
        <w:pStyle w:val="a3"/>
        <w:rPr>
          <w:snapToGrid w:val="0"/>
          <w:sz w:val="28"/>
          <w:szCs w:val="28"/>
        </w:rPr>
      </w:pPr>
    </w:p>
    <w:p w:rsidR="002E06AC" w:rsidRDefault="002E06AC">
      <w:pPr>
        <w:pStyle w:val="a3"/>
        <w:rPr>
          <w:snapToGrid w:val="0"/>
          <w:sz w:val="28"/>
          <w:szCs w:val="28"/>
        </w:rPr>
      </w:pPr>
    </w:p>
    <w:p w:rsidR="002E06AC" w:rsidRDefault="002E06AC">
      <w:pPr>
        <w:pStyle w:val="a3"/>
        <w:rPr>
          <w:snapToGrid w:val="0"/>
          <w:sz w:val="28"/>
          <w:szCs w:val="28"/>
        </w:rPr>
      </w:pPr>
    </w:p>
    <w:p w:rsidR="002E06AC" w:rsidRDefault="002E06AC">
      <w:pPr>
        <w:pStyle w:val="a3"/>
        <w:rPr>
          <w:snapToGrid w:val="0"/>
          <w:sz w:val="28"/>
          <w:szCs w:val="28"/>
        </w:rPr>
      </w:pPr>
    </w:p>
    <w:p w:rsidR="002E06AC" w:rsidRDefault="002E06AC">
      <w:pPr>
        <w:pStyle w:val="a3"/>
        <w:rPr>
          <w:snapToGrid w:val="0"/>
          <w:sz w:val="28"/>
          <w:szCs w:val="28"/>
        </w:rPr>
      </w:pPr>
    </w:p>
    <w:p w:rsidR="002E06AC" w:rsidRDefault="002E06AC">
      <w:pPr>
        <w:pStyle w:val="a3"/>
        <w:rPr>
          <w:snapToGrid w:val="0"/>
          <w:sz w:val="28"/>
          <w:szCs w:val="28"/>
        </w:rPr>
      </w:pPr>
    </w:p>
    <w:p w:rsidR="002E06AC" w:rsidRDefault="002E06AC">
      <w:pPr>
        <w:pStyle w:val="a3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СПИСОК ЛИТЕРАТУРЫ</w:t>
      </w:r>
    </w:p>
    <w:p w:rsidR="002E06AC" w:rsidRDefault="002E06AC">
      <w:pPr>
        <w:pStyle w:val="a3"/>
        <w:rPr>
          <w:sz w:val="28"/>
          <w:szCs w:val="28"/>
        </w:rPr>
      </w:pPr>
    </w:p>
    <w:p w:rsidR="002E06AC" w:rsidRDefault="002E06AC">
      <w:pPr>
        <w:pStyle w:val="a3"/>
        <w:rPr>
          <w:sz w:val="28"/>
          <w:szCs w:val="28"/>
        </w:rPr>
      </w:pPr>
    </w:p>
    <w:p w:rsidR="002E06AC" w:rsidRDefault="002E06AC">
      <w:pPr>
        <w:pStyle w:val="a3"/>
        <w:rPr>
          <w:sz w:val="28"/>
          <w:szCs w:val="28"/>
        </w:rPr>
      </w:pPr>
    </w:p>
    <w:p w:rsidR="002E06AC" w:rsidRDefault="002E06AC">
      <w:pPr>
        <w:pStyle w:val="a3"/>
        <w:rPr>
          <w:sz w:val="28"/>
          <w:szCs w:val="28"/>
        </w:rPr>
      </w:pPr>
    </w:p>
    <w:p w:rsidR="002E06AC" w:rsidRDefault="002E06AC">
      <w:pPr>
        <w:pStyle w:val="a3"/>
        <w:jc w:val="both"/>
        <w:rPr>
          <w:snapToGrid w:val="0"/>
          <w:sz w:val="32"/>
          <w:szCs w:val="32"/>
        </w:rPr>
      </w:pPr>
      <w:r>
        <w:rPr>
          <w:sz w:val="32"/>
          <w:szCs w:val="32"/>
        </w:rPr>
        <w:t>1. История Бурят-Монгольской АССР. Улан-Удэ, 1954.</w:t>
      </w:r>
    </w:p>
    <w:p w:rsidR="002E06AC" w:rsidRDefault="002E06AC">
      <w:pPr>
        <w:pStyle w:val="a3"/>
        <w:jc w:val="both"/>
        <w:rPr>
          <w:sz w:val="32"/>
          <w:szCs w:val="32"/>
        </w:rPr>
      </w:pPr>
    </w:p>
    <w:p w:rsidR="002E06AC" w:rsidRDefault="002E06A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2. История Якутской АССР. М., 1957.</w:t>
      </w:r>
    </w:p>
    <w:p w:rsidR="002E06AC" w:rsidRDefault="002E06AC">
      <w:pPr>
        <w:pStyle w:val="a3"/>
        <w:jc w:val="both"/>
        <w:rPr>
          <w:sz w:val="32"/>
          <w:szCs w:val="32"/>
        </w:rPr>
      </w:pPr>
    </w:p>
    <w:p w:rsidR="002E06AC" w:rsidRDefault="002E06A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3. Ерошкин Н. П. История государственных учреждений дореволюционной России. М., 1983.</w:t>
      </w:r>
    </w:p>
    <w:p w:rsidR="002E06AC" w:rsidRDefault="002E06AC">
      <w:pPr>
        <w:pStyle w:val="a3"/>
        <w:jc w:val="both"/>
        <w:rPr>
          <w:sz w:val="32"/>
          <w:szCs w:val="32"/>
        </w:rPr>
      </w:pPr>
    </w:p>
    <w:p w:rsidR="002E06AC" w:rsidRDefault="002E06A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4. Ерошкин Н. П. Очерки истории государственных учреждений дореволюционной России. М., 1960.</w:t>
      </w:r>
    </w:p>
    <w:p w:rsidR="002E06AC" w:rsidRDefault="002E06AC">
      <w:pPr>
        <w:pStyle w:val="a3"/>
        <w:jc w:val="both"/>
        <w:rPr>
          <w:snapToGrid w:val="0"/>
          <w:sz w:val="32"/>
          <w:szCs w:val="32"/>
        </w:rPr>
      </w:pPr>
    </w:p>
    <w:p w:rsidR="00E74221" w:rsidRDefault="002E06AC">
      <w:pPr>
        <w:pStyle w:val="a3"/>
        <w:jc w:val="both"/>
      </w:pPr>
      <w:r>
        <w:rPr>
          <w:snapToGrid w:val="0"/>
          <w:sz w:val="32"/>
          <w:szCs w:val="32"/>
        </w:rPr>
        <w:t>5. Ерошкин Н. П., Куликов Ю. В., Чернов А. В. История государственных учреждений России до Великой Октябрьской социалистической революции. М., 1965.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AC" w:rsidRDefault="00454EE0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2E06AC" w:rsidRDefault="002E06A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221" w:rsidRDefault="00E74221">
      <w:r>
        <w:separator/>
      </w:r>
    </w:p>
  </w:footnote>
  <w:footnote w:type="continuationSeparator" w:id="0">
    <w:p w:rsidR="00E74221" w:rsidRDefault="00E74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AC" w:rsidRPr="001C0BB3" w:rsidRDefault="002E06AC" w:rsidP="001C0B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E0409"/>
    <w:multiLevelType w:val="singleLevel"/>
    <w:tmpl w:val="1ECCCB8C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2B995006"/>
    <w:multiLevelType w:val="singleLevel"/>
    <w:tmpl w:val="9508CCAA"/>
    <w:lvl w:ilvl="0">
      <w:start w:val="1"/>
      <w:numFmt w:val="decimal"/>
      <w:lvlText w:val="%1)"/>
      <w:lvlJc w:val="left"/>
      <w:pPr>
        <w:tabs>
          <w:tab w:val="num" w:pos="1883"/>
        </w:tabs>
        <w:ind w:left="1883" w:hanging="4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BB3"/>
    <w:rsid w:val="001C0BB3"/>
    <w:rsid w:val="002E06AC"/>
    <w:rsid w:val="00454EE0"/>
    <w:rsid w:val="00CC1374"/>
    <w:rsid w:val="00E74221"/>
    <w:rsid w:val="00E8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0A66F2-3091-4A4F-AECA-04784F9C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240"/>
      <w:jc w:val="both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pPr>
      <w:ind w:firstLine="0"/>
      <w:jc w:val="left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rPr>
      <w:sz w:val="20"/>
      <w:szCs w:val="20"/>
    </w:rPr>
  </w:style>
  <w:style w:type="character" w:styleId="a5">
    <w:name w:val="endnote reference"/>
    <w:uiPriority w:val="99"/>
    <w:semiHidden/>
    <w:rPr>
      <w:vertAlign w:val="superscript"/>
    </w:rPr>
  </w:style>
  <w:style w:type="paragraph" w:styleId="a6">
    <w:name w:val="footer"/>
    <w:basedOn w:val="a"/>
    <w:link w:val="a7"/>
    <w:uiPriority w:val="99"/>
    <w:pPr>
      <w:tabs>
        <w:tab w:val="center" w:pos="4320"/>
        <w:tab w:val="right" w:pos="8640"/>
      </w:tabs>
      <w:ind w:firstLine="0"/>
      <w:jc w:val="left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rPr>
      <w:sz w:val="16"/>
      <w:szCs w:val="16"/>
    </w:rPr>
  </w:style>
  <w:style w:type="character" w:styleId="a8">
    <w:name w:val="page number"/>
    <w:uiPriority w:val="99"/>
  </w:style>
  <w:style w:type="paragraph" w:styleId="a9">
    <w:name w:val="Title"/>
    <w:basedOn w:val="a"/>
    <w:link w:val="aa"/>
    <w:uiPriority w:val="99"/>
    <w:qFormat/>
    <w:pPr>
      <w:ind w:firstLine="0"/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 </Company>
  <LinksUpToDate>false</LinksUpToDate>
  <CharactersWithSpaces>21300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Thanks to wcd80@iname.com</dc:creator>
  <cp:keywords/>
  <dc:description/>
  <cp:lastModifiedBy>admin</cp:lastModifiedBy>
  <cp:revision>2</cp:revision>
  <dcterms:created xsi:type="dcterms:W3CDTF">2014-02-20T21:30:00Z</dcterms:created>
  <dcterms:modified xsi:type="dcterms:W3CDTF">2014-02-20T21:30:00Z</dcterms:modified>
</cp:coreProperties>
</file>