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D16" w:rsidRDefault="00EF0F80" w:rsidP="00C32D16">
      <w:pPr>
        <w:pStyle w:val="a8"/>
      </w:pPr>
      <w:r w:rsidRPr="00C32D16">
        <w:t>Содержание</w:t>
      </w:r>
    </w:p>
    <w:p w:rsidR="00EF0F80" w:rsidRPr="00C32D16" w:rsidRDefault="00EF0F80" w:rsidP="00C32D16">
      <w:pPr>
        <w:pStyle w:val="a8"/>
      </w:pPr>
    </w:p>
    <w:p w:rsidR="00EF0F80" w:rsidRPr="00C32D16" w:rsidRDefault="00EF0F80" w:rsidP="00080FA8">
      <w:pPr>
        <w:pStyle w:val="a8"/>
        <w:tabs>
          <w:tab w:val="left" w:leader="dot" w:pos="9214"/>
        </w:tabs>
        <w:ind w:firstLine="0"/>
        <w:jc w:val="left"/>
      </w:pPr>
      <w:r w:rsidRPr="00C32D16">
        <w:t>Введение</w:t>
      </w:r>
    </w:p>
    <w:p w:rsidR="00EF0F80" w:rsidRPr="00C32D16" w:rsidRDefault="00EF0F80" w:rsidP="00080FA8">
      <w:pPr>
        <w:pStyle w:val="a8"/>
        <w:tabs>
          <w:tab w:val="left" w:leader="dot" w:pos="9214"/>
        </w:tabs>
        <w:ind w:firstLine="0"/>
        <w:jc w:val="left"/>
      </w:pPr>
      <w:r w:rsidRPr="00C32D16">
        <w:t>1 Понятие страховой организации, ее инвестиционные ресурсы</w:t>
      </w:r>
    </w:p>
    <w:p w:rsidR="00EF0F80" w:rsidRPr="00C32D16" w:rsidRDefault="00EF0F80" w:rsidP="00774420">
      <w:pPr>
        <w:pStyle w:val="a8"/>
        <w:tabs>
          <w:tab w:val="left" w:leader="dot" w:pos="9072"/>
        </w:tabs>
        <w:ind w:firstLine="0"/>
        <w:jc w:val="left"/>
      </w:pPr>
      <w:r w:rsidRPr="00C32D16">
        <w:t>2 Структура и эффективность инвестиций российских страховых организаций</w:t>
      </w:r>
    </w:p>
    <w:p w:rsidR="00EF0F80" w:rsidRPr="00C32D16" w:rsidRDefault="00EF0F80" w:rsidP="00774420">
      <w:pPr>
        <w:pStyle w:val="a8"/>
        <w:tabs>
          <w:tab w:val="left" w:leader="dot" w:pos="9072"/>
        </w:tabs>
        <w:ind w:firstLine="0"/>
        <w:jc w:val="left"/>
      </w:pPr>
      <w:r w:rsidRPr="00C32D16">
        <w:t>3 Управление инвестиционным потенциалом страховых организаций</w:t>
      </w:r>
    </w:p>
    <w:p w:rsidR="00EF0F80" w:rsidRPr="00C32D16" w:rsidRDefault="00EF0F80" w:rsidP="00774420">
      <w:pPr>
        <w:pStyle w:val="a8"/>
        <w:tabs>
          <w:tab w:val="left" w:leader="dot" w:pos="9072"/>
        </w:tabs>
        <w:ind w:firstLine="0"/>
        <w:jc w:val="left"/>
      </w:pPr>
      <w:r w:rsidRPr="00C32D16">
        <w:t>Заключение</w:t>
      </w:r>
    </w:p>
    <w:p w:rsidR="00EF0F80" w:rsidRPr="00C32D16" w:rsidRDefault="00EF0F80" w:rsidP="00774420">
      <w:pPr>
        <w:pStyle w:val="a8"/>
        <w:tabs>
          <w:tab w:val="left" w:leader="dot" w:pos="9072"/>
        </w:tabs>
        <w:ind w:firstLine="0"/>
        <w:jc w:val="left"/>
      </w:pPr>
      <w:r w:rsidRPr="00C32D16">
        <w:t>Список использованной литературы</w:t>
      </w:r>
    </w:p>
    <w:p w:rsidR="00EF0F80" w:rsidRPr="00C32D16" w:rsidRDefault="00EF0F80" w:rsidP="00C32D16">
      <w:pPr>
        <w:pStyle w:val="a8"/>
      </w:pPr>
    </w:p>
    <w:p w:rsidR="00C32D16" w:rsidRDefault="00774420" w:rsidP="00C32D16">
      <w:pPr>
        <w:pStyle w:val="a8"/>
      </w:pPr>
      <w:r>
        <w:br w:type="page"/>
      </w:r>
      <w:r w:rsidR="00EF0F80" w:rsidRPr="00C32D16">
        <w:t>Введение</w:t>
      </w:r>
    </w:p>
    <w:p w:rsidR="00EF0F80" w:rsidRPr="00C32D16" w:rsidRDefault="00EF0F80" w:rsidP="00C32D16">
      <w:pPr>
        <w:pStyle w:val="a8"/>
      </w:pPr>
    </w:p>
    <w:p w:rsidR="003B170D" w:rsidRPr="00C32D16" w:rsidRDefault="003B170D" w:rsidP="00C32D16">
      <w:pPr>
        <w:pStyle w:val="a8"/>
      </w:pPr>
      <w:r w:rsidRPr="00C32D16">
        <w:t>Страхование – один из видов экономических отношений. Страхование – система мероприятий по созданию денежного (страхового) фонда, из средств которого осуществляются возмещение ущерба и выплата денежных сумм в результате стихийных бедствий, несчастных случаев, наступления других событий. Страхование предполагает наличие двух сторон. Одной из них является специальная организация, которая создает и использует денежный фонд.</w:t>
      </w:r>
      <w:r w:rsidR="009A5083" w:rsidRPr="00C32D16">
        <w:t xml:space="preserve"> Это страховая организация.</w:t>
      </w:r>
    </w:p>
    <w:p w:rsidR="009A5083" w:rsidRPr="00C32D16" w:rsidRDefault="009A5083" w:rsidP="00C32D16">
      <w:pPr>
        <w:pStyle w:val="a8"/>
      </w:pPr>
      <w:r w:rsidRPr="00C32D16">
        <w:t>Помимо своей основной деятельности – страхование населения, имущества, страховая организация принимает активное участие в инвестиционном процессе.</w:t>
      </w:r>
    </w:p>
    <w:p w:rsidR="008D5537" w:rsidRPr="00C32D16" w:rsidRDefault="008D5537" w:rsidP="00C32D16">
      <w:pPr>
        <w:pStyle w:val="a8"/>
      </w:pPr>
      <w:r w:rsidRPr="00C32D16">
        <w:t>Важным фактором повышения эффективности страхового бизнеса, а также финансовой привлекательности страховых продуктов является активизация инвестиционной деятельности страховых организаций в различных сферах финансового рынка.</w:t>
      </w:r>
    </w:p>
    <w:p w:rsidR="008D5537" w:rsidRPr="00C32D16" w:rsidRDefault="008D5537" w:rsidP="00C32D16">
      <w:pPr>
        <w:pStyle w:val="a8"/>
      </w:pPr>
      <w:r w:rsidRPr="00C32D16">
        <w:t>Страховая организация наряду с другими институтами (банками, биржами, инвестиционными фондами) составляет органичный элемент финансовой системы общественного хозяйства. Принцип аккумулирования и последующего распределения значительных денежных потоков предопределяет состав и структуру капитала страховой организации, выделяя в качестве его основной ведущей части финансовые ресурсы.</w:t>
      </w:r>
    </w:p>
    <w:p w:rsidR="008D5537" w:rsidRPr="00C32D16" w:rsidRDefault="008D5537" w:rsidP="00C32D16">
      <w:pPr>
        <w:pStyle w:val="a8"/>
      </w:pPr>
      <w:r w:rsidRPr="00C32D16">
        <w:t>Кругооборот средств страховой организации не ограничивается осуществлением страховых операций, он усложняется вовлеченностью ее в инвестиционный процесс.</w:t>
      </w:r>
    </w:p>
    <w:p w:rsidR="00C32D16" w:rsidRDefault="008D5537" w:rsidP="00C32D16">
      <w:pPr>
        <w:pStyle w:val="a8"/>
      </w:pPr>
      <w:r w:rsidRPr="00C32D16">
        <w:t>Проводя инвестиционные операции и извлекая прибыль от них, страховщики в то же время оказываются в значительной степени зависимыми от положения дел на денежное и финансовом рынках, неся инвестиционный риск. Это вынуждает их к проведению достаточно осторожной инвестиционной политики. Основными требованиями, которым должна отвечать инвестиционная политика страховых организаций, являются надежность и доходность. С одной стороны, потеря средств, инвестированных страховщиком, может привести к невыполнению им своих обязательств по договорам страхования и к банкротству. С другой стороны, страховая компания заинтересована в получении как можно большего дохода от вложенных средств. В то же время, как правило, высокий доход сопутствует низкому уровню надежности. Поэтому страховщик должен гармонизировать указанные цели, что достигается путем осуществления оптимизационных расчетов. При этом принципами, которыми должны руководствоваться страховщики при осуществлении инвестиционной деятельности, являются диверсификация, возвратность, прибыльность и ликвидность.</w:t>
      </w:r>
    </w:p>
    <w:p w:rsidR="008D5537" w:rsidRPr="00C32D16" w:rsidRDefault="008D5537" w:rsidP="00C32D16">
      <w:pPr>
        <w:pStyle w:val="a8"/>
      </w:pPr>
      <w:r w:rsidRPr="00C32D16">
        <w:t>Основополагающее значение при осуществлении инвестиционной деятельности имеет оценка риска потери средств из-за неплатежеспособности организаций, в которые вложены средства страховщиков. Для осуществления таких оценок используются методики анализа платежеспособности, а также экспертные оценки специалистов, которые должны исходить не только из текущего состояния дел, но и из перспектив его изменения.</w:t>
      </w:r>
    </w:p>
    <w:p w:rsidR="00EF0F80" w:rsidRPr="00C32D16" w:rsidRDefault="009A5083" w:rsidP="00C32D16">
      <w:pPr>
        <w:pStyle w:val="a8"/>
      </w:pPr>
      <w:r w:rsidRPr="00C32D16">
        <w:t>Целью работы является изучение инвестиционного потенциала страховых организаций России.</w:t>
      </w:r>
    </w:p>
    <w:p w:rsidR="009A5083" w:rsidRPr="00C32D16" w:rsidRDefault="009A5083" w:rsidP="00C32D16">
      <w:pPr>
        <w:pStyle w:val="a8"/>
      </w:pPr>
      <w:r w:rsidRPr="00C32D16">
        <w:t>Для достижения поставленной цели необходимо решить следующие задачи:</w:t>
      </w:r>
    </w:p>
    <w:p w:rsidR="009A5083" w:rsidRPr="00C32D16" w:rsidRDefault="009A5083" w:rsidP="00C32D16">
      <w:pPr>
        <w:pStyle w:val="a8"/>
      </w:pPr>
      <w:r w:rsidRPr="00C32D16">
        <w:t>рассмотреть понятие страховой организации, структуру е</w:t>
      </w:r>
      <w:r w:rsidR="009C51D2">
        <w:t>е</w:t>
      </w:r>
      <w:r w:rsidRPr="00C32D16">
        <w:t xml:space="preserve"> инвести</w:t>
      </w:r>
      <w:r w:rsidR="009C51D2">
        <w:t>ц</w:t>
      </w:r>
      <w:r w:rsidRPr="00C32D16">
        <w:t>ионных ресурсов;</w:t>
      </w:r>
    </w:p>
    <w:p w:rsidR="009A5083" w:rsidRPr="00C32D16" w:rsidRDefault="009A5083" w:rsidP="00C32D16">
      <w:pPr>
        <w:pStyle w:val="a8"/>
      </w:pPr>
      <w:r w:rsidRPr="00C32D16">
        <w:t>рассмотреть законодательные ограничения по структуре вложений страховой организации;</w:t>
      </w:r>
    </w:p>
    <w:p w:rsidR="009A5083" w:rsidRPr="00C32D16" w:rsidRDefault="009A5083" w:rsidP="00C32D16">
      <w:pPr>
        <w:pStyle w:val="a8"/>
      </w:pPr>
      <w:r w:rsidRPr="00C32D16">
        <w:t>рассмотреть динамику и структуру инвестиций российских страх</w:t>
      </w:r>
      <w:r w:rsidR="00C91CF0">
        <w:t>о</w:t>
      </w:r>
      <w:r w:rsidRPr="00C32D16">
        <w:t>вых компаний;</w:t>
      </w:r>
    </w:p>
    <w:p w:rsidR="009A5083" w:rsidRPr="00C32D16" w:rsidRDefault="009A5083" w:rsidP="00C32D16">
      <w:pPr>
        <w:pStyle w:val="a8"/>
      </w:pPr>
      <w:r w:rsidRPr="00C32D16">
        <w:t>изучить основные способы управления инвестиционным потенциалом страховых организаций.</w:t>
      </w:r>
    </w:p>
    <w:p w:rsidR="007200EB" w:rsidRPr="00C32D16" w:rsidRDefault="00774420" w:rsidP="00C32D16">
      <w:pPr>
        <w:pStyle w:val="a8"/>
      </w:pPr>
      <w:r>
        <w:br w:type="page"/>
      </w:r>
      <w:r w:rsidR="00EF0F80" w:rsidRPr="00C32D16">
        <w:t>1 Понятие страховой организации, ее инвестиционные ресурсы</w:t>
      </w:r>
    </w:p>
    <w:p w:rsidR="00C836D4" w:rsidRPr="00C32D16" w:rsidRDefault="00C836D4" w:rsidP="00C32D16">
      <w:pPr>
        <w:pStyle w:val="a8"/>
      </w:pPr>
    </w:p>
    <w:p w:rsidR="00EF0F80" w:rsidRPr="00C32D16" w:rsidRDefault="00EF0F80" w:rsidP="00C32D16">
      <w:pPr>
        <w:pStyle w:val="a8"/>
      </w:pPr>
      <w:r w:rsidRPr="00C32D16">
        <w:t>Страховщиками признаются юридические лица любой организационно-правовой формы, предусмотренной законодательством Российской Федерации, созданные для осуществления страховой деятельности (страховые организации и общества взаимного страхования) и получившие в установленном настоящим Законом порядке лицензию на осуществление страховой деятельности на территории Российской Федерации.</w:t>
      </w:r>
    </w:p>
    <w:p w:rsidR="00EF0F80" w:rsidRPr="00C32D16" w:rsidRDefault="00EF0F80" w:rsidP="00C32D16">
      <w:pPr>
        <w:pStyle w:val="a8"/>
      </w:pPr>
      <w:r w:rsidRPr="00C32D16">
        <w:t>Для обеспечения выполнения принятых страховых обязательств страховщики образуют из полученных страховых взносов необходимые для предстоящих страховых выплат страховые резервы по личному страхованию, имущественному страхованию и страхованию ответственности. В аналогичном порядке страховщики вправе создавать резервы для финансирования мероприятий по предупреждению несчастных случаев, утраты или повреждения застрахованного имущества.</w:t>
      </w:r>
    </w:p>
    <w:p w:rsidR="00EF0F80" w:rsidRPr="00C32D16" w:rsidRDefault="00EF0F80" w:rsidP="00C32D16">
      <w:pPr>
        <w:pStyle w:val="a8"/>
      </w:pPr>
      <w:r w:rsidRPr="00C32D16">
        <w:t>Страховщики вправе инвестировать или иным образом размещать страховые резервы и другие средства</w:t>
      </w:r>
      <w:r w:rsidR="00A577BD" w:rsidRPr="00C32D16">
        <w:t>.</w:t>
      </w:r>
    </w:p>
    <w:p w:rsidR="00A577BD" w:rsidRPr="00C32D16" w:rsidRDefault="002352EE" w:rsidP="00C32D16">
      <w:pPr>
        <w:pStyle w:val="a8"/>
      </w:pPr>
      <w:r w:rsidRPr="00C32D16">
        <w:t>Инвестиционная политика страховых компаний должна отвечать принципам диверсификации, возвратности, прибыльности и ликвид</w:t>
      </w:r>
      <w:r w:rsidR="00C836D4" w:rsidRPr="00C32D16">
        <w:t>ности</w:t>
      </w:r>
      <w:r w:rsidR="00950F4B" w:rsidRPr="00C32D16">
        <w:t xml:space="preserve"> [14, с.32]</w:t>
      </w:r>
      <w:r w:rsidR="00C836D4" w:rsidRPr="00C32D16">
        <w:t>. Это в полной мере распро</w:t>
      </w:r>
      <w:r w:rsidRPr="00C32D16">
        <w:t>страняется как на активы, покрывающие страховые резервы, так и на свободные активы.</w:t>
      </w:r>
    </w:p>
    <w:p w:rsidR="00C836D4" w:rsidRPr="00C32D16" w:rsidRDefault="002352EE" w:rsidP="00C32D16">
      <w:pPr>
        <w:pStyle w:val="a8"/>
      </w:pPr>
      <w:r w:rsidRPr="00C32D16">
        <w:t>Принцип диверсификации вложений заключается в распределении инвестиционных рисков для достижения большей устойчивости инвестиционного портфеля. Согласно этому принципу не должно допускаться превалирование какого-либо вида или объекта вложений: не допускаются региональная, отраслевая и иная концентрация.</w:t>
      </w:r>
    </w:p>
    <w:p w:rsidR="00C836D4" w:rsidRPr="00C32D16" w:rsidRDefault="002352EE" w:rsidP="00C32D16">
      <w:pPr>
        <w:pStyle w:val="a8"/>
      </w:pPr>
      <w:r w:rsidRPr="00C32D16">
        <w:t>Принцип возвратности подразумевает максимально надежное размещение активов, обеспечивающее их возврат в полном объеме.</w:t>
      </w:r>
    </w:p>
    <w:p w:rsidR="00C836D4" w:rsidRPr="00C32D16" w:rsidRDefault="002352EE" w:rsidP="00C32D16">
      <w:pPr>
        <w:pStyle w:val="a8"/>
      </w:pPr>
      <w:r w:rsidRPr="00C32D16">
        <w:t xml:space="preserve">Принцип ликвидности </w:t>
      </w:r>
      <w:r w:rsidR="00C836D4" w:rsidRPr="00C32D16">
        <w:t>предполагает та</w:t>
      </w:r>
      <w:r w:rsidRPr="00C32D16">
        <w:t>кую структуру вложений, чтобы в любое время имелась достаточная величина ликвидных средств или капитальных вложений, легко обращаемых в ликвидные средства.</w:t>
      </w:r>
    </w:p>
    <w:p w:rsidR="002352EE" w:rsidRPr="00C32D16" w:rsidRDefault="002352EE" w:rsidP="00C32D16">
      <w:pPr>
        <w:pStyle w:val="a8"/>
      </w:pPr>
      <w:r w:rsidRPr="00C32D16">
        <w:t>Принцип прибыльности заключается в макс</w:t>
      </w:r>
      <w:r w:rsidR="00C836D4" w:rsidRPr="00C32D16">
        <w:t>имизации рентабельности инвести</w:t>
      </w:r>
      <w:r w:rsidRPr="00C32D16">
        <w:t>ций при обеспечении остальных принципов с учетом ситуации на рынке капиталовложений. Другими словами, страховщики в своей инвестиционной деятельности при управлении средствами страховых резервов должны обеспечивать высокую рентабельность вложений, позволяющую сохранить реальную стоимость вложенных средств в течение времени инвестирования, и в случае необходимости иметь возможность легко и быстро реализовать активы</w:t>
      </w:r>
      <w:r w:rsidR="00950F4B" w:rsidRPr="00C32D16">
        <w:t xml:space="preserve"> [14, с.32]</w:t>
      </w:r>
      <w:r w:rsidRPr="00C32D16">
        <w:t>.</w:t>
      </w:r>
    </w:p>
    <w:p w:rsidR="007200EB" w:rsidRPr="00C32D16" w:rsidRDefault="007200EB" w:rsidP="00C32D16">
      <w:pPr>
        <w:pStyle w:val="a8"/>
      </w:pPr>
      <w:r w:rsidRPr="00C32D16">
        <w:t>При рассмотрении возможностей использования средств страховщиков в качеств инвестиционных ресурсов важно, прежде всего, анализировать структуру мобилизуемых ими на эти цели средств с точки зрения требований к объектам инвестирования.</w:t>
      </w:r>
    </w:p>
    <w:p w:rsidR="0011179B" w:rsidRPr="00C32D16" w:rsidRDefault="0011179B" w:rsidP="00C32D16">
      <w:pPr>
        <w:pStyle w:val="a8"/>
      </w:pPr>
      <w:r w:rsidRPr="00C32D16">
        <w:t>Страховые компании располагают собственными и привлеченными инвестиционными ресурсами. Собственные финансовые ресурсы страховщика – это в основном его уставный капитал, а его привлеченные инвестиционные ресурсы – это резервы страховой организации.</w:t>
      </w:r>
    </w:p>
    <w:p w:rsidR="007200EB" w:rsidRPr="00C32D16" w:rsidRDefault="007200EB" w:rsidP="00C32D16">
      <w:pPr>
        <w:pStyle w:val="a8"/>
      </w:pPr>
      <w:r w:rsidRPr="00C32D16">
        <w:t>Средства страховых резервов являются наиболее крупным источником инвестиционных ресурсов страховщиков. На страховые резервы приходится более половины источников средств страховых организаций.</w:t>
      </w:r>
    </w:p>
    <w:p w:rsidR="00FD7BD4" w:rsidRPr="00C32D16" w:rsidRDefault="00FD7BD4" w:rsidP="00C32D16">
      <w:pPr>
        <w:pStyle w:val="a8"/>
      </w:pPr>
      <w:r w:rsidRPr="00C32D16">
        <w:t>Страховые резервы страховых организаций на 1.07.2006 г. возросли за 2003-2006 гг. в 1,6 раза, составив 340,3 млрд руб. Среднегодовые темпы роста страховых резервов за анализируемый период достигли 16%. Уровень доли резервов в валовом внутреннем продукте – 1,5%</w:t>
      </w:r>
      <w:r w:rsidR="00950F4B" w:rsidRPr="00C32D16">
        <w:t xml:space="preserve"> [10, с.8]</w:t>
      </w:r>
      <w:r w:rsidRPr="00C32D16">
        <w:t>.</w:t>
      </w:r>
    </w:p>
    <w:p w:rsidR="007200EB" w:rsidRPr="00C32D16" w:rsidRDefault="007200EB" w:rsidP="00C32D16">
      <w:pPr>
        <w:pStyle w:val="a8"/>
      </w:pPr>
      <w:r w:rsidRPr="00C32D16">
        <w:t>Основная часть страховых резервов по видам страхования иным, чем страхование жизни, учитывая, что сроки, на которые заключаются такие договоры, как правило, не превышают одного года, используется обычно в течение года со дня их поступления. При этом следует иметь в виду, что определенная часть таких ресурсов может потребоваться в любой момент для осуществления страховых выплат по договорам страхования, поскольку страховой случай может произойти даже на следующий день после заключения договора.</w:t>
      </w:r>
    </w:p>
    <w:p w:rsidR="007200EB" w:rsidRPr="00C32D16" w:rsidRDefault="007200EB" w:rsidP="00C32D16">
      <w:pPr>
        <w:pStyle w:val="a8"/>
      </w:pPr>
      <w:r w:rsidRPr="00C32D16">
        <w:t>Следовательно, средства, полученные страховщиками по договорам страхования иного, чем страхование жизни, могут быть инвестированы, главным образом, в высоколиквидные, средне- и краткосрочные активы. Данные вложения должны удовлетворять срочные и внезапные потребности страховых компаний в денежных средствах, например, для осуществления страховых выплат</w:t>
      </w:r>
      <w:r w:rsidR="00AE31EB" w:rsidRPr="00C32D16">
        <w:t xml:space="preserve"> [15, с.43]</w:t>
      </w:r>
      <w:r w:rsidRPr="00C32D16">
        <w:t>.</w:t>
      </w:r>
    </w:p>
    <w:p w:rsidR="007200EB" w:rsidRPr="00C32D16" w:rsidRDefault="007200EB" w:rsidP="00C32D16">
      <w:pPr>
        <w:pStyle w:val="a8"/>
      </w:pPr>
      <w:r w:rsidRPr="00C32D16">
        <w:t>Исключение из этого правила, да и то с определенными оговорками, может быть сделано лишь в отношении средств, аккумулированных в стабилизационных резервах и резервах выравнивания убытков. Эти резервы предназначены для обеспечения выполнения страховщиками своих обязательств по договорам страхования лишь в тех случаях, когда текущих поступлении страховых взносов окажется недостаточно, а потому при благоприятном развитии событий такие резервы могут быть использованы частично и для более долгосрочных инвестиций. Это же касается и части резервов незаработанной премии в ситуации постоянного роста объема страховых операций, поскольку в подобной ситуации часть данных средств носит постоянный характер.</w:t>
      </w:r>
    </w:p>
    <w:p w:rsidR="007200EB" w:rsidRPr="00C32D16" w:rsidRDefault="007200EB" w:rsidP="00C32D16">
      <w:pPr>
        <w:pStyle w:val="a8"/>
      </w:pPr>
      <w:r w:rsidRPr="00C32D16">
        <w:t xml:space="preserve">По-иному обстоит дело со страховыми взносами, поступающими по договорам страхования жизни (в случаях, когда данное страхование не используется для целей оптимизации налогообложения страхователей). Особенностями страхования жизни являются, во-первых, длительный срок действия договоров: 5-10-15 и более лет, и, во-вторых, наступление обязательств по страховым выплатам в основной их части лишь по окончании действия договоров или в другие заранее оговоренные сроки, значительно отнесенные по времени от даты начала уплаты страховых взносов. Это позволяет страховщикам, с одной стороны, инвестировать значительную часть резервов по страхованию жизни в относительно долгосрочные инвестиционные проекты, причем, чем на более длительные сроки заключены договоры, тем более долгосрочными могут быть инвестиции, а с другой стороны, существенно снижать требования к ликвидности таких инвестиционных вложений. В результате операции по страхованию жизни обеспечивают аккумуляцию долгосрочного денежного капитала, а средства резервов по страхованию жизни являются основным и наиболее важным источником инвестиций страховщиков. Не случайно, что на начало </w:t>
      </w:r>
      <w:smartTag w:uri="urn:schemas-microsoft-com:office:smarttags" w:element="metricconverter">
        <w:smartTagPr>
          <w:attr w:name="ProductID" w:val="2002 г"/>
        </w:smartTagPr>
        <w:r w:rsidRPr="00C32D16">
          <w:t>2002 г</w:t>
        </w:r>
      </w:smartTag>
      <w:r w:rsidRPr="00C32D16">
        <w:t>. из 11.4 трлн. дол. активов страховщиков всего мира 82% (9,4 трлн. дол.) принадлежали компаниям, занятым в страховании жизни</w:t>
      </w:r>
      <w:r w:rsidR="00AE31EB" w:rsidRPr="00C32D16">
        <w:t xml:space="preserve"> [15, с.44]</w:t>
      </w:r>
      <w:r w:rsidRPr="00C32D16">
        <w:t>.</w:t>
      </w:r>
    </w:p>
    <w:p w:rsidR="007200EB" w:rsidRPr="00C32D16" w:rsidRDefault="007200EB" w:rsidP="00C32D16">
      <w:pPr>
        <w:pStyle w:val="a8"/>
      </w:pPr>
      <w:r w:rsidRPr="00C32D16">
        <w:t>Однако у отечественных страховщиков на резервы по страхованию жизни приходится примерно 20% всех средств страховых резервов. При этом явно выраженной тенденцией у всех групп страховщиков является сокращение удельного веса резервов по страхованию жизни в их источниках средств. Причинами этого являются, с одной стороны, низкий уровень развития «классического» страхования жизни в стране, а с другой, - постепенный отказ участников страхового рынка от использования страхования жизни в качестве метода оптимизации налогообложения страхователей.</w:t>
      </w:r>
    </w:p>
    <w:p w:rsidR="007200EB" w:rsidRPr="00C32D16" w:rsidRDefault="007200EB" w:rsidP="00C32D16">
      <w:pPr>
        <w:pStyle w:val="a8"/>
      </w:pPr>
      <w:r w:rsidRPr="00C32D16">
        <w:t>Помимо средств страховых резервов (привлеченных ресурсов) страховщики имеют также собственные средства, которые могут быть использованы в инвестиционной деятельности (уставный, резервный, добавочный капитал, а также нераспределенная прибыль).</w:t>
      </w:r>
    </w:p>
    <w:p w:rsidR="007200EB" w:rsidRPr="00C32D16" w:rsidRDefault="007200EB" w:rsidP="00C32D16">
      <w:pPr>
        <w:pStyle w:val="a8"/>
      </w:pPr>
      <w:r w:rsidRPr="00C32D16">
        <w:t>Собственные средства могут использоваться на дальнейшее развитие страховщиков, а также служат гарантией их устойчивости и способности выполнять свои обязательства. Поскольку данные ресурсы, как правило, свободны от конкретных обязательств, определенная их часть может быть вложена в сравнительно долгосрочные и менее ликвидные виды инвестиций.</w:t>
      </w:r>
    </w:p>
    <w:p w:rsidR="007200EB" w:rsidRPr="00C32D16" w:rsidRDefault="007200EB" w:rsidP="00C32D16">
      <w:pPr>
        <w:pStyle w:val="a8"/>
      </w:pPr>
      <w:r w:rsidRPr="00C32D16">
        <w:t>Доля собственного капитала у всех страховщиков в последние годы имеет тенденцию к росту. У всех страховщиков страны она составляет 25-30%</w:t>
      </w:r>
      <w:r w:rsidR="00AE31EB" w:rsidRPr="00C32D16">
        <w:t xml:space="preserve"> [15, с.44]</w:t>
      </w:r>
      <w:r w:rsidRPr="00C32D16">
        <w:t>.</w:t>
      </w:r>
    </w:p>
    <w:p w:rsidR="007200EB" w:rsidRPr="00C32D16" w:rsidRDefault="007200EB" w:rsidP="00C32D16">
      <w:pPr>
        <w:pStyle w:val="a8"/>
      </w:pPr>
      <w:r w:rsidRPr="00C32D16">
        <w:t>Удельный вес уставного капитала в структуре собственных средств увеличивается в последние годы у всех групп страховщиков. Она составляет около 20% ресурсов.</w:t>
      </w:r>
    </w:p>
    <w:p w:rsidR="00C32D16" w:rsidRDefault="00AE31EB" w:rsidP="00C32D16">
      <w:pPr>
        <w:pStyle w:val="a8"/>
      </w:pPr>
      <w:r w:rsidRPr="00C32D16">
        <w:t>За 2000-2007 гг. уставный капи</w:t>
      </w:r>
      <w:r w:rsidR="0011179B" w:rsidRPr="00C32D16">
        <w:t>тал страховых организаций увеличился с 9,8 млрд руб. до 153,3 млрд руб., т.е. более чем в 15 раз (табл.1).</w:t>
      </w:r>
    </w:p>
    <w:p w:rsidR="0011179B" w:rsidRPr="00C32D16" w:rsidRDefault="0011179B" w:rsidP="00C32D16">
      <w:pPr>
        <w:pStyle w:val="a8"/>
      </w:pPr>
    </w:p>
    <w:p w:rsidR="0011179B" w:rsidRPr="00C32D16" w:rsidRDefault="0011179B" w:rsidP="00C32D16">
      <w:pPr>
        <w:pStyle w:val="a8"/>
      </w:pPr>
      <w:r w:rsidRPr="00C32D16">
        <w:t>Таблица 1</w:t>
      </w:r>
    </w:p>
    <w:p w:rsidR="0011179B" w:rsidRPr="00C32D16" w:rsidRDefault="0011179B" w:rsidP="00C32D16">
      <w:pPr>
        <w:pStyle w:val="a8"/>
      </w:pPr>
      <w:r w:rsidRPr="00C32D16">
        <w:t>Динамика уставного капитала страховых организаций в 2000-2007 гг.</w:t>
      </w:r>
      <w:r w:rsidR="00153ECC" w:rsidRPr="00C32D16">
        <w:t xml:space="preserve"> [10, с.8]</w:t>
      </w:r>
    </w:p>
    <w:tbl>
      <w:tblPr>
        <w:tblW w:w="0" w:type="auto"/>
        <w:jc w:val="center"/>
        <w:tblLayout w:type="fixed"/>
        <w:tblCellMar>
          <w:left w:w="40" w:type="dxa"/>
          <w:right w:w="40" w:type="dxa"/>
        </w:tblCellMar>
        <w:tblLook w:val="0000" w:firstRow="0" w:lastRow="0" w:firstColumn="0" w:lastColumn="0" w:noHBand="0" w:noVBand="0"/>
      </w:tblPr>
      <w:tblGrid>
        <w:gridCol w:w="2695"/>
        <w:gridCol w:w="649"/>
        <w:gridCol w:w="827"/>
        <w:gridCol w:w="841"/>
        <w:gridCol w:w="841"/>
        <w:gridCol w:w="847"/>
        <w:gridCol w:w="655"/>
        <w:gridCol w:w="834"/>
        <w:gridCol w:w="675"/>
      </w:tblGrid>
      <w:tr w:rsidR="0011179B" w:rsidRPr="00C32D16" w:rsidTr="001F73A0">
        <w:trPr>
          <w:trHeight w:hRule="exact" w:val="323"/>
          <w:jc w:val="center"/>
        </w:trPr>
        <w:tc>
          <w:tcPr>
            <w:tcW w:w="2695"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p>
        </w:tc>
        <w:tc>
          <w:tcPr>
            <w:tcW w:w="649"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2000</w:t>
            </w:r>
          </w:p>
        </w:tc>
        <w:tc>
          <w:tcPr>
            <w:tcW w:w="827"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2001</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2002</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2003</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2004</w:t>
            </w:r>
          </w:p>
        </w:tc>
        <w:tc>
          <w:tcPr>
            <w:tcW w:w="655"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2005</w:t>
            </w:r>
          </w:p>
        </w:tc>
        <w:tc>
          <w:tcPr>
            <w:tcW w:w="834"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2006</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2007</w:t>
            </w:r>
          </w:p>
        </w:tc>
      </w:tr>
      <w:tr w:rsidR="0011179B" w:rsidRPr="00C32D16" w:rsidTr="001F73A0">
        <w:trPr>
          <w:trHeight w:hRule="exact" w:val="270"/>
          <w:jc w:val="center"/>
        </w:trPr>
        <w:tc>
          <w:tcPr>
            <w:tcW w:w="2695"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Уставный капитал в млрд руб.</w:t>
            </w:r>
          </w:p>
        </w:tc>
        <w:tc>
          <w:tcPr>
            <w:tcW w:w="649"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9,8</w:t>
            </w:r>
          </w:p>
        </w:tc>
        <w:tc>
          <w:tcPr>
            <w:tcW w:w="827"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14,3</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27,3</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50,6</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77,3</w:t>
            </w:r>
          </w:p>
        </w:tc>
        <w:tc>
          <w:tcPr>
            <w:tcW w:w="655"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134,7</w:t>
            </w:r>
          </w:p>
        </w:tc>
        <w:tc>
          <w:tcPr>
            <w:tcW w:w="834"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148,7</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153,3</w:t>
            </w:r>
          </w:p>
        </w:tc>
      </w:tr>
      <w:tr w:rsidR="0011179B" w:rsidRPr="00C32D16" w:rsidTr="001F73A0">
        <w:trPr>
          <w:trHeight w:hRule="exact" w:val="381"/>
          <w:jc w:val="center"/>
        </w:trPr>
        <w:tc>
          <w:tcPr>
            <w:tcW w:w="2695"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в % к предыдущему году</w:t>
            </w:r>
          </w:p>
        </w:tc>
        <w:tc>
          <w:tcPr>
            <w:tcW w:w="649"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w:t>
            </w:r>
          </w:p>
        </w:tc>
        <w:tc>
          <w:tcPr>
            <w:tcW w:w="827"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145,9</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190,9</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185,3</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152,8</w:t>
            </w:r>
          </w:p>
        </w:tc>
        <w:tc>
          <w:tcPr>
            <w:tcW w:w="655"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174,2</w:t>
            </w:r>
          </w:p>
        </w:tc>
        <w:tc>
          <w:tcPr>
            <w:tcW w:w="834"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110,4</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11179B" w:rsidRPr="00C32D16" w:rsidRDefault="0011179B" w:rsidP="00774420">
            <w:pPr>
              <w:pStyle w:val="a9"/>
            </w:pPr>
            <w:r w:rsidRPr="00C32D16">
              <w:t>103,1</w:t>
            </w:r>
          </w:p>
        </w:tc>
      </w:tr>
    </w:tbl>
    <w:p w:rsidR="0011179B" w:rsidRPr="00C32D16" w:rsidRDefault="0011179B" w:rsidP="00C32D16">
      <w:pPr>
        <w:pStyle w:val="a8"/>
      </w:pPr>
    </w:p>
    <w:p w:rsidR="0011179B" w:rsidRPr="00C32D16" w:rsidRDefault="0011179B" w:rsidP="00C32D16">
      <w:pPr>
        <w:pStyle w:val="a8"/>
      </w:pPr>
      <w:r w:rsidRPr="00C32D16">
        <w:t xml:space="preserve">Столь стремительный рост уставного капитала страховых организаций в основном обусловлен постоянно возрастающими законодательными требованиями к его минимальному размеру. Так, например, к 1 июля </w:t>
      </w:r>
      <w:smartTag w:uri="urn:schemas-microsoft-com:office:smarttags" w:element="metricconverter">
        <w:smartTagPr>
          <w:attr w:name="ProductID" w:val="2007 г"/>
        </w:smartTagPr>
        <w:r w:rsidRPr="00C32D16">
          <w:t>2007 г</w:t>
        </w:r>
      </w:smartTag>
      <w:r w:rsidRPr="00C32D16">
        <w:t xml:space="preserve">. компании страхования жизни должны были обладать полностью оплаченным уставным капиталом в размере 60 млн руб.; страховщики, осуществляющие другие виды страхования </w:t>
      </w:r>
      <w:r w:rsidR="00251302" w:rsidRPr="00C32D16">
        <w:t xml:space="preserve">– </w:t>
      </w:r>
      <w:r w:rsidRPr="00C32D16">
        <w:t xml:space="preserve">30 млн руб.; а перестраховочные </w:t>
      </w:r>
      <w:r w:rsidR="00251302" w:rsidRPr="00C32D16">
        <w:t>орга</w:t>
      </w:r>
      <w:r w:rsidRPr="00C32D16">
        <w:t xml:space="preserve">низации </w:t>
      </w:r>
      <w:r w:rsidR="00251302" w:rsidRPr="00C32D16">
        <w:t>–</w:t>
      </w:r>
      <w:r w:rsidRPr="00C32D16">
        <w:t xml:space="preserve"> 120 млн руб. Для сравнения приведем установленные</w:t>
      </w:r>
      <w:r w:rsidR="00251302" w:rsidRPr="00C32D16">
        <w:t xml:space="preserve"> </w:t>
      </w:r>
      <w:r w:rsidRPr="00C32D16">
        <w:t xml:space="preserve">требования к минимальному размеру уставного капитала в 2000 году, которые составили: по страхованию жизни </w:t>
      </w:r>
      <w:r w:rsidR="00251302" w:rsidRPr="00C32D16">
        <w:t>–</w:t>
      </w:r>
      <w:r w:rsidRPr="00C32D16">
        <w:t xml:space="preserve"> 3,5 млн руб., по другим видам </w:t>
      </w:r>
      <w:r w:rsidR="00251302" w:rsidRPr="00C32D16">
        <w:t>страхова</w:t>
      </w:r>
      <w:r w:rsidRPr="00C32D16">
        <w:t xml:space="preserve">ния </w:t>
      </w:r>
      <w:r w:rsidR="00251302" w:rsidRPr="00C32D16">
        <w:t>–</w:t>
      </w:r>
      <w:r w:rsidRPr="00C32D16">
        <w:t xml:space="preserve"> 2,5 млн руб., по перестраховочным компаниям </w:t>
      </w:r>
      <w:r w:rsidR="00251302" w:rsidRPr="00C32D16">
        <w:t>–</w:t>
      </w:r>
      <w:r w:rsidRPr="00C32D16">
        <w:t xml:space="preserve"> 30 млн руб. В результате требования к минимальному размеру </w:t>
      </w:r>
      <w:r w:rsidR="00251302" w:rsidRPr="00C32D16">
        <w:t>уставно</w:t>
      </w:r>
      <w:r w:rsidRPr="00C32D16">
        <w:t>го капитала для обществ страхования жизни за 2000-2007 гг. возросли в 17,1 раза; для компаний, проводящих другие виды страхования</w:t>
      </w:r>
      <w:r w:rsidR="00251302" w:rsidRPr="00C32D16">
        <w:t xml:space="preserve">, – </w:t>
      </w:r>
      <w:r w:rsidRPr="00C32D16">
        <w:t xml:space="preserve">в 12 раз; а для перестраховочных организаций </w:t>
      </w:r>
      <w:r w:rsidR="00251302" w:rsidRPr="00C32D16">
        <w:t>–</w:t>
      </w:r>
      <w:r w:rsidRPr="00C32D16">
        <w:t xml:space="preserve"> в 4 раза.</w:t>
      </w:r>
    </w:p>
    <w:p w:rsidR="0011179B" w:rsidRPr="00C32D16" w:rsidRDefault="0011179B" w:rsidP="00C32D16">
      <w:pPr>
        <w:pStyle w:val="a8"/>
      </w:pPr>
      <w:r w:rsidRPr="00C32D16">
        <w:t xml:space="preserve">Таким образом, можно сделать вывод о соразмерной динамике уставного капитала страховых организаций и законодательных изменениях минимальных размеров их уставного капитала. Следует отметить, что заявленный страховщиками уставный капитал не всегда соответствует действительным показателям. Система финансовых взаимоотношений страховых организаций с </w:t>
      </w:r>
      <w:r w:rsidR="00251302" w:rsidRPr="00C32D16">
        <w:t>различ</w:t>
      </w:r>
      <w:r w:rsidRPr="00C32D16">
        <w:t xml:space="preserve">ными экономическими субъектами, разнообразие финансовых инструментов, а также практика учета и отчетности по уставному капиталу позволяют </w:t>
      </w:r>
      <w:r w:rsidR="00251302" w:rsidRPr="00C32D16">
        <w:t>страховщи</w:t>
      </w:r>
      <w:r w:rsidRPr="00C32D16">
        <w:t xml:space="preserve">кам завышать его размеры. Поэтому подтверждение реального уставного капитала представляет серьезную проблему в системе государственного регулирования страхования. Зарубежная практика обеспечения реального уставного капитала достигается обязательным резервированием части уставного капитала в Центральном банке или ее размещением на расчетном счете органа страхового надзора. В России соответствующие инструменты </w:t>
      </w:r>
      <w:r w:rsidR="00251302" w:rsidRPr="00C32D16">
        <w:t>обе</w:t>
      </w:r>
      <w:r w:rsidRPr="00C32D16">
        <w:t xml:space="preserve">спечения реальности уставного капитала страховых организаций не применяются. Однако с 1 июля </w:t>
      </w:r>
      <w:smartTag w:uri="urn:schemas-microsoft-com:office:smarttags" w:element="metricconverter">
        <w:smartTagPr>
          <w:attr w:name="ProductID" w:val="2007 г"/>
        </w:smartTagPr>
        <w:r w:rsidRPr="00C32D16">
          <w:t>2007 г</w:t>
        </w:r>
      </w:smartTag>
      <w:r w:rsidRPr="00C32D16">
        <w:t xml:space="preserve">. были введены правила размещения собственных средств страховщиков, применение которых вызвало во многих компаниях сложности в их </w:t>
      </w:r>
      <w:r w:rsidR="00251302" w:rsidRPr="00C32D16">
        <w:t>под</w:t>
      </w:r>
      <w:r w:rsidRPr="00C32D16">
        <w:t xml:space="preserve">тверждении. Например, </w:t>
      </w:r>
      <w:r w:rsidR="00251302" w:rsidRPr="00C32D16">
        <w:t>отдель</w:t>
      </w:r>
      <w:r w:rsidRPr="00C32D16">
        <w:t xml:space="preserve">ные компании, в нарушение </w:t>
      </w:r>
      <w:r w:rsidR="00251302" w:rsidRPr="00C32D16">
        <w:t>уста</w:t>
      </w:r>
      <w:r w:rsidRPr="00C32D16">
        <w:t>новленных правил, часть уставного капитала подтвердили векселями</w:t>
      </w:r>
      <w:r w:rsidR="00153ECC" w:rsidRPr="00C32D16">
        <w:t xml:space="preserve"> [10, с.8]</w:t>
      </w:r>
      <w:r w:rsidRPr="00C32D16">
        <w:t>.</w:t>
      </w:r>
    </w:p>
    <w:p w:rsidR="007200EB" w:rsidRPr="00C32D16" w:rsidRDefault="007200EB" w:rsidP="00C32D16">
      <w:pPr>
        <w:pStyle w:val="a8"/>
      </w:pPr>
      <w:r w:rsidRPr="00C32D16">
        <w:t>Среди прочих источников средств страховщиков следует выделить резервы предупредительных мероприятий, средства которого также могут использоваться для инвестирования. Однако доля их в структуре средств страховщиков в настоящее время мала – менее 1%. К тому же размеры этих резервов в последние годы практически не увеличиваются. Очевидно, что если не будет изменен порядок налогообложения средств данного резерва, то названный источник средств не может рассматриваться как сколько-нибудь значимый инвестиционный ресурс.</w:t>
      </w:r>
    </w:p>
    <w:p w:rsidR="002352EE" w:rsidRPr="00C32D16" w:rsidRDefault="002352EE" w:rsidP="00C32D16">
      <w:pPr>
        <w:pStyle w:val="a8"/>
      </w:pPr>
      <w:r w:rsidRPr="00C32D16">
        <w:t>В соответствии с ФЗ «Об организации страхового дела в Российской Федерации» страховые резервы и собственные средства должны быть обеспечены активами, соответствующими принципам диверсификации, ликвидности, возвратности и доходности.</w:t>
      </w:r>
    </w:p>
    <w:p w:rsidR="002352EE" w:rsidRPr="00C32D16" w:rsidRDefault="007200EB" w:rsidP="00C32D16">
      <w:pPr>
        <w:pStyle w:val="a8"/>
      </w:pPr>
      <w:r w:rsidRPr="00C32D16">
        <w:t>В целом объем ресурсов, аккумулируемых страховыми компаниями страны, пока ещ</w:t>
      </w:r>
      <w:r w:rsidR="002352EE" w:rsidRPr="00C32D16">
        <w:t xml:space="preserve">е весьма невелик. На 1 июля </w:t>
      </w:r>
      <w:smartTag w:uri="urn:schemas-microsoft-com:office:smarttags" w:element="metricconverter">
        <w:smartTagPr>
          <w:attr w:name="ProductID" w:val="2007 г"/>
        </w:smartTagPr>
        <w:r w:rsidR="002352EE" w:rsidRPr="00C32D16">
          <w:t>2007 г</w:t>
        </w:r>
      </w:smartTag>
      <w:r w:rsidR="002352EE" w:rsidRPr="00C32D16">
        <w:t xml:space="preserve">. сумма активов страховых организаций составила 674 млрд руб. (табл. 2). По сравнению с </w:t>
      </w:r>
      <w:smartTag w:uri="urn:schemas-microsoft-com:office:smarttags" w:element="metricconverter">
        <w:smartTagPr>
          <w:attr w:name="ProductID" w:val="2003 г"/>
        </w:smartTagPr>
        <w:r w:rsidR="002352EE" w:rsidRPr="00C32D16">
          <w:t>2003 г</w:t>
        </w:r>
      </w:smartTag>
      <w:r w:rsidR="002352EE" w:rsidRPr="00C32D16">
        <w:t>. активы страховщиков возросли, как и страховые резервы, в 1,6 раза.</w:t>
      </w:r>
    </w:p>
    <w:p w:rsidR="002352EE" w:rsidRPr="00C32D16" w:rsidRDefault="002352EE" w:rsidP="00C32D16">
      <w:pPr>
        <w:pStyle w:val="a8"/>
      </w:pPr>
    </w:p>
    <w:p w:rsidR="002352EE" w:rsidRPr="00C32D16" w:rsidRDefault="002352EE" w:rsidP="00C32D16">
      <w:pPr>
        <w:pStyle w:val="a8"/>
      </w:pPr>
      <w:r w:rsidRPr="00C32D16">
        <w:t>Таблица 2</w:t>
      </w:r>
    </w:p>
    <w:p w:rsidR="002352EE" w:rsidRPr="00C32D16" w:rsidRDefault="002352EE" w:rsidP="00C32D16">
      <w:pPr>
        <w:pStyle w:val="a8"/>
      </w:pPr>
      <w:r w:rsidRPr="00C32D16">
        <w:t>Динамика активов страховых организаций в 2003-2006 гг.</w:t>
      </w:r>
      <w:r w:rsidR="00A577BD" w:rsidRPr="00C32D16">
        <w:t xml:space="preserve"> [10, с.9]</w:t>
      </w:r>
    </w:p>
    <w:tbl>
      <w:tblPr>
        <w:tblW w:w="0" w:type="auto"/>
        <w:jc w:val="center"/>
        <w:tblLayout w:type="fixed"/>
        <w:tblCellMar>
          <w:left w:w="40" w:type="dxa"/>
          <w:right w:w="40" w:type="dxa"/>
        </w:tblCellMar>
        <w:tblLook w:val="0000" w:firstRow="0" w:lastRow="0" w:firstColumn="0" w:lastColumn="0" w:noHBand="0" w:noVBand="0"/>
      </w:tblPr>
      <w:tblGrid>
        <w:gridCol w:w="4410"/>
        <w:gridCol w:w="877"/>
        <w:gridCol w:w="808"/>
        <w:gridCol w:w="851"/>
        <w:gridCol w:w="709"/>
      </w:tblGrid>
      <w:tr w:rsidR="002352EE" w:rsidRPr="00C32D16" w:rsidTr="001F73A0">
        <w:trPr>
          <w:trHeight w:hRule="exact" w:val="344"/>
          <w:jc w:val="center"/>
        </w:trPr>
        <w:tc>
          <w:tcPr>
            <w:tcW w:w="4410" w:type="dxa"/>
            <w:tcBorders>
              <w:top w:val="single" w:sz="6" w:space="0" w:color="auto"/>
              <w:left w:val="single" w:sz="6" w:space="0" w:color="auto"/>
              <w:bottom w:val="single" w:sz="6" w:space="0" w:color="auto"/>
              <w:right w:val="single" w:sz="6" w:space="0" w:color="auto"/>
            </w:tcBorders>
            <w:shd w:val="clear" w:color="auto" w:fill="FFFFFF"/>
          </w:tcPr>
          <w:p w:rsidR="002352EE" w:rsidRPr="00C32D16" w:rsidRDefault="002352EE" w:rsidP="001F73A0">
            <w:pPr>
              <w:pStyle w:val="a9"/>
            </w:pP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2352EE" w:rsidRPr="00C32D16" w:rsidRDefault="002352EE" w:rsidP="001F73A0">
            <w:pPr>
              <w:pStyle w:val="a9"/>
            </w:pPr>
            <w:r w:rsidRPr="00C32D16">
              <w:t>2003</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2352EE" w:rsidRPr="00C32D16" w:rsidRDefault="002352EE" w:rsidP="001F73A0">
            <w:pPr>
              <w:pStyle w:val="a9"/>
            </w:pPr>
            <w:r w:rsidRPr="00C32D16">
              <w:t>2004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352EE" w:rsidRPr="00C32D16" w:rsidRDefault="002352EE" w:rsidP="001F73A0">
            <w:pPr>
              <w:pStyle w:val="a9"/>
            </w:pPr>
            <w:r w:rsidRPr="00C32D16">
              <w:t>2005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352EE" w:rsidRPr="00C32D16" w:rsidRDefault="002352EE" w:rsidP="001F73A0">
            <w:pPr>
              <w:pStyle w:val="a9"/>
            </w:pPr>
            <w:r w:rsidRPr="00C32D16">
              <w:t>2006</w:t>
            </w:r>
          </w:p>
        </w:tc>
      </w:tr>
      <w:tr w:rsidR="002352EE" w:rsidRPr="00C32D16" w:rsidTr="001F73A0">
        <w:trPr>
          <w:trHeight w:hRule="exact" w:val="293"/>
          <w:jc w:val="center"/>
        </w:trPr>
        <w:tc>
          <w:tcPr>
            <w:tcW w:w="4410" w:type="dxa"/>
            <w:tcBorders>
              <w:top w:val="single" w:sz="6" w:space="0" w:color="auto"/>
              <w:left w:val="single" w:sz="6" w:space="0" w:color="auto"/>
              <w:bottom w:val="single" w:sz="6" w:space="0" w:color="auto"/>
              <w:right w:val="single" w:sz="6" w:space="0" w:color="auto"/>
            </w:tcBorders>
            <w:shd w:val="clear" w:color="auto" w:fill="FFFFFF"/>
          </w:tcPr>
          <w:p w:rsidR="002352EE" w:rsidRPr="00C32D16" w:rsidRDefault="002352EE" w:rsidP="001F73A0">
            <w:pPr>
              <w:pStyle w:val="a9"/>
            </w:pPr>
            <w:r w:rsidRPr="00C32D16">
              <w:t>Активы страховых организаций, в млрд руб.</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2352EE" w:rsidRPr="00C32D16" w:rsidRDefault="002352EE" w:rsidP="001F73A0">
            <w:pPr>
              <w:pStyle w:val="a9"/>
            </w:pPr>
            <w:r w:rsidRPr="00C32D16">
              <w:t>411,1</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2352EE" w:rsidRPr="00C32D16" w:rsidRDefault="002352EE" w:rsidP="001F73A0">
            <w:pPr>
              <w:pStyle w:val="a9"/>
            </w:pPr>
            <w:r w:rsidRPr="00C32D16">
              <w:t>540,5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352EE" w:rsidRPr="00C32D16" w:rsidRDefault="002352EE" w:rsidP="001F73A0">
            <w:pPr>
              <w:pStyle w:val="a9"/>
            </w:pPr>
            <w:r w:rsidRPr="00C32D16">
              <w:t>611,9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352EE" w:rsidRPr="00C32D16" w:rsidRDefault="002352EE" w:rsidP="001F73A0">
            <w:pPr>
              <w:pStyle w:val="a9"/>
            </w:pPr>
            <w:r w:rsidRPr="00C32D16">
              <w:t>674,0</w:t>
            </w:r>
          </w:p>
        </w:tc>
      </w:tr>
    </w:tbl>
    <w:p w:rsidR="002352EE" w:rsidRPr="00C32D16" w:rsidRDefault="002352EE" w:rsidP="00C32D16">
      <w:pPr>
        <w:pStyle w:val="a8"/>
      </w:pPr>
    </w:p>
    <w:p w:rsidR="00C32D16" w:rsidRDefault="002352EE" w:rsidP="00C32D16">
      <w:pPr>
        <w:pStyle w:val="a8"/>
      </w:pPr>
      <w:r w:rsidRPr="00C32D16">
        <w:t>По данным Федеральной службы страхового надзора, на страховом рынке наблюдается рост концентрации резервов и активов страховых организаций.</w:t>
      </w:r>
    </w:p>
    <w:p w:rsidR="007200EB" w:rsidRPr="00C32D16" w:rsidRDefault="007200EB" w:rsidP="00C32D16">
      <w:pPr>
        <w:pStyle w:val="a8"/>
      </w:pPr>
      <w:r w:rsidRPr="00C32D16">
        <w:t>В то же время даже имеющиеся у страховщиков возм</w:t>
      </w:r>
      <w:r w:rsidR="0098683A" w:rsidRPr="00C32D16">
        <w:t>ожности по инвестированию ресур</w:t>
      </w:r>
      <w:r w:rsidRPr="00C32D16">
        <w:t xml:space="preserve">сов используются ими далеко не полностью. </w:t>
      </w:r>
      <w:r w:rsidR="0098683A" w:rsidRPr="00C32D16">
        <w:t>В</w:t>
      </w:r>
      <w:r w:rsidRPr="00C32D16">
        <w:t xml:space="preserve"> целом </w:t>
      </w:r>
      <w:r w:rsidR="0098683A" w:rsidRPr="00C32D16">
        <w:t>в</w:t>
      </w:r>
      <w:r w:rsidRPr="00C32D16">
        <w:t>се страховщики страны</w:t>
      </w:r>
      <w:r w:rsidR="0098683A" w:rsidRPr="00C32D16">
        <w:t xml:space="preserve"> </w:t>
      </w:r>
      <w:r w:rsidRPr="00C32D16">
        <w:t xml:space="preserve">используют </w:t>
      </w:r>
      <w:r w:rsidR="0098683A" w:rsidRPr="00C32D16">
        <w:t>в</w:t>
      </w:r>
      <w:r w:rsidRPr="00C32D16">
        <w:t xml:space="preserve"> инвестиционных целях немногим более половины средств своего собственного ка</w:t>
      </w:r>
      <w:r w:rsidR="0098683A" w:rsidRPr="00C32D16">
        <w:t>пи</w:t>
      </w:r>
      <w:r w:rsidRPr="00C32D16">
        <w:t>тала и страховых резервов.</w:t>
      </w:r>
    </w:p>
    <w:p w:rsidR="007200EB" w:rsidRPr="00C32D16" w:rsidRDefault="007200EB" w:rsidP="00C32D16">
      <w:pPr>
        <w:pStyle w:val="a8"/>
      </w:pPr>
      <w:r w:rsidRPr="00C32D16">
        <w:t xml:space="preserve">Среди важнейших причин этого </w:t>
      </w:r>
      <w:r w:rsidR="0098683A" w:rsidRPr="00C32D16">
        <w:t>– высокий</w:t>
      </w:r>
      <w:r w:rsidRPr="00C32D16">
        <w:t xml:space="preserve"> удельный вес денежных средств в их активах (к денежным средствам относятся средства на расчетных счетах банков </w:t>
      </w:r>
      <w:r w:rsidR="0098683A" w:rsidRPr="00C32D16">
        <w:t>и налич</w:t>
      </w:r>
      <w:r w:rsidRPr="00C32D16">
        <w:t>ные денежные средства). Как следствие, суммы денежных средств страховых организаций составляют 35-40% от объемов их инвестиций, а у крупнейших стр</w:t>
      </w:r>
      <w:r w:rsidR="0098683A" w:rsidRPr="00C32D16">
        <w:t>аховщиков</w:t>
      </w:r>
      <w:r w:rsidRPr="00C32D16">
        <w:t xml:space="preserve"> Москвы эта доли достигла 75</w:t>
      </w:r>
      <w:r w:rsidR="0098683A" w:rsidRPr="00C32D16">
        <w:t>-</w:t>
      </w:r>
      <w:r w:rsidRPr="00C32D16">
        <w:t>80%</w:t>
      </w:r>
      <w:r w:rsidR="00AE31EB" w:rsidRPr="00C32D16">
        <w:t xml:space="preserve"> [15, с.44]</w:t>
      </w:r>
      <w:r w:rsidRPr="00C32D16">
        <w:t>.</w:t>
      </w:r>
    </w:p>
    <w:p w:rsidR="00461BD7" w:rsidRPr="00C32D16" w:rsidRDefault="00461BD7" w:rsidP="00C32D16">
      <w:pPr>
        <w:pStyle w:val="a8"/>
      </w:pPr>
    </w:p>
    <w:p w:rsidR="00461BD7" w:rsidRPr="00C32D16" w:rsidRDefault="00461BD7" w:rsidP="00C32D16">
      <w:pPr>
        <w:pStyle w:val="a8"/>
      </w:pPr>
      <w:r w:rsidRPr="00C32D16">
        <w:t>2 Структура и эффективность инвестиций российских страховых организаций</w:t>
      </w:r>
    </w:p>
    <w:p w:rsidR="00461BD7" w:rsidRPr="00C32D16" w:rsidRDefault="00461BD7" w:rsidP="00C32D16">
      <w:pPr>
        <w:pStyle w:val="a8"/>
      </w:pPr>
    </w:p>
    <w:p w:rsidR="00C32D16" w:rsidRDefault="00A65FE7" w:rsidP="00C32D16">
      <w:pPr>
        <w:pStyle w:val="a8"/>
      </w:pPr>
      <w:r w:rsidRPr="00C32D16">
        <w:t>В последние годы на уровне государственного управления особо подчеркивается роль страховщиков в России как потенциальных инвесторов, формирующих ресурсы накопительного страхования. В связи с этим страховая сфера подвергается серьезному реформированию, в особенности это касается инвестирования страховых ресурсов.</w:t>
      </w:r>
    </w:p>
    <w:p w:rsidR="00A65FE7" w:rsidRPr="00C32D16" w:rsidRDefault="00A65FE7" w:rsidP="00C32D16">
      <w:pPr>
        <w:pStyle w:val="a8"/>
      </w:pPr>
      <w:r w:rsidRPr="00C32D16">
        <w:t>Требования органа страхового надзора в отношении инвестиционной деятельности страховщиков предполагают два основных направления регулирования</w:t>
      </w:r>
      <w:r w:rsidR="00C91211" w:rsidRPr="00C32D16">
        <w:t xml:space="preserve"> [11, с.8]</w:t>
      </w:r>
      <w:r w:rsidRPr="00C32D16">
        <w:t>:</w:t>
      </w:r>
    </w:p>
    <w:p w:rsidR="00A65FE7" w:rsidRPr="00C32D16" w:rsidRDefault="00A65FE7" w:rsidP="00C32D16">
      <w:pPr>
        <w:pStyle w:val="a8"/>
      </w:pPr>
      <w:r w:rsidRPr="00C32D16">
        <w:t>размещение собственного капитала;</w:t>
      </w:r>
    </w:p>
    <w:p w:rsidR="00A65FE7" w:rsidRPr="00C32D16" w:rsidRDefault="00A65FE7" w:rsidP="00C32D16">
      <w:pPr>
        <w:pStyle w:val="a8"/>
      </w:pPr>
      <w:r w:rsidRPr="00C32D16">
        <w:t>размещение средств страховых резервов.</w:t>
      </w:r>
    </w:p>
    <w:p w:rsidR="00461BD7" w:rsidRPr="00C32D16" w:rsidRDefault="00A65FE7" w:rsidP="00C32D16">
      <w:pPr>
        <w:pStyle w:val="a8"/>
      </w:pPr>
      <w:r w:rsidRPr="00C32D16">
        <w:t>Что касается первого направления, то в нашей стране с 16 декабря 2005 года действуют требования, предъявляемые к составу и структуре активов, принимаемых для покрытия собственных средств страховщика. Данный документ устанавливает структурные соотношения между собственными средствами и активами по аналогии с Правилами размещения страховых резервов. Нужно заметить, что направления вложения собственного капитала страховщика регламентированы достаточно жестко, что, по нашему мнению, не соответствует природе собственного капитала как ресурсов, не связанных обязательствами и, таким образом, ограничивает возможности страховых компаний самостоятельно регулировать соотношение доходности и ликвидности своей деятельности.</w:t>
      </w:r>
    </w:p>
    <w:p w:rsidR="00A65FE7" w:rsidRPr="00C32D16" w:rsidRDefault="00A65FE7" w:rsidP="00C32D16">
      <w:pPr>
        <w:pStyle w:val="a8"/>
      </w:pPr>
      <w:r w:rsidRPr="00C32D16">
        <w:t>Если рассматривать западный опыт в области регулирования размещения собственного капитала страховых компаний, можно заметить, что в большинстве стран – членов ОЭСР нормы, регулирующие инвестиции, не распространяются на инвестирование собственных средств страховых компаний. Они относятся только к вложению средств, составляющих договорные обязательства перед страхователями. Причина заключается в том, что собственные средства позволяют страховым компаниям финансировать свое дальнейшее развитие. Другой причиной является принадлежность значительной части собственных средств страховых компаний акционерам, которые стремятся получать приемлемый уровень прибыли на свой капитал. Поэтому ограничение вложения собственного капитала может привести к снижению стимулов поддерживать уровень этих средств выше минимального. Это, в конечном итоге, только ослабит финансовую устойчивость страховых компаний.</w:t>
      </w:r>
    </w:p>
    <w:p w:rsidR="00A65FE7" w:rsidRPr="00C32D16" w:rsidRDefault="00A65FE7" w:rsidP="00C32D16">
      <w:pPr>
        <w:pStyle w:val="a8"/>
      </w:pPr>
      <w:r w:rsidRPr="00C32D16">
        <w:t>В нашей стране 1 июля 2006 года вступили в силу новые Правила размещения страховщиками средств страховых резервов. В соответствии с данным документом и с учетом мировой практики в нашей стране требования по поводу размещения средств страховых резервов сводятся к следующему</w:t>
      </w:r>
      <w:r w:rsidR="00C91211" w:rsidRPr="00C32D16">
        <w:t xml:space="preserve"> [12, с.9]:</w:t>
      </w:r>
    </w:p>
    <w:p w:rsidR="00A65FE7" w:rsidRPr="00C32D16" w:rsidRDefault="00A65FE7" w:rsidP="00C32D16">
      <w:pPr>
        <w:pStyle w:val="a8"/>
      </w:pPr>
      <w:r w:rsidRPr="00C32D16">
        <w:t>определяется допустимость инвестиций, то есть законодательно устанавливается перечень разрешенных направлений инвестирования, а также конкретизируются их направления с целью ограничения рискованных вложений. Как правило, требованием является наличие определенного рейтинга международного рейтингового агентства.</w:t>
      </w:r>
    </w:p>
    <w:p w:rsidR="00A65FE7" w:rsidRPr="00C32D16" w:rsidRDefault="00A65FE7" w:rsidP="00C32D16">
      <w:pPr>
        <w:pStyle w:val="a8"/>
      </w:pPr>
      <w:r w:rsidRPr="00C32D16">
        <w:t>установлены максимальные ограничения на все виды вложений (в практике развитых страховых рынков обычно существуют минимальные и максимальные ограничения). Минимальные лимиты Правилами не предусматриваются, что, по нашему мнению, говорит об относительно большей свободе в выборе объектов инвестирования, нежели при наличии таких лимитов.</w:t>
      </w:r>
    </w:p>
    <w:p w:rsidR="00C32D16" w:rsidRDefault="00A65FE7" w:rsidP="00C32D16">
      <w:pPr>
        <w:pStyle w:val="a8"/>
      </w:pPr>
      <w:r w:rsidRPr="00C32D16">
        <w:t>инвестиции страховщиков должны обладать приемлемым уровнем риска и ликвидностью. Наличие структурных соотношений активов и резервов призвано обеспечить соблюдение этих принципов. Однако, как показывает отечественная практика, в достаточной мере они не обеспечиваются; следовательно, данный нормативный документ требует серьезной доработки.</w:t>
      </w:r>
    </w:p>
    <w:p w:rsidR="00776328" w:rsidRPr="00C32D16" w:rsidRDefault="00A65FE7" w:rsidP="00C32D16">
      <w:pPr>
        <w:pStyle w:val="a8"/>
      </w:pPr>
      <w:r w:rsidRPr="00C32D16">
        <w:t>инвестиционный портфель страховщика должен быть в достаточной степени диверсифицирован. Данное требование взаимосвязано с принципом ликвидности вложений. За счет рассредоточения вложений по различным отраслям и инструментам инвестирования у компании снижается риск ликвидности в случае нестабильности на фондовом рынке. Однако, как показывает практика, ограничения, установленные в целях диверсификации риска, не всегда эффективны. Поэтому диверсификация нормативов по видам страховой деятельности, по нашему мнению, обоснованна.</w:t>
      </w:r>
    </w:p>
    <w:p w:rsidR="00C56DD4" w:rsidRPr="00C32D16" w:rsidRDefault="00C56DD4" w:rsidP="00C32D16">
      <w:pPr>
        <w:pStyle w:val="a8"/>
      </w:pPr>
      <w:r w:rsidRPr="00C32D16">
        <w:t>ограничение объема вложений в один вид актива. Это делается с целью предотвращения образования аффилированных структур. В Правилах установлены ограничения на вложения в ценные бумаги одного субъекта Российской федерации; в депозиты одного банка; в ценные бумаги, эмитированные одним юридическим лицом; в один объект недвижимости; в перестрахование одному перестраховщику и другие</w:t>
      </w:r>
      <w:r w:rsidR="005D59E5" w:rsidRPr="00C32D16">
        <w:t xml:space="preserve"> (см.табл.3)</w:t>
      </w:r>
      <w:r w:rsidRPr="00C32D16">
        <w:t>.</w:t>
      </w:r>
    </w:p>
    <w:p w:rsidR="00C56DD4" w:rsidRPr="00C32D16" w:rsidRDefault="00C56DD4" w:rsidP="00C32D16">
      <w:pPr>
        <w:pStyle w:val="a8"/>
      </w:pPr>
      <w:r w:rsidRPr="00C32D16">
        <w:t>активы должны соответствовать обязательствам перед страхователями. Данное требование рассматривается в отношении соответствия сроков привлечения страховых премий и сроков инвестирования, а также в отношении валюты, в которой платит премию страхователь и в которой осуществляет инвестиции страховщик.</w:t>
      </w:r>
    </w:p>
    <w:p w:rsidR="005D59E5" w:rsidRPr="00C32D16" w:rsidRDefault="005D59E5" w:rsidP="00C32D16">
      <w:pPr>
        <w:pStyle w:val="a8"/>
      </w:pPr>
    </w:p>
    <w:p w:rsidR="005D59E5" w:rsidRPr="00C32D16" w:rsidRDefault="005D59E5" w:rsidP="00C32D16">
      <w:pPr>
        <w:pStyle w:val="a8"/>
      </w:pPr>
      <w:r w:rsidRPr="00C32D16">
        <w:t>Таблица 3</w:t>
      </w:r>
    </w:p>
    <w:p w:rsidR="005D59E5" w:rsidRPr="00C32D16" w:rsidRDefault="005D59E5" w:rsidP="00C32D16">
      <w:pPr>
        <w:pStyle w:val="a8"/>
      </w:pPr>
      <w:r w:rsidRPr="00C32D16">
        <w:t>Основные направления и нормативы инвестирования страховых ресурсов в соответствии с законодательством РФ, %</w:t>
      </w:r>
      <w:r w:rsidR="00C91211" w:rsidRPr="00C32D16">
        <w:t xml:space="preserve"> [12, с.10]:</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1985"/>
        <w:gridCol w:w="2796"/>
        <w:gridCol w:w="1297"/>
      </w:tblGrid>
      <w:tr w:rsidR="00A465C3" w:rsidRPr="00D67740" w:rsidTr="00D67740">
        <w:trPr>
          <w:trHeight w:hRule="exact" w:val="265"/>
        </w:trPr>
        <w:tc>
          <w:tcPr>
            <w:tcW w:w="2977" w:type="dxa"/>
            <w:vMerge w:val="restart"/>
            <w:shd w:val="clear" w:color="auto" w:fill="auto"/>
          </w:tcPr>
          <w:p w:rsidR="00A465C3" w:rsidRPr="00C32D16" w:rsidRDefault="00A465C3" w:rsidP="00A465C3">
            <w:pPr>
              <w:pStyle w:val="a9"/>
            </w:pPr>
            <w:r w:rsidRPr="00C32D16">
              <w:t>Основные группы активов</w:t>
            </w:r>
          </w:p>
        </w:tc>
        <w:tc>
          <w:tcPr>
            <w:tcW w:w="4781" w:type="dxa"/>
            <w:gridSpan w:val="2"/>
            <w:shd w:val="clear" w:color="auto" w:fill="auto"/>
          </w:tcPr>
          <w:p w:rsidR="00A465C3" w:rsidRPr="00C32D16" w:rsidRDefault="00A465C3" w:rsidP="001F73A0">
            <w:pPr>
              <w:pStyle w:val="a9"/>
            </w:pPr>
            <w:r w:rsidRPr="00C32D16">
              <w:t>Страховые резервы</w:t>
            </w:r>
          </w:p>
        </w:tc>
        <w:tc>
          <w:tcPr>
            <w:tcW w:w="1297" w:type="dxa"/>
            <w:vMerge w:val="restart"/>
            <w:shd w:val="clear" w:color="auto" w:fill="auto"/>
          </w:tcPr>
          <w:p w:rsidR="00A465C3" w:rsidRPr="00C32D16" w:rsidRDefault="00A465C3" w:rsidP="001F73A0">
            <w:pPr>
              <w:pStyle w:val="a9"/>
            </w:pPr>
            <w:r w:rsidRPr="00C32D16">
              <w:t>Собственный капитал</w:t>
            </w:r>
          </w:p>
        </w:tc>
      </w:tr>
      <w:tr w:rsidR="00A465C3" w:rsidRPr="00D67740" w:rsidTr="00D67740">
        <w:trPr>
          <w:trHeight w:hRule="exact" w:val="268"/>
        </w:trPr>
        <w:tc>
          <w:tcPr>
            <w:tcW w:w="2977" w:type="dxa"/>
            <w:vMerge/>
            <w:shd w:val="clear" w:color="auto" w:fill="auto"/>
          </w:tcPr>
          <w:p w:rsidR="00A465C3" w:rsidRPr="00C32D16" w:rsidRDefault="00A465C3" w:rsidP="001F73A0">
            <w:pPr>
              <w:pStyle w:val="a9"/>
            </w:pPr>
          </w:p>
        </w:tc>
        <w:tc>
          <w:tcPr>
            <w:tcW w:w="1985" w:type="dxa"/>
            <w:shd w:val="clear" w:color="auto" w:fill="auto"/>
          </w:tcPr>
          <w:p w:rsidR="00A465C3" w:rsidRPr="00C32D16" w:rsidRDefault="00A465C3" w:rsidP="001F73A0">
            <w:pPr>
              <w:pStyle w:val="a9"/>
            </w:pPr>
            <w:r w:rsidRPr="00C32D16">
              <w:t>Технические резервы</w:t>
            </w:r>
          </w:p>
        </w:tc>
        <w:tc>
          <w:tcPr>
            <w:tcW w:w="2796" w:type="dxa"/>
            <w:shd w:val="clear" w:color="auto" w:fill="auto"/>
          </w:tcPr>
          <w:p w:rsidR="00A465C3" w:rsidRPr="00C32D16" w:rsidRDefault="00A465C3" w:rsidP="001F73A0">
            <w:pPr>
              <w:pStyle w:val="a9"/>
            </w:pPr>
            <w:r w:rsidRPr="00C32D16">
              <w:t>Резервы в страховании жизни</w:t>
            </w:r>
          </w:p>
        </w:tc>
        <w:tc>
          <w:tcPr>
            <w:tcW w:w="1297" w:type="dxa"/>
            <w:vMerge/>
            <w:shd w:val="clear" w:color="auto" w:fill="auto"/>
          </w:tcPr>
          <w:p w:rsidR="00A465C3" w:rsidRPr="00C32D16" w:rsidRDefault="00A465C3" w:rsidP="001F73A0">
            <w:pPr>
              <w:pStyle w:val="a9"/>
            </w:pPr>
          </w:p>
        </w:tc>
      </w:tr>
      <w:tr w:rsidR="005D59E5" w:rsidRPr="00D67740" w:rsidTr="00D67740">
        <w:trPr>
          <w:trHeight w:hRule="exact" w:val="396"/>
        </w:trPr>
        <w:tc>
          <w:tcPr>
            <w:tcW w:w="2977" w:type="dxa"/>
            <w:shd w:val="clear" w:color="auto" w:fill="auto"/>
          </w:tcPr>
          <w:p w:rsidR="005D59E5" w:rsidRPr="00C32D16" w:rsidRDefault="005D59E5" w:rsidP="001F73A0">
            <w:pPr>
              <w:pStyle w:val="a9"/>
            </w:pPr>
            <w:r w:rsidRPr="00C32D16">
              <w:t>Государственные ценные бумаги</w:t>
            </w:r>
          </w:p>
        </w:tc>
        <w:tc>
          <w:tcPr>
            <w:tcW w:w="1985" w:type="dxa"/>
            <w:shd w:val="clear" w:color="auto" w:fill="auto"/>
          </w:tcPr>
          <w:p w:rsidR="005D59E5" w:rsidRPr="00C32D16" w:rsidRDefault="005D59E5" w:rsidP="001F73A0">
            <w:pPr>
              <w:pStyle w:val="a9"/>
            </w:pPr>
            <w:r w:rsidRPr="00C32D16">
              <w:t>30</w:t>
            </w:r>
          </w:p>
        </w:tc>
        <w:tc>
          <w:tcPr>
            <w:tcW w:w="2796" w:type="dxa"/>
            <w:shd w:val="clear" w:color="auto" w:fill="auto"/>
          </w:tcPr>
          <w:p w:rsidR="005D59E5" w:rsidRPr="00C32D16" w:rsidRDefault="005D59E5" w:rsidP="001F73A0">
            <w:pPr>
              <w:pStyle w:val="a9"/>
            </w:pPr>
            <w:r w:rsidRPr="00C32D16">
              <w:t>30</w:t>
            </w:r>
          </w:p>
        </w:tc>
        <w:tc>
          <w:tcPr>
            <w:tcW w:w="1297" w:type="dxa"/>
            <w:shd w:val="clear" w:color="auto" w:fill="auto"/>
          </w:tcPr>
          <w:p w:rsidR="005D59E5" w:rsidRPr="00C32D16" w:rsidRDefault="005D59E5" w:rsidP="001F73A0">
            <w:pPr>
              <w:pStyle w:val="a9"/>
            </w:pPr>
            <w:r w:rsidRPr="00C32D16">
              <w:t>30</w:t>
            </w:r>
          </w:p>
        </w:tc>
      </w:tr>
      <w:tr w:rsidR="005D59E5" w:rsidRPr="00D67740" w:rsidTr="00D67740">
        <w:trPr>
          <w:trHeight w:hRule="exact" w:val="389"/>
        </w:trPr>
        <w:tc>
          <w:tcPr>
            <w:tcW w:w="2977" w:type="dxa"/>
            <w:shd w:val="clear" w:color="auto" w:fill="auto"/>
          </w:tcPr>
          <w:p w:rsidR="005D59E5" w:rsidRPr="00C32D16" w:rsidRDefault="005D59E5" w:rsidP="001F73A0">
            <w:pPr>
              <w:pStyle w:val="a9"/>
            </w:pPr>
            <w:r w:rsidRPr="00C32D16">
              <w:t>Депозиты</w:t>
            </w:r>
          </w:p>
        </w:tc>
        <w:tc>
          <w:tcPr>
            <w:tcW w:w="1985" w:type="dxa"/>
            <w:shd w:val="clear" w:color="auto" w:fill="auto"/>
          </w:tcPr>
          <w:p w:rsidR="005D59E5" w:rsidRPr="00C32D16" w:rsidRDefault="005D59E5" w:rsidP="001F73A0">
            <w:pPr>
              <w:pStyle w:val="a9"/>
            </w:pPr>
            <w:r w:rsidRPr="00C32D16">
              <w:t>40</w:t>
            </w:r>
          </w:p>
        </w:tc>
        <w:tc>
          <w:tcPr>
            <w:tcW w:w="2796" w:type="dxa"/>
            <w:shd w:val="clear" w:color="auto" w:fill="auto"/>
          </w:tcPr>
          <w:p w:rsidR="005D59E5" w:rsidRPr="00C32D16" w:rsidRDefault="005D59E5" w:rsidP="001F73A0">
            <w:pPr>
              <w:pStyle w:val="a9"/>
            </w:pPr>
            <w:r w:rsidRPr="00C32D16">
              <w:t>40</w:t>
            </w:r>
          </w:p>
        </w:tc>
        <w:tc>
          <w:tcPr>
            <w:tcW w:w="1297" w:type="dxa"/>
            <w:shd w:val="clear" w:color="auto" w:fill="auto"/>
          </w:tcPr>
          <w:p w:rsidR="005D59E5" w:rsidRPr="00C32D16" w:rsidRDefault="005D59E5" w:rsidP="001F73A0">
            <w:pPr>
              <w:pStyle w:val="a9"/>
            </w:pPr>
            <w:r w:rsidRPr="00C32D16">
              <w:t>60</w:t>
            </w:r>
          </w:p>
        </w:tc>
      </w:tr>
      <w:tr w:rsidR="005D59E5" w:rsidRPr="00D67740" w:rsidTr="00D67740">
        <w:trPr>
          <w:trHeight w:hRule="exact" w:val="389"/>
        </w:trPr>
        <w:tc>
          <w:tcPr>
            <w:tcW w:w="2977" w:type="dxa"/>
            <w:shd w:val="clear" w:color="auto" w:fill="auto"/>
          </w:tcPr>
          <w:p w:rsidR="005D59E5" w:rsidRPr="00C32D16" w:rsidRDefault="005D59E5" w:rsidP="001F73A0">
            <w:pPr>
              <w:pStyle w:val="a9"/>
            </w:pPr>
            <w:r w:rsidRPr="00C32D16">
              <w:t>Акции</w:t>
            </w:r>
          </w:p>
        </w:tc>
        <w:tc>
          <w:tcPr>
            <w:tcW w:w="1985" w:type="dxa"/>
            <w:shd w:val="clear" w:color="auto" w:fill="auto"/>
          </w:tcPr>
          <w:p w:rsidR="005D59E5" w:rsidRPr="00C32D16" w:rsidRDefault="005D59E5" w:rsidP="001F73A0">
            <w:pPr>
              <w:pStyle w:val="a9"/>
            </w:pPr>
            <w:r w:rsidRPr="00C32D16">
              <w:t>15</w:t>
            </w:r>
          </w:p>
        </w:tc>
        <w:tc>
          <w:tcPr>
            <w:tcW w:w="2796" w:type="dxa"/>
            <w:shd w:val="clear" w:color="auto" w:fill="auto"/>
          </w:tcPr>
          <w:p w:rsidR="005D59E5" w:rsidRPr="00C32D16" w:rsidRDefault="005D59E5" w:rsidP="001F73A0">
            <w:pPr>
              <w:pStyle w:val="a9"/>
            </w:pPr>
            <w:r w:rsidRPr="00C32D16">
              <w:t>15</w:t>
            </w:r>
          </w:p>
        </w:tc>
        <w:tc>
          <w:tcPr>
            <w:tcW w:w="1297" w:type="dxa"/>
            <w:shd w:val="clear" w:color="auto" w:fill="auto"/>
          </w:tcPr>
          <w:p w:rsidR="005D59E5" w:rsidRPr="00C32D16" w:rsidRDefault="005D59E5" w:rsidP="001F73A0">
            <w:pPr>
              <w:pStyle w:val="a9"/>
            </w:pPr>
            <w:r w:rsidRPr="00C32D16">
              <w:t>15</w:t>
            </w:r>
          </w:p>
        </w:tc>
      </w:tr>
      <w:tr w:rsidR="005D59E5" w:rsidRPr="00D67740" w:rsidTr="00D67740">
        <w:trPr>
          <w:trHeight w:hRule="exact" w:val="396"/>
        </w:trPr>
        <w:tc>
          <w:tcPr>
            <w:tcW w:w="2977" w:type="dxa"/>
            <w:shd w:val="clear" w:color="auto" w:fill="auto"/>
          </w:tcPr>
          <w:p w:rsidR="005D59E5" w:rsidRPr="00C32D16" w:rsidRDefault="005D59E5" w:rsidP="001F73A0">
            <w:pPr>
              <w:pStyle w:val="a9"/>
            </w:pPr>
            <w:r w:rsidRPr="00C32D16">
              <w:t>Облигации предприятий</w:t>
            </w:r>
          </w:p>
        </w:tc>
        <w:tc>
          <w:tcPr>
            <w:tcW w:w="1985" w:type="dxa"/>
            <w:shd w:val="clear" w:color="auto" w:fill="auto"/>
          </w:tcPr>
          <w:p w:rsidR="005D59E5" w:rsidRPr="00C32D16" w:rsidRDefault="005D59E5" w:rsidP="001F73A0">
            <w:pPr>
              <w:pStyle w:val="a9"/>
            </w:pPr>
            <w:r w:rsidRPr="00C32D16">
              <w:t>20</w:t>
            </w:r>
          </w:p>
        </w:tc>
        <w:tc>
          <w:tcPr>
            <w:tcW w:w="2796" w:type="dxa"/>
            <w:shd w:val="clear" w:color="auto" w:fill="auto"/>
          </w:tcPr>
          <w:p w:rsidR="005D59E5" w:rsidRPr="00C32D16" w:rsidRDefault="005D59E5" w:rsidP="001F73A0">
            <w:pPr>
              <w:pStyle w:val="a9"/>
            </w:pPr>
            <w:r w:rsidRPr="00C32D16">
              <w:t>20</w:t>
            </w:r>
          </w:p>
        </w:tc>
        <w:tc>
          <w:tcPr>
            <w:tcW w:w="1297" w:type="dxa"/>
            <w:shd w:val="clear" w:color="auto" w:fill="auto"/>
          </w:tcPr>
          <w:p w:rsidR="005D59E5" w:rsidRPr="00C32D16" w:rsidRDefault="005D59E5" w:rsidP="001F73A0">
            <w:pPr>
              <w:pStyle w:val="a9"/>
            </w:pPr>
            <w:r w:rsidRPr="00C32D16">
              <w:t>20</w:t>
            </w:r>
          </w:p>
        </w:tc>
      </w:tr>
      <w:tr w:rsidR="005D59E5" w:rsidRPr="00D67740" w:rsidTr="00D67740">
        <w:trPr>
          <w:trHeight w:hRule="exact" w:val="396"/>
        </w:trPr>
        <w:tc>
          <w:tcPr>
            <w:tcW w:w="2977" w:type="dxa"/>
            <w:shd w:val="clear" w:color="auto" w:fill="auto"/>
          </w:tcPr>
          <w:p w:rsidR="005D59E5" w:rsidRPr="00C32D16" w:rsidRDefault="005D59E5" w:rsidP="001F73A0">
            <w:pPr>
              <w:pStyle w:val="a9"/>
            </w:pPr>
            <w:r w:rsidRPr="00C32D16">
              <w:t>Векселя</w:t>
            </w:r>
          </w:p>
        </w:tc>
        <w:tc>
          <w:tcPr>
            <w:tcW w:w="1985" w:type="dxa"/>
            <w:shd w:val="clear" w:color="auto" w:fill="auto"/>
          </w:tcPr>
          <w:p w:rsidR="005D59E5" w:rsidRPr="00C32D16" w:rsidRDefault="005D59E5" w:rsidP="001F73A0">
            <w:pPr>
              <w:pStyle w:val="a9"/>
            </w:pPr>
            <w:r w:rsidRPr="00C32D16">
              <w:t>10</w:t>
            </w:r>
          </w:p>
        </w:tc>
        <w:tc>
          <w:tcPr>
            <w:tcW w:w="2796" w:type="dxa"/>
            <w:shd w:val="clear" w:color="auto" w:fill="auto"/>
          </w:tcPr>
          <w:p w:rsidR="005D59E5" w:rsidRPr="00C32D16" w:rsidRDefault="005D59E5" w:rsidP="001F73A0">
            <w:pPr>
              <w:pStyle w:val="a9"/>
            </w:pPr>
            <w:r w:rsidRPr="00C32D16">
              <w:t>10</w:t>
            </w:r>
          </w:p>
        </w:tc>
        <w:tc>
          <w:tcPr>
            <w:tcW w:w="1297" w:type="dxa"/>
            <w:shd w:val="clear" w:color="auto" w:fill="auto"/>
          </w:tcPr>
          <w:p w:rsidR="005D59E5" w:rsidRPr="00C32D16" w:rsidRDefault="005D59E5" w:rsidP="001F73A0">
            <w:pPr>
              <w:pStyle w:val="a9"/>
            </w:pPr>
            <w:r w:rsidRPr="00C32D16">
              <w:t>10</w:t>
            </w:r>
          </w:p>
        </w:tc>
      </w:tr>
      <w:tr w:rsidR="005D59E5" w:rsidRPr="00D67740" w:rsidTr="00D67740">
        <w:trPr>
          <w:trHeight w:hRule="exact" w:val="396"/>
        </w:trPr>
        <w:tc>
          <w:tcPr>
            <w:tcW w:w="2977" w:type="dxa"/>
            <w:shd w:val="clear" w:color="auto" w:fill="auto"/>
          </w:tcPr>
          <w:p w:rsidR="005D59E5" w:rsidRPr="00C32D16" w:rsidRDefault="005D59E5" w:rsidP="001F73A0">
            <w:pPr>
              <w:pStyle w:val="a9"/>
            </w:pPr>
            <w:r w:rsidRPr="00C32D16">
              <w:t>Жилищные сертификаты</w:t>
            </w:r>
          </w:p>
        </w:tc>
        <w:tc>
          <w:tcPr>
            <w:tcW w:w="1985" w:type="dxa"/>
            <w:shd w:val="clear" w:color="auto" w:fill="auto"/>
          </w:tcPr>
          <w:p w:rsidR="005D59E5" w:rsidRPr="00C32D16" w:rsidRDefault="005D59E5" w:rsidP="001F73A0">
            <w:pPr>
              <w:pStyle w:val="a9"/>
            </w:pPr>
            <w:r w:rsidRPr="00C32D16">
              <w:t>5</w:t>
            </w:r>
          </w:p>
        </w:tc>
        <w:tc>
          <w:tcPr>
            <w:tcW w:w="2796" w:type="dxa"/>
            <w:shd w:val="clear" w:color="auto" w:fill="auto"/>
          </w:tcPr>
          <w:p w:rsidR="005D59E5" w:rsidRPr="00C32D16" w:rsidRDefault="005D59E5" w:rsidP="001F73A0">
            <w:pPr>
              <w:pStyle w:val="a9"/>
            </w:pPr>
            <w:r w:rsidRPr="00C32D16">
              <w:t>5</w:t>
            </w:r>
          </w:p>
        </w:tc>
        <w:tc>
          <w:tcPr>
            <w:tcW w:w="1297" w:type="dxa"/>
            <w:shd w:val="clear" w:color="auto" w:fill="auto"/>
          </w:tcPr>
          <w:p w:rsidR="005D59E5" w:rsidRPr="00C32D16" w:rsidRDefault="005D59E5" w:rsidP="001F73A0">
            <w:pPr>
              <w:pStyle w:val="a9"/>
            </w:pPr>
            <w:r w:rsidRPr="00C32D16">
              <w:t>-</w:t>
            </w:r>
          </w:p>
        </w:tc>
      </w:tr>
      <w:tr w:rsidR="005D59E5" w:rsidRPr="00D67740" w:rsidTr="00D67740">
        <w:trPr>
          <w:trHeight w:hRule="exact" w:val="389"/>
        </w:trPr>
        <w:tc>
          <w:tcPr>
            <w:tcW w:w="2977" w:type="dxa"/>
            <w:shd w:val="clear" w:color="auto" w:fill="auto"/>
          </w:tcPr>
          <w:p w:rsidR="005D59E5" w:rsidRPr="00C32D16" w:rsidRDefault="005D59E5" w:rsidP="001F73A0">
            <w:pPr>
              <w:pStyle w:val="a9"/>
            </w:pPr>
            <w:r w:rsidRPr="00C32D16">
              <w:t>Паи ПИФов и доли в ОФБУ</w:t>
            </w:r>
          </w:p>
        </w:tc>
        <w:tc>
          <w:tcPr>
            <w:tcW w:w="1985" w:type="dxa"/>
            <w:shd w:val="clear" w:color="auto" w:fill="auto"/>
          </w:tcPr>
          <w:p w:rsidR="005D59E5" w:rsidRPr="00C32D16" w:rsidRDefault="005D59E5" w:rsidP="001F73A0">
            <w:pPr>
              <w:pStyle w:val="a9"/>
            </w:pPr>
            <w:r w:rsidRPr="00C32D16">
              <w:t>5</w:t>
            </w:r>
          </w:p>
        </w:tc>
        <w:tc>
          <w:tcPr>
            <w:tcW w:w="2796" w:type="dxa"/>
            <w:shd w:val="clear" w:color="auto" w:fill="auto"/>
          </w:tcPr>
          <w:p w:rsidR="005D59E5" w:rsidRPr="00C32D16" w:rsidRDefault="005D59E5" w:rsidP="001F73A0">
            <w:pPr>
              <w:pStyle w:val="a9"/>
            </w:pPr>
            <w:r w:rsidRPr="00C32D16">
              <w:t>10</w:t>
            </w:r>
          </w:p>
        </w:tc>
        <w:tc>
          <w:tcPr>
            <w:tcW w:w="1297" w:type="dxa"/>
            <w:shd w:val="clear" w:color="auto" w:fill="auto"/>
          </w:tcPr>
          <w:p w:rsidR="005D59E5" w:rsidRPr="00C32D16" w:rsidRDefault="005D59E5" w:rsidP="001F73A0">
            <w:pPr>
              <w:pStyle w:val="a9"/>
            </w:pPr>
            <w:r w:rsidRPr="00C32D16">
              <w:t>10</w:t>
            </w:r>
          </w:p>
        </w:tc>
      </w:tr>
      <w:tr w:rsidR="005D59E5" w:rsidRPr="00D67740" w:rsidTr="00D67740">
        <w:trPr>
          <w:trHeight w:hRule="exact" w:val="396"/>
        </w:trPr>
        <w:tc>
          <w:tcPr>
            <w:tcW w:w="2977" w:type="dxa"/>
            <w:shd w:val="clear" w:color="auto" w:fill="auto"/>
          </w:tcPr>
          <w:p w:rsidR="005D59E5" w:rsidRPr="00C32D16" w:rsidRDefault="005D59E5" w:rsidP="001F73A0">
            <w:pPr>
              <w:pStyle w:val="a9"/>
            </w:pPr>
            <w:r w:rsidRPr="00C32D16">
              <w:t>Недвижимость</w:t>
            </w:r>
          </w:p>
        </w:tc>
        <w:tc>
          <w:tcPr>
            <w:tcW w:w="1985" w:type="dxa"/>
            <w:shd w:val="clear" w:color="auto" w:fill="auto"/>
          </w:tcPr>
          <w:p w:rsidR="005D59E5" w:rsidRPr="00C32D16" w:rsidRDefault="005D59E5" w:rsidP="001F73A0">
            <w:pPr>
              <w:pStyle w:val="a9"/>
            </w:pPr>
            <w:r w:rsidRPr="00C32D16">
              <w:t>10</w:t>
            </w:r>
          </w:p>
        </w:tc>
        <w:tc>
          <w:tcPr>
            <w:tcW w:w="2796" w:type="dxa"/>
            <w:shd w:val="clear" w:color="auto" w:fill="auto"/>
          </w:tcPr>
          <w:p w:rsidR="005D59E5" w:rsidRPr="00C32D16" w:rsidRDefault="005D59E5" w:rsidP="001F73A0">
            <w:pPr>
              <w:pStyle w:val="a9"/>
            </w:pPr>
            <w:r w:rsidRPr="00C32D16">
              <w:t>20</w:t>
            </w:r>
          </w:p>
        </w:tc>
        <w:tc>
          <w:tcPr>
            <w:tcW w:w="1297" w:type="dxa"/>
            <w:shd w:val="clear" w:color="auto" w:fill="auto"/>
          </w:tcPr>
          <w:p w:rsidR="005D59E5" w:rsidRPr="00C32D16" w:rsidRDefault="005D59E5" w:rsidP="001F73A0">
            <w:pPr>
              <w:pStyle w:val="a9"/>
            </w:pPr>
            <w:r w:rsidRPr="00C32D16">
              <w:t>40</w:t>
            </w:r>
          </w:p>
        </w:tc>
      </w:tr>
      <w:tr w:rsidR="005D59E5" w:rsidRPr="00D67740" w:rsidTr="00D67740">
        <w:trPr>
          <w:trHeight w:hRule="exact" w:val="389"/>
        </w:trPr>
        <w:tc>
          <w:tcPr>
            <w:tcW w:w="2977" w:type="dxa"/>
            <w:shd w:val="clear" w:color="auto" w:fill="auto"/>
          </w:tcPr>
          <w:p w:rsidR="005D59E5" w:rsidRPr="00C32D16" w:rsidRDefault="005D59E5" w:rsidP="001F73A0">
            <w:pPr>
              <w:pStyle w:val="a9"/>
            </w:pPr>
            <w:r w:rsidRPr="00C32D16">
              <w:t>Слитки драгоценных металлов</w:t>
            </w:r>
          </w:p>
        </w:tc>
        <w:tc>
          <w:tcPr>
            <w:tcW w:w="1985" w:type="dxa"/>
            <w:shd w:val="clear" w:color="auto" w:fill="auto"/>
          </w:tcPr>
          <w:p w:rsidR="005D59E5" w:rsidRPr="00C32D16" w:rsidRDefault="005D59E5" w:rsidP="001F73A0">
            <w:pPr>
              <w:pStyle w:val="a9"/>
            </w:pPr>
            <w:r w:rsidRPr="00C32D16">
              <w:t>10</w:t>
            </w:r>
          </w:p>
        </w:tc>
        <w:tc>
          <w:tcPr>
            <w:tcW w:w="2796" w:type="dxa"/>
            <w:shd w:val="clear" w:color="auto" w:fill="auto"/>
          </w:tcPr>
          <w:p w:rsidR="005D59E5" w:rsidRPr="00C32D16" w:rsidRDefault="005D59E5" w:rsidP="001F73A0">
            <w:pPr>
              <w:pStyle w:val="a9"/>
            </w:pPr>
            <w:r w:rsidRPr="00C32D16">
              <w:t>10</w:t>
            </w:r>
          </w:p>
        </w:tc>
        <w:tc>
          <w:tcPr>
            <w:tcW w:w="1297" w:type="dxa"/>
            <w:shd w:val="clear" w:color="auto" w:fill="auto"/>
          </w:tcPr>
          <w:p w:rsidR="005D59E5" w:rsidRPr="00C32D16" w:rsidRDefault="005D59E5" w:rsidP="001F73A0">
            <w:pPr>
              <w:pStyle w:val="a9"/>
            </w:pPr>
            <w:r w:rsidRPr="00C32D16">
              <w:t>10</w:t>
            </w:r>
          </w:p>
        </w:tc>
      </w:tr>
      <w:tr w:rsidR="005D59E5" w:rsidRPr="00D67740" w:rsidTr="00D67740">
        <w:trPr>
          <w:trHeight w:hRule="exact" w:val="396"/>
        </w:trPr>
        <w:tc>
          <w:tcPr>
            <w:tcW w:w="2977" w:type="dxa"/>
            <w:shd w:val="clear" w:color="auto" w:fill="auto"/>
          </w:tcPr>
          <w:p w:rsidR="005D59E5" w:rsidRPr="00C32D16" w:rsidRDefault="005D59E5" w:rsidP="001F73A0">
            <w:pPr>
              <w:pStyle w:val="a9"/>
            </w:pPr>
            <w:r w:rsidRPr="00C32D16">
              <w:t>Ипотечные ценные бумаги</w:t>
            </w:r>
          </w:p>
        </w:tc>
        <w:tc>
          <w:tcPr>
            <w:tcW w:w="1985" w:type="dxa"/>
            <w:shd w:val="clear" w:color="auto" w:fill="auto"/>
          </w:tcPr>
          <w:p w:rsidR="005D59E5" w:rsidRPr="00C32D16" w:rsidRDefault="005D59E5" w:rsidP="001F73A0">
            <w:pPr>
              <w:pStyle w:val="a9"/>
            </w:pPr>
            <w:r w:rsidRPr="00C32D16">
              <w:t>-</w:t>
            </w:r>
          </w:p>
        </w:tc>
        <w:tc>
          <w:tcPr>
            <w:tcW w:w="2796" w:type="dxa"/>
            <w:shd w:val="clear" w:color="auto" w:fill="auto"/>
          </w:tcPr>
          <w:p w:rsidR="005D59E5" w:rsidRPr="00C32D16" w:rsidRDefault="005D59E5" w:rsidP="001F73A0">
            <w:pPr>
              <w:pStyle w:val="a9"/>
            </w:pPr>
            <w:r w:rsidRPr="00C32D16">
              <w:t>5</w:t>
            </w:r>
          </w:p>
        </w:tc>
        <w:tc>
          <w:tcPr>
            <w:tcW w:w="1297" w:type="dxa"/>
            <w:shd w:val="clear" w:color="auto" w:fill="auto"/>
          </w:tcPr>
          <w:p w:rsidR="005D59E5" w:rsidRPr="00C32D16" w:rsidRDefault="005D59E5" w:rsidP="001F73A0">
            <w:pPr>
              <w:pStyle w:val="a9"/>
            </w:pPr>
            <w:r w:rsidRPr="00C32D16">
              <w:t>5</w:t>
            </w:r>
          </w:p>
        </w:tc>
      </w:tr>
      <w:tr w:rsidR="005D59E5" w:rsidRPr="00D67740" w:rsidTr="00D67740">
        <w:trPr>
          <w:trHeight w:hRule="exact" w:val="389"/>
        </w:trPr>
        <w:tc>
          <w:tcPr>
            <w:tcW w:w="2977" w:type="dxa"/>
            <w:shd w:val="clear" w:color="auto" w:fill="auto"/>
          </w:tcPr>
          <w:p w:rsidR="005D59E5" w:rsidRPr="00C32D16" w:rsidRDefault="005D59E5" w:rsidP="001F73A0">
            <w:pPr>
              <w:pStyle w:val="a9"/>
            </w:pPr>
            <w:r w:rsidRPr="00C32D16">
              <w:t>Займы под полисы</w:t>
            </w:r>
          </w:p>
        </w:tc>
        <w:tc>
          <w:tcPr>
            <w:tcW w:w="1985" w:type="dxa"/>
            <w:shd w:val="clear" w:color="auto" w:fill="auto"/>
          </w:tcPr>
          <w:p w:rsidR="005D59E5" w:rsidRPr="00C32D16" w:rsidRDefault="005D59E5" w:rsidP="001F73A0">
            <w:pPr>
              <w:pStyle w:val="a9"/>
            </w:pPr>
            <w:r w:rsidRPr="00C32D16">
              <w:t>-</w:t>
            </w:r>
          </w:p>
        </w:tc>
        <w:tc>
          <w:tcPr>
            <w:tcW w:w="2796" w:type="dxa"/>
            <w:shd w:val="clear" w:color="auto" w:fill="auto"/>
          </w:tcPr>
          <w:p w:rsidR="005D59E5" w:rsidRPr="00C32D16" w:rsidRDefault="005D59E5" w:rsidP="001F73A0">
            <w:pPr>
              <w:pStyle w:val="a9"/>
            </w:pPr>
            <w:r w:rsidRPr="00C32D16">
              <w:t>10</w:t>
            </w:r>
          </w:p>
        </w:tc>
        <w:tc>
          <w:tcPr>
            <w:tcW w:w="1297" w:type="dxa"/>
            <w:shd w:val="clear" w:color="auto" w:fill="auto"/>
          </w:tcPr>
          <w:p w:rsidR="005D59E5" w:rsidRPr="00C32D16" w:rsidRDefault="005D59E5" w:rsidP="001F73A0">
            <w:pPr>
              <w:pStyle w:val="a9"/>
            </w:pPr>
            <w:r w:rsidRPr="00C32D16">
              <w:t>-</w:t>
            </w:r>
          </w:p>
        </w:tc>
      </w:tr>
      <w:tr w:rsidR="005D59E5" w:rsidRPr="00D67740" w:rsidTr="00D67740">
        <w:trPr>
          <w:trHeight w:hRule="exact" w:val="413"/>
        </w:trPr>
        <w:tc>
          <w:tcPr>
            <w:tcW w:w="2977" w:type="dxa"/>
            <w:shd w:val="clear" w:color="auto" w:fill="auto"/>
          </w:tcPr>
          <w:p w:rsidR="005D59E5" w:rsidRPr="00C32D16" w:rsidRDefault="005D59E5" w:rsidP="001F73A0">
            <w:pPr>
              <w:pStyle w:val="a9"/>
            </w:pPr>
            <w:r w:rsidRPr="00C32D16">
              <w:t>Доверительное управление</w:t>
            </w:r>
          </w:p>
        </w:tc>
        <w:tc>
          <w:tcPr>
            <w:tcW w:w="1985" w:type="dxa"/>
            <w:shd w:val="clear" w:color="auto" w:fill="auto"/>
          </w:tcPr>
          <w:p w:rsidR="005D59E5" w:rsidRPr="00C32D16" w:rsidRDefault="005D59E5" w:rsidP="001F73A0">
            <w:pPr>
              <w:pStyle w:val="a9"/>
            </w:pPr>
            <w:r w:rsidRPr="00C32D16">
              <w:t>20</w:t>
            </w:r>
          </w:p>
        </w:tc>
        <w:tc>
          <w:tcPr>
            <w:tcW w:w="2796" w:type="dxa"/>
            <w:shd w:val="clear" w:color="auto" w:fill="auto"/>
          </w:tcPr>
          <w:p w:rsidR="005D59E5" w:rsidRPr="00C32D16" w:rsidRDefault="005D59E5" w:rsidP="001F73A0">
            <w:pPr>
              <w:pStyle w:val="a9"/>
            </w:pPr>
            <w:r w:rsidRPr="00C32D16">
              <w:t>20</w:t>
            </w:r>
          </w:p>
        </w:tc>
        <w:tc>
          <w:tcPr>
            <w:tcW w:w="1297" w:type="dxa"/>
            <w:shd w:val="clear" w:color="auto" w:fill="auto"/>
          </w:tcPr>
          <w:p w:rsidR="005D59E5" w:rsidRPr="00C32D16" w:rsidRDefault="005D59E5" w:rsidP="001F73A0">
            <w:pPr>
              <w:pStyle w:val="a9"/>
            </w:pPr>
            <w:r w:rsidRPr="00C32D16">
              <w:t>-</w:t>
            </w:r>
          </w:p>
        </w:tc>
      </w:tr>
    </w:tbl>
    <w:p w:rsidR="00D854FE" w:rsidRPr="00C32D16" w:rsidRDefault="00E633A2" w:rsidP="00C32D16">
      <w:pPr>
        <w:pStyle w:val="a8"/>
      </w:pPr>
      <w:r>
        <w:br w:type="page"/>
      </w:r>
      <w:r w:rsidR="00D854FE" w:rsidRPr="00C32D16">
        <w:t>Рассмотрев законодательное регулирование структуры инвестирования российских страховых организаций, рассмотрим основные направления инвестирования страховых резервов национальных страховщиков. В</w:t>
      </w:r>
      <w:r w:rsidR="005D59E5" w:rsidRPr="00C32D16">
        <w:t xml:space="preserve"> таблице 4</w:t>
      </w:r>
      <w:r w:rsidR="00D854FE" w:rsidRPr="00C32D16">
        <w:t xml:space="preserve"> представлены эти данные.</w:t>
      </w:r>
    </w:p>
    <w:p w:rsidR="005D59E5" w:rsidRPr="00C32D16" w:rsidRDefault="005D59E5" w:rsidP="00C32D16">
      <w:pPr>
        <w:pStyle w:val="a8"/>
      </w:pPr>
    </w:p>
    <w:p w:rsidR="005D59E5" w:rsidRPr="00C32D16" w:rsidRDefault="005D59E5" w:rsidP="00C32D16">
      <w:pPr>
        <w:pStyle w:val="a8"/>
      </w:pPr>
      <w:r w:rsidRPr="00C32D16">
        <w:t>Таблица 4</w:t>
      </w:r>
    </w:p>
    <w:p w:rsidR="00D854FE" w:rsidRPr="00C32D16" w:rsidRDefault="005D59E5" w:rsidP="00C32D16">
      <w:pPr>
        <w:pStyle w:val="a8"/>
      </w:pPr>
      <w:r w:rsidRPr="00C32D16">
        <w:t>Структура размещения средств страховых резервов в 2001-2006 гг.</w:t>
      </w:r>
      <w:r w:rsidR="00A577BD" w:rsidRPr="00C32D16">
        <w:t xml:space="preserve"> [10, с.11]</w:t>
      </w:r>
    </w:p>
    <w:tbl>
      <w:tblPr>
        <w:tblW w:w="0" w:type="auto"/>
        <w:jc w:val="center"/>
        <w:tblLayout w:type="fixed"/>
        <w:tblCellMar>
          <w:left w:w="40" w:type="dxa"/>
          <w:right w:w="40" w:type="dxa"/>
        </w:tblCellMar>
        <w:tblLook w:val="0000" w:firstRow="0" w:lastRow="0" w:firstColumn="0" w:lastColumn="0" w:noHBand="0" w:noVBand="0"/>
      </w:tblPr>
      <w:tblGrid>
        <w:gridCol w:w="5449"/>
        <w:gridCol w:w="1040"/>
        <w:gridCol w:w="790"/>
        <w:gridCol w:w="1037"/>
        <w:gridCol w:w="746"/>
      </w:tblGrid>
      <w:tr w:rsidR="00A465C3" w:rsidRPr="00C32D16" w:rsidTr="00080FA8">
        <w:trPr>
          <w:trHeight w:hRule="exact" w:val="285"/>
          <w:jc w:val="center"/>
        </w:trPr>
        <w:tc>
          <w:tcPr>
            <w:tcW w:w="5449" w:type="dxa"/>
            <w:vMerge w:val="restart"/>
            <w:tcBorders>
              <w:top w:val="single" w:sz="6" w:space="0" w:color="auto"/>
              <w:left w:val="single" w:sz="6" w:space="0" w:color="auto"/>
              <w:right w:val="single" w:sz="6" w:space="0" w:color="auto"/>
            </w:tcBorders>
            <w:shd w:val="clear" w:color="auto" w:fill="FFFFFF"/>
          </w:tcPr>
          <w:p w:rsidR="00A465C3" w:rsidRPr="00C32D16" w:rsidRDefault="00A465C3" w:rsidP="00A465C3">
            <w:pPr>
              <w:pStyle w:val="a9"/>
            </w:pPr>
            <w:r w:rsidRPr="00C32D16">
              <w:t>Наименование актива</w:t>
            </w:r>
          </w:p>
        </w:tc>
        <w:tc>
          <w:tcPr>
            <w:tcW w:w="1830" w:type="dxa"/>
            <w:gridSpan w:val="2"/>
            <w:tcBorders>
              <w:top w:val="single" w:sz="6" w:space="0" w:color="auto"/>
              <w:left w:val="single" w:sz="6" w:space="0" w:color="auto"/>
              <w:bottom w:val="single" w:sz="6" w:space="0" w:color="auto"/>
              <w:right w:val="single" w:sz="6" w:space="0" w:color="auto"/>
            </w:tcBorders>
            <w:shd w:val="clear" w:color="auto" w:fill="FFFFFF"/>
          </w:tcPr>
          <w:p w:rsidR="00A465C3" w:rsidRPr="00C32D16" w:rsidRDefault="00A465C3" w:rsidP="00A465C3">
            <w:pPr>
              <w:pStyle w:val="a9"/>
            </w:pPr>
            <w:r w:rsidRPr="00C32D16">
              <w:t>2001</w:t>
            </w:r>
          </w:p>
        </w:tc>
        <w:tc>
          <w:tcPr>
            <w:tcW w:w="1783" w:type="dxa"/>
            <w:gridSpan w:val="2"/>
            <w:tcBorders>
              <w:top w:val="single" w:sz="6" w:space="0" w:color="auto"/>
              <w:left w:val="single" w:sz="6" w:space="0" w:color="auto"/>
              <w:bottom w:val="single" w:sz="6" w:space="0" w:color="auto"/>
              <w:right w:val="single" w:sz="6" w:space="0" w:color="auto"/>
            </w:tcBorders>
            <w:shd w:val="clear" w:color="auto" w:fill="FFFFFF"/>
          </w:tcPr>
          <w:p w:rsidR="00A465C3" w:rsidRPr="00C32D16" w:rsidRDefault="00A465C3" w:rsidP="00A465C3">
            <w:pPr>
              <w:pStyle w:val="a9"/>
            </w:pPr>
            <w:r w:rsidRPr="00C32D16">
              <w:t>2006</w:t>
            </w:r>
          </w:p>
        </w:tc>
      </w:tr>
      <w:tr w:rsidR="00A465C3" w:rsidRPr="00C32D16" w:rsidTr="00080FA8">
        <w:trPr>
          <w:trHeight w:hRule="exact" w:val="653"/>
          <w:jc w:val="center"/>
        </w:trPr>
        <w:tc>
          <w:tcPr>
            <w:tcW w:w="5449" w:type="dxa"/>
            <w:vMerge/>
            <w:tcBorders>
              <w:left w:val="single" w:sz="6" w:space="0" w:color="auto"/>
              <w:bottom w:val="single" w:sz="6" w:space="0" w:color="auto"/>
              <w:right w:val="single" w:sz="6" w:space="0" w:color="auto"/>
            </w:tcBorders>
            <w:shd w:val="clear" w:color="auto" w:fill="FFFFFF"/>
          </w:tcPr>
          <w:p w:rsidR="00A465C3" w:rsidRPr="00C32D16" w:rsidRDefault="00A465C3" w:rsidP="00A465C3">
            <w:pPr>
              <w:pStyle w:val="a9"/>
            </w:pP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A465C3" w:rsidRPr="00C32D16" w:rsidRDefault="00A465C3" w:rsidP="00A465C3">
            <w:pPr>
              <w:pStyle w:val="a9"/>
            </w:pPr>
            <w:r w:rsidRPr="00C32D16">
              <w:t>в млн руб.</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A465C3" w:rsidRPr="00C32D16" w:rsidRDefault="00A465C3" w:rsidP="00A465C3">
            <w:pPr>
              <w:pStyle w:val="a9"/>
            </w:pPr>
            <w:r w:rsidRPr="00C32D16">
              <w:t>в % к итогу</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A465C3" w:rsidRPr="00C32D16" w:rsidRDefault="00A465C3" w:rsidP="00A465C3">
            <w:pPr>
              <w:pStyle w:val="a9"/>
            </w:pPr>
            <w:r w:rsidRPr="00C32D16">
              <w:t>в млн руб.</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A465C3" w:rsidRPr="00C32D16" w:rsidRDefault="00A465C3" w:rsidP="00A465C3">
            <w:pPr>
              <w:pStyle w:val="a9"/>
            </w:pPr>
            <w:r w:rsidRPr="00C32D16">
              <w:t>в % к итогу</w:t>
            </w:r>
          </w:p>
        </w:tc>
      </w:tr>
      <w:tr w:rsidR="00D854FE" w:rsidRPr="00C32D16" w:rsidTr="00080FA8">
        <w:trPr>
          <w:trHeight w:hRule="exact" w:val="447"/>
          <w:jc w:val="center"/>
        </w:trPr>
        <w:tc>
          <w:tcPr>
            <w:tcW w:w="5449"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1</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2</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3</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4</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5</w:t>
            </w:r>
          </w:p>
        </w:tc>
      </w:tr>
      <w:tr w:rsidR="00D854FE" w:rsidRPr="00C32D16" w:rsidTr="00080FA8">
        <w:trPr>
          <w:trHeight w:hRule="exact" w:val="298"/>
          <w:jc w:val="center"/>
        </w:trPr>
        <w:tc>
          <w:tcPr>
            <w:tcW w:w="5449"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Облигации (всего)</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4666,3</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4,7</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30058,1</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12,1</w:t>
            </w:r>
          </w:p>
        </w:tc>
      </w:tr>
      <w:tr w:rsidR="00D854FE" w:rsidRPr="00C32D16" w:rsidTr="00080FA8">
        <w:trPr>
          <w:trHeight w:hRule="exact" w:val="298"/>
          <w:jc w:val="center"/>
        </w:trPr>
        <w:tc>
          <w:tcPr>
            <w:tcW w:w="5449"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Федеральные государственные облигации</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4122,3</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4,1</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6302,4</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2,5</w:t>
            </w:r>
          </w:p>
        </w:tc>
      </w:tr>
      <w:tr w:rsidR="00D854FE" w:rsidRPr="00C32D16" w:rsidTr="00080FA8">
        <w:trPr>
          <w:trHeight w:hRule="exact" w:val="649"/>
          <w:jc w:val="center"/>
        </w:trPr>
        <w:tc>
          <w:tcPr>
            <w:tcW w:w="5449" w:type="dxa"/>
            <w:tcBorders>
              <w:top w:val="single" w:sz="6" w:space="0" w:color="auto"/>
              <w:left w:val="single" w:sz="6" w:space="0" w:color="auto"/>
              <w:bottom w:val="single" w:sz="6" w:space="0" w:color="auto"/>
              <w:right w:val="single" w:sz="6" w:space="0" w:color="auto"/>
            </w:tcBorders>
            <w:shd w:val="clear" w:color="auto" w:fill="FFFFFF"/>
            <w:vAlign w:val="center"/>
          </w:tcPr>
          <w:p w:rsidR="00D854FE" w:rsidRPr="00C32D16" w:rsidRDefault="00D854FE" w:rsidP="00A465C3">
            <w:pPr>
              <w:pStyle w:val="a9"/>
            </w:pPr>
            <w:r w:rsidRPr="00C32D16">
              <w:t>Государственные облигации</w:t>
            </w:r>
            <w:r w:rsidR="00C32D16">
              <w:t xml:space="preserve"> </w:t>
            </w:r>
            <w:r w:rsidRPr="00C32D16">
              <w:t>субъектов</w:t>
            </w:r>
            <w:r w:rsidR="00C32D16">
              <w:t xml:space="preserve"> </w:t>
            </w:r>
            <w:r w:rsidRPr="00C32D16">
              <w:t>РФ</w:t>
            </w:r>
            <w:r w:rsidR="00C32D16">
              <w:t xml:space="preserve"> </w:t>
            </w:r>
            <w:r w:rsidRPr="00C32D16">
              <w:t>и муниципальные облигации</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203,4</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0,0</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9993,6</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4,0</w:t>
            </w:r>
          </w:p>
        </w:tc>
      </w:tr>
      <w:tr w:rsidR="00D854FE" w:rsidRPr="00C32D16" w:rsidTr="00080FA8">
        <w:trPr>
          <w:trHeight w:hRule="exact" w:val="659"/>
          <w:jc w:val="center"/>
        </w:trPr>
        <w:tc>
          <w:tcPr>
            <w:tcW w:w="5449" w:type="dxa"/>
            <w:tcBorders>
              <w:top w:val="single" w:sz="6" w:space="0" w:color="auto"/>
              <w:left w:val="single" w:sz="6" w:space="0" w:color="auto"/>
              <w:bottom w:val="single" w:sz="6" w:space="0" w:color="auto"/>
              <w:right w:val="single" w:sz="6" w:space="0" w:color="auto"/>
            </w:tcBorders>
            <w:shd w:val="clear" w:color="auto" w:fill="FFFFFF"/>
            <w:vAlign w:val="center"/>
          </w:tcPr>
          <w:p w:rsidR="00D854FE" w:rsidRPr="00C32D16" w:rsidRDefault="00D854FE" w:rsidP="00A465C3">
            <w:pPr>
              <w:pStyle w:val="a9"/>
            </w:pPr>
            <w:r w:rsidRPr="00C32D16">
              <w:t>Облигации (кроме государственных, муниципальных и ипотечных)</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339,9</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0,4</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13656,5</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5,5</w:t>
            </w:r>
          </w:p>
        </w:tc>
      </w:tr>
      <w:tr w:rsidR="00D854FE" w:rsidRPr="00C32D16" w:rsidTr="00080FA8">
        <w:trPr>
          <w:trHeight w:hRule="exact" w:val="298"/>
          <w:jc w:val="center"/>
        </w:trPr>
        <w:tc>
          <w:tcPr>
            <w:tcW w:w="5449"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Жилищные сертификаты</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0,4</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0,0</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0</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0</w:t>
            </w:r>
          </w:p>
        </w:tc>
      </w:tr>
      <w:tr w:rsidR="00D854FE" w:rsidRPr="00C32D16" w:rsidTr="00080FA8">
        <w:trPr>
          <w:trHeight w:hRule="exact" w:val="298"/>
          <w:jc w:val="center"/>
        </w:trPr>
        <w:tc>
          <w:tcPr>
            <w:tcW w:w="5449"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Векселя банков</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11978,3</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12,1</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8013,9</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3,2</w:t>
            </w:r>
          </w:p>
        </w:tc>
      </w:tr>
      <w:tr w:rsidR="00D854FE" w:rsidRPr="00C32D16" w:rsidTr="00080FA8">
        <w:trPr>
          <w:trHeight w:hRule="exact" w:val="291"/>
          <w:jc w:val="center"/>
        </w:trPr>
        <w:tc>
          <w:tcPr>
            <w:tcW w:w="5449"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Банковские вклады</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10183,0</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10,2</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56649,0</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22,8</w:t>
            </w:r>
          </w:p>
        </w:tc>
      </w:tr>
      <w:tr w:rsidR="00D854FE" w:rsidRPr="00C32D16" w:rsidTr="00080FA8">
        <w:trPr>
          <w:trHeight w:hRule="exact" w:val="355"/>
          <w:jc w:val="center"/>
        </w:trPr>
        <w:tc>
          <w:tcPr>
            <w:tcW w:w="5449"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Акции</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6192,7</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6,3</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18,9</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7,6</w:t>
            </w:r>
          </w:p>
        </w:tc>
      </w:tr>
      <w:tr w:rsidR="00D854FE" w:rsidRPr="00C32D16" w:rsidTr="00080FA8">
        <w:trPr>
          <w:trHeight w:hRule="exact" w:val="355"/>
          <w:jc w:val="center"/>
        </w:trPr>
        <w:tc>
          <w:tcPr>
            <w:tcW w:w="5449"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Долевое участие в ОФ</w:t>
            </w:r>
            <w:r w:rsidR="00DE02BF" w:rsidRPr="00C32D16">
              <w:t>Б</w:t>
            </w:r>
            <w:r w:rsidRPr="00C32D16">
              <w:t>У</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1,9</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0,0</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540,7</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0,2</w:t>
            </w:r>
          </w:p>
        </w:tc>
      </w:tr>
      <w:tr w:rsidR="00D854FE" w:rsidRPr="00C32D16" w:rsidTr="00080FA8">
        <w:trPr>
          <w:trHeight w:hRule="exact" w:val="355"/>
          <w:jc w:val="center"/>
        </w:trPr>
        <w:tc>
          <w:tcPr>
            <w:tcW w:w="5449"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Инвестиционные паи ПИФов</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235,6</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0,2</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3894,6</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1,6</w:t>
            </w:r>
          </w:p>
        </w:tc>
      </w:tr>
      <w:tr w:rsidR="00D854FE" w:rsidRPr="00C32D16" w:rsidTr="00080FA8">
        <w:trPr>
          <w:trHeight w:hRule="exact" w:val="355"/>
          <w:jc w:val="center"/>
        </w:trPr>
        <w:tc>
          <w:tcPr>
            <w:tcW w:w="5449"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Недвижимое имущество</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1813,4</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1,8</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8901,1</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3,6</w:t>
            </w:r>
          </w:p>
        </w:tc>
      </w:tr>
      <w:tr w:rsidR="00D854FE" w:rsidRPr="00C32D16" w:rsidTr="00080FA8">
        <w:trPr>
          <w:trHeight w:hRule="exact" w:val="355"/>
          <w:jc w:val="center"/>
        </w:trPr>
        <w:tc>
          <w:tcPr>
            <w:tcW w:w="5449"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Доля перестраховщиков в страховых резервах</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26654.1</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26,9</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24803,5</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10,0</w:t>
            </w:r>
          </w:p>
        </w:tc>
      </w:tr>
      <w:tr w:rsidR="00D854FE" w:rsidRPr="00C32D16" w:rsidTr="00080FA8">
        <w:trPr>
          <w:trHeight w:hRule="exact" w:val="355"/>
          <w:jc w:val="center"/>
        </w:trPr>
        <w:tc>
          <w:tcPr>
            <w:tcW w:w="5449"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Депо премий у перестрахователей</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767,2</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0,8</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208.8</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0,1</w:t>
            </w:r>
          </w:p>
        </w:tc>
      </w:tr>
      <w:tr w:rsidR="00D854FE" w:rsidRPr="00C32D16" w:rsidTr="00080FA8">
        <w:trPr>
          <w:trHeight w:hRule="exact" w:val="355"/>
          <w:jc w:val="center"/>
        </w:trPr>
        <w:tc>
          <w:tcPr>
            <w:tcW w:w="5449"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Дебиторская задолженность перестраховщиков, перестрахователей</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1683,1</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1,7</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1038,3</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0,4</w:t>
            </w:r>
          </w:p>
        </w:tc>
      </w:tr>
      <w:tr w:rsidR="00D854FE" w:rsidRPr="00C32D16" w:rsidTr="00080FA8">
        <w:trPr>
          <w:trHeight w:hRule="exact" w:val="355"/>
          <w:jc w:val="center"/>
        </w:trPr>
        <w:tc>
          <w:tcPr>
            <w:tcW w:w="5449"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Дебиторская задолженность страхователей</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11617.0</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4,7</w:t>
            </w:r>
          </w:p>
        </w:tc>
      </w:tr>
      <w:tr w:rsidR="00D854FE" w:rsidRPr="00C32D16" w:rsidTr="00080FA8">
        <w:trPr>
          <w:trHeight w:hRule="exact" w:val="355"/>
          <w:jc w:val="center"/>
        </w:trPr>
        <w:tc>
          <w:tcPr>
            <w:tcW w:w="5449"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Дебиторская задолженность страховых агентов</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25.6</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0,0</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319,4</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0,1</w:t>
            </w:r>
          </w:p>
        </w:tc>
      </w:tr>
      <w:tr w:rsidR="00D854FE" w:rsidRPr="00C32D16" w:rsidTr="00080FA8">
        <w:trPr>
          <w:trHeight w:hRule="exact" w:val="355"/>
          <w:jc w:val="center"/>
        </w:trPr>
        <w:tc>
          <w:tcPr>
            <w:tcW w:w="5449"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Дебиторская задолженность страховщиков</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35,6</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0,0</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181,5</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0,1</w:t>
            </w:r>
          </w:p>
        </w:tc>
      </w:tr>
      <w:tr w:rsidR="00D854FE" w:rsidRPr="00C32D16" w:rsidTr="00080FA8">
        <w:trPr>
          <w:trHeight w:hRule="exact" w:val="355"/>
          <w:jc w:val="center"/>
        </w:trPr>
        <w:tc>
          <w:tcPr>
            <w:tcW w:w="5449"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Денежные средства</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25985,7</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26.3</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53406,0</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21,5</w:t>
            </w:r>
          </w:p>
        </w:tc>
      </w:tr>
      <w:tr w:rsidR="00D854FE" w:rsidRPr="00C32D16" w:rsidTr="00080FA8">
        <w:trPr>
          <w:trHeight w:hRule="exact" w:val="696"/>
          <w:jc w:val="center"/>
        </w:trPr>
        <w:tc>
          <w:tcPr>
            <w:tcW w:w="5449"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Слитки золота, серебра, платины, палладия, памятные монеты РФ</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426,8</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0.4</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22,8</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0,01</w:t>
            </w:r>
          </w:p>
        </w:tc>
      </w:tr>
      <w:tr w:rsidR="00D854FE" w:rsidRPr="00C32D16" w:rsidTr="00080FA8">
        <w:trPr>
          <w:trHeight w:hRule="exact" w:val="355"/>
          <w:jc w:val="center"/>
        </w:trPr>
        <w:tc>
          <w:tcPr>
            <w:tcW w:w="5449"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Итого</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98961,8</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0828F7" w:rsidP="00A465C3">
            <w:pPr>
              <w:pStyle w:val="a9"/>
            </w:pPr>
            <w:r w:rsidRPr="00C32D16">
              <w:t>1</w:t>
            </w:r>
            <w:r w:rsidR="00D854FE" w:rsidRPr="00C32D16">
              <w:t>00,0</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248545,3</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D854FE" w:rsidRPr="00C32D16" w:rsidRDefault="00D854FE" w:rsidP="00A465C3">
            <w:pPr>
              <w:pStyle w:val="a9"/>
            </w:pPr>
            <w:r w:rsidRPr="00C32D16">
              <w:t>100,0</w:t>
            </w:r>
          </w:p>
        </w:tc>
      </w:tr>
    </w:tbl>
    <w:p w:rsidR="00D854FE" w:rsidRPr="00C32D16" w:rsidRDefault="00D854FE" w:rsidP="00C32D16">
      <w:pPr>
        <w:pStyle w:val="a8"/>
      </w:pPr>
    </w:p>
    <w:p w:rsidR="00C32D16" w:rsidRDefault="005D59E5" w:rsidP="00C32D16">
      <w:pPr>
        <w:pStyle w:val="a8"/>
      </w:pPr>
      <w:r w:rsidRPr="00C32D16">
        <w:t xml:space="preserve">21,5% составляет доля резервов российских страховщиков в денежных средствах. Это доля высока, хотя и несколько сократилась в сравнении с </w:t>
      </w:r>
      <w:smartTag w:uri="urn:schemas-microsoft-com:office:smarttags" w:element="metricconverter">
        <w:smartTagPr>
          <w:attr w:name="ProductID" w:val="2001 г"/>
        </w:smartTagPr>
        <w:r w:rsidRPr="00C32D16">
          <w:t>2001 г</w:t>
        </w:r>
      </w:smartTag>
      <w:r w:rsidRPr="00C32D16">
        <w:t>. Соответствующие данные свидетельствуют об определенной пассивности инвестиционной деятельности национальных страховщиков. Нахождение значительной части страховых резервов в денежной форме означает их замораживание, что негативно сказывается на финансовой стороне качества всех страховых продуктов. Для банков такая форма размещения резервов страховщиков весьма важна, поскольку способствует решению проблемы их ликвидности. Между тем опыт развитых стран свидетельствует о государственном регулировании верхней границы анализируемого актива. Так, например, в Великобритании доля резервов, находящихся в денежное форме, не может превышать 3 %.</w:t>
      </w:r>
    </w:p>
    <w:p w:rsidR="005D59E5" w:rsidRPr="00C32D16" w:rsidRDefault="005D59E5" w:rsidP="00C32D16">
      <w:pPr>
        <w:pStyle w:val="a8"/>
      </w:pPr>
      <w:r w:rsidRPr="00C32D16">
        <w:t>Свыше 20 % резервов страховщиков в размещены в банковских вкладах, которые в настоящее время являются одним из основных инструменте в управления финансовыми ресурсами страховщиков и значение которого в динамике усиливается. Кроме того 32% размещены в банковских векселях и 0,2 % – в общих фондах банковского правления, значительная же «есть резервов, как уже отмечалось, находится на счетах в банках. Таким образом, страховые организации весьма активно используют в своей инвестиционной деятельности банковские инструменты.</w:t>
      </w:r>
    </w:p>
    <w:p w:rsidR="000828F7" w:rsidRPr="00C32D16" w:rsidRDefault="000828F7" w:rsidP="00C32D16">
      <w:pPr>
        <w:pStyle w:val="a8"/>
      </w:pPr>
      <w:r w:rsidRPr="00C32D16">
        <w:t>Высокая доля размещения средств на расчетных счетах может быть объяснена, на наш взгляд, во-первых, тем, что многие страховщики входят в состав крупных холдингов и их владельцы требуют размещать средства на счетах родственных банков. Во-вторых, страховщики приводят структуру своих активов в соответствие с требованиями Минфина только на отчетную дату, а по ее истечении размешают средства страховых резервов по своему усмотрению (например, в большей доле, чем это регламентировано, размещают их в акциях), что позволяет оперативно направлять их в нужные активы.</w:t>
      </w:r>
    </w:p>
    <w:p w:rsidR="005D59E5" w:rsidRPr="00C32D16" w:rsidRDefault="005D59E5" w:rsidP="00C32D16">
      <w:pPr>
        <w:pStyle w:val="a8"/>
      </w:pPr>
      <w:r w:rsidRPr="00C32D16">
        <w:t>В структуре активов, покрывающих страховые резервы, относительно высока доля облигаций – 12,1 %, имеющая в динамике тенденцию возрастания. Динамичный и анализ структуры облигационного актива свидетельствует, что на современном этапе страховщики ориентированы на работу с корпоративными облигациями при сокращении использования федеральных государственных ценных бумаг на фоне увеличения доли государственных ценных бумаг субъектов РФ и муниципальных образований.</w:t>
      </w:r>
    </w:p>
    <w:p w:rsidR="00C32D16" w:rsidRDefault="005D59E5" w:rsidP="00C32D16">
      <w:pPr>
        <w:pStyle w:val="a8"/>
      </w:pPr>
      <w:r w:rsidRPr="00C32D16">
        <w:t>Направления размещения собственных средств страховой организации в основном соответствует возможным направлениям размещения страховых резервов. Различия касаются квот по отдельным видам активов</w:t>
      </w:r>
      <w:r w:rsidR="00282EB4" w:rsidRPr="00C32D16">
        <w:t xml:space="preserve"> (табл.3)</w:t>
      </w:r>
      <w:r w:rsidRPr="00C32D16">
        <w:t>.</w:t>
      </w:r>
    </w:p>
    <w:p w:rsidR="00106BC0" w:rsidRPr="00C32D16" w:rsidRDefault="00106BC0" w:rsidP="00C32D16">
      <w:pPr>
        <w:pStyle w:val="a8"/>
      </w:pPr>
      <w:r w:rsidRPr="00C32D16">
        <w:t>Следует отметить, что структура активов и инвестиций страховщиков характеризуется нестабильной динамикой, а доли отдельных видов активов сильно варьируются в зависимости от компании. Есть компании с долей дебиторской задолженности, приближающейся к половине валюты баланса, у других компаний инвестиции составляют более трех четвертых активов, некоторые даже в середине года имеют запас денежных средств в размере более 30% от активов. Как и следовало ожидать, уровень ликвидности падает при рассмотрении структуры активов на неотчетные даты и растет в конце отчетного периода. Во-первых, это связано с сокращением дебиторской задолженности к концу года (наступлением большинства платежей по текущим договорам), во-вторых – с действиями по «подгонке» структурных соотношений активов для соответствия нормативам Федеральной службы страхового надзора (ФССН).</w:t>
      </w:r>
    </w:p>
    <w:p w:rsidR="005D59E5" w:rsidRPr="00C32D16" w:rsidRDefault="00106BC0" w:rsidP="00C32D16">
      <w:pPr>
        <w:pStyle w:val="a8"/>
      </w:pPr>
      <w:r w:rsidRPr="00C32D16">
        <w:t>Портфели акций у разных страховщиков крайне разнородны по составу, качеству эмитентов и уровню диверсификации. У одних компаний – это сплошь «голубые фишки», у других – некотируемые акции непрозрачных предприятий. Аналогична ситуация с облигациями и другими долговыми инструментами небанковского сектора. Вложения в банковские инструменты, как правило, более диверсифицированы. Практически у каждой компании есть расчетные счета, депозиты, векселя Сбербанка, Внешторгбанка и еще нескольких крупнейших банков; остальные партнеры, как уже было сказано ранее, выбираются исходя из особенностей клиентской политики.</w:t>
      </w:r>
    </w:p>
    <w:p w:rsidR="00A851A0" w:rsidRPr="00C32D16" w:rsidRDefault="00A851A0" w:rsidP="00C32D16">
      <w:pPr>
        <w:pStyle w:val="a8"/>
      </w:pPr>
    </w:p>
    <w:p w:rsidR="00A851A0" w:rsidRPr="00C32D16" w:rsidRDefault="00A851A0" w:rsidP="00C32D16">
      <w:pPr>
        <w:pStyle w:val="a8"/>
      </w:pPr>
      <w:r w:rsidRPr="00C32D16">
        <w:t>3 Управление инвестиционным потенциалом страховых организаций</w:t>
      </w:r>
    </w:p>
    <w:p w:rsidR="00A851A0" w:rsidRPr="00C32D16" w:rsidRDefault="00A851A0" w:rsidP="00C32D16">
      <w:pPr>
        <w:pStyle w:val="a8"/>
      </w:pPr>
    </w:p>
    <w:p w:rsidR="00A851A0" w:rsidRPr="00C32D16" w:rsidRDefault="00A851A0" w:rsidP="00C32D16">
      <w:pPr>
        <w:pStyle w:val="a8"/>
      </w:pPr>
      <w:r w:rsidRPr="00C32D16">
        <w:t>Страховой рынок минимизиру</w:t>
      </w:r>
      <w:r w:rsidR="00AF1975" w:rsidRPr="00C32D16">
        <w:t>ет риски, связанные с деятельно</w:t>
      </w:r>
      <w:r w:rsidRPr="00C32D16">
        <w:t xml:space="preserve">стью экономики в масштабах всей страны, а также позволяет аккумулировать и капитализировать собственные средства страховщика и страховые </w:t>
      </w:r>
      <w:r w:rsidR="00AF1975" w:rsidRPr="00C32D16">
        <w:t xml:space="preserve">резервы. Страховые организации </w:t>
      </w:r>
      <w:r w:rsidRPr="00C32D16">
        <w:t>являются крупными инвесторами, и на сегод</w:t>
      </w:r>
      <w:r w:rsidR="00AF1975" w:rsidRPr="00C32D16">
        <w:t>няшний день актуальна задача оп</w:t>
      </w:r>
      <w:r w:rsidRPr="00C32D16">
        <w:t>тимизировать процесс управления инвестиционным потенциалом.</w:t>
      </w:r>
    </w:p>
    <w:p w:rsidR="00A851A0" w:rsidRPr="00C32D16" w:rsidRDefault="00A851A0" w:rsidP="00C32D16">
      <w:pPr>
        <w:pStyle w:val="a8"/>
      </w:pPr>
      <w:r w:rsidRPr="00C32D16">
        <w:t>Какие финансовые инструменты выбрать при построении оптимального инвестиционного портфеля, чтобы наилучшим образом реализовать инвестиционный потенциал?</w:t>
      </w:r>
      <w:r w:rsidR="00AF1975" w:rsidRPr="00C32D16">
        <w:t xml:space="preserve"> Вот главный вопрос на которой страховые организации ищут ответ.</w:t>
      </w:r>
    </w:p>
    <w:p w:rsidR="00A851A0" w:rsidRPr="00C32D16" w:rsidRDefault="00A851A0" w:rsidP="00C32D16">
      <w:pPr>
        <w:pStyle w:val="a8"/>
      </w:pPr>
      <w:r w:rsidRPr="00C32D16">
        <w:t>Страховщики строят свою инвестиционную деятельность с учетом интересов собственников и крупных клиентов, которые доверяют их профессионализму, надежности и честности. Им необязательно знать весь механизм работы страховой структуры, избранные варианты управления доверенными финанс</w:t>
      </w:r>
      <w:r w:rsidR="00AF1975" w:rsidRPr="00C32D16">
        <w:t>овыми ресурсами. Страховые орга</w:t>
      </w:r>
      <w:r w:rsidRPr="00C32D16">
        <w:t>низации привлекают различных партнеров к своей инвестиционной деятельности</w:t>
      </w:r>
    </w:p>
    <w:p w:rsidR="00A851A0" w:rsidRPr="00C32D16" w:rsidRDefault="00A851A0" w:rsidP="00C32D16">
      <w:pPr>
        <w:pStyle w:val="a8"/>
      </w:pPr>
      <w:r w:rsidRPr="00C32D16">
        <w:t>Инвестиционный портфель крупнейших российских страховщиков, кроме депозитов, охватывает все финансовые инструменты фондового рынка: государственные ценные бумаги, муниципальные облигации, корпоративные акции, векселя банков и предприятий и т.д. На российском фондовом рынке сейчас есть разнообразные финансовые инструменты, но максимально использовать их возможности позволит, на наш взгляд, доверительное управление актива</w:t>
      </w:r>
      <w:r w:rsidR="00AF1975" w:rsidRPr="00C32D16">
        <w:t>ми.</w:t>
      </w:r>
    </w:p>
    <w:p w:rsidR="00A851A0" w:rsidRPr="00C32D16" w:rsidRDefault="00A851A0" w:rsidP="00C32D16">
      <w:pPr>
        <w:pStyle w:val="a8"/>
      </w:pPr>
      <w:r w:rsidRPr="00C32D16">
        <w:t xml:space="preserve">Доверительное управление в последнее время становится актуальным еще и потому, что многие </w:t>
      </w:r>
      <w:r w:rsidR="00AF1975" w:rsidRPr="00C32D16">
        <w:t>страховые организации</w:t>
      </w:r>
      <w:r w:rsidRPr="00C32D16">
        <w:t xml:space="preserve"> пытаются выйти на зарубежные рынки, в этой связи у них появляются дополнительные бизнес-стимулы работать с надежными и стабильными партнерами в сфере доверительного управления страховыми резервами.</w:t>
      </w:r>
    </w:p>
    <w:p w:rsidR="00A851A0" w:rsidRPr="00C32D16" w:rsidRDefault="00A851A0" w:rsidP="00C32D16">
      <w:pPr>
        <w:pStyle w:val="a8"/>
      </w:pPr>
      <w:r w:rsidRPr="00C32D16">
        <w:t xml:space="preserve">За последние годы накоплен опыт по управлению инвестиционным потенциалом в страховых организациях. Так, в ОАО СО </w:t>
      </w:r>
      <w:r w:rsidR="00AF1975" w:rsidRPr="00C32D16">
        <w:t>«</w:t>
      </w:r>
      <w:r w:rsidRPr="00C32D16">
        <w:t>РОСНО</w:t>
      </w:r>
      <w:r w:rsidR="00AF1975" w:rsidRPr="00C32D16">
        <w:t>»</w:t>
      </w:r>
      <w:r w:rsidRPr="00C32D16">
        <w:t xml:space="preserve"> есть инвестиционный департамент, укомплектованный высококвалифицированными менеджерами, актуариями, использующими различные варианты размещения инвестиционного потенциала, в т.ч. в ПИФы, через инвестиционные компании, ОФБУ, акционерную финансовую компанию </w:t>
      </w:r>
      <w:r w:rsidR="00AF1975" w:rsidRPr="00C32D16">
        <w:t>«Система», германский концерн «Allianz AG».</w:t>
      </w:r>
    </w:p>
    <w:p w:rsidR="00A851A0" w:rsidRPr="00C32D16" w:rsidRDefault="00A851A0" w:rsidP="00C32D16">
      <w:pPr>
        <w:pStyle w:val="a8"/>
      </w:pPr>
      <w:r w:rsidRPr="00C32D16">
        <w:t xml:space="preserve">Для более гибкого управления некоторые страховщики создают свои инвестиционные компании. При этом наряду с собственными финансовыми ресурсами они привлекают средства своих клиентов. По такой схеме осуществляет инвестиционную деятельность ОАО СО </w:t>
      </w:r>
      <w:r w:rsidR="00AF1975" w:rsidRPr="00C32D16">
        <w:t>«</w:t>
      </w:r>
      <w:r w:rsidRPr="00C32D16">
        <w:t>РЕСО-Гарантия</w:t>
      </w:r>
      <w:r w:rsidR="00AF1975" w:rsidRPr="00C32D16">
        <w:t>»</w:t>
      </w:r>
      <w:r w:rsidRPr="00C32D16">
        <w:t xml:space="preserve">, создавшая ИК </w:t>
      </w:r>
      <w:r w:rsidR="00AF1975" w:rsidRPr="00C32D16">
        <w:t>«</w:t>
      </w:r>
      <w:r w:rsidRPr="00C32D16">
        <w:t>РЕСО-Финанс</w:t>
      </w:r>
      <w:r w:rsidR="00AF1975" w:rsidRPr="00C32D16">
        <w:t>». Последняя име</w:t>
      </w:r>
      <w:r w:rsidRPr="00C32D16">
        <w:t xml:space="preserve">ет два портфеля </w:t>
      </w:r>
      <w:r w:rsidR="00AF1975" w:rsidRPr="00C32D16">
        <w:t xml:space="preserve">– </w:t>
      </w:r>
      <w:r w:rsidRPr="00C32D16">
        <w:t>собственный и</w:t>
      </w:r>
      <w:r w:rsidR="00AF1975" w:rsidRPr="00C32D16">
        <w:t xml:space="preserve"> привлеченный. Работу по коорди</w:t>
      </w:r>
      <w:r w:rsidRPr="00C32D16">
        <w:t>нации осуществляет инвестиционный отдел,</w:t>
      </w:r>
    </w:p>
    <w:p w:rsidR="00A851A0" w:rsidRPr="00C32D16" w:rsidRDefault="00A851A0" w:rsidP="00C32D16">
      <w:pPr>
        <w:pStyle w:val="a8"/>
      </w:pPr>
      <w:r w:rsidRPr="00C32D16">
        <w:t xml:space="preserve">Участники страхового рынка видят в </w:t>
      </w:r>
      <w:r w:rsidR="00AF1975" w:rsidRPr="00C32D16">
        <w:t>доверительном управлении</w:t>
      </w:r>
      <w:r w:rsidRPr="00C32D16">
        <w:t xml:space="preserve"> как позитивные стороны, так и отрицательные. К позитивным, на наш взгляд, можно отнести</w:t>
      </w:r>
      <w:r w:rsidR="00C91211" w:rsidRPr="00C32D16">
        <w:t xml:space="preserve"> [8, с.45]</w:t>
      </w:r>
      <w:r w:rsidRPr="00C32D16">
        <w:t>:</w:t>
      </w:r>
    </w:p>
    <w:p w:rsidR="00AF1975" w:rsidRPr="00C32D16" w:rsidRDefault="00A851A0" w:rsidP="00C32D16">
      <w:pPr>
        <w:pStyle w:val="a8"/>
      </w:pPr>
      <w:r w:rsidRPr="00C32D16">
        <w:t>отсутствие необходимости иметь в штате специалистов по фондовому рынку (аналитиков);</w:t>
      </w:r>
    </w:p>
    <w:p w:rsidR="00A851A0" w:rsidRPr="00C32D16" w:rsidRDefault="00A851A0" w:rsidP="00C32D16">
      <w:pPr>
        <w:pStyle w:val="a8"/>
      </w:pPr>
      <w:r w:rsidRPr="00C32D16">
        <w:t>при минимальном риске и за небольшое вознаграждение пер</w:t>
      </w:r>
      <w:r w:rsidR="00AF1975" w:rsidRPr="00C32D16">
        <w:t>еда</w:t>
      </w:r>
      <w:r w:rsidRPr="00C32D16">
        <w:t>вать функции управления своими активами профессиональному управляющему.</w:t>
      </w:r>
    </w:p>
    <w:p w:rsidR="00A851A0" w:rsidRPr="00C32D16" w:rsidRDefault="00A851A0" w:rsidP="00C32D16">
      <w:pPr>
        <w:pStyle w:val="a8"/>
      </w:pPr>
      <w:r w:rsidRPr="00C32D16">
        <w:t xml:space="preserve">К отрицательным </w:t>
      </w:r>
      <w:r w:rsidR="00AF1975" w:rsidRPr="00C32D16">
        <w:t xml:space="preserve">– </w:t>
      </w:r>
      <w:r w:rsidRPr="00C32D16">
        <w:t>дублирование операций: страховщикам приходится повторять у себя в бухгалтерском учете все операции, проведенные управляющей компанией.</w:t>
      </w:r>
    </w:p>
    <w:p w:rsidR="00A851A0" w:rsidRPr="00C32D16" w:rsidRDefault="00A851A0" w:rsidP="00C32D16">
      <w:pPr>
        <w:pStyle w:val="a8"/>
      </w:pPr>
      <w:r w:rsidRPr="00C32D16">
        <w:t xml:space="preserve">Большинство страховых организаций не имеют тщательно разработанной инвестиционной политики. Под инвестиционной политикой они считают вложение средств в инструменты аффилированных структур либо в банковские депозиты </w:t>
      </w:r>
      <w:r w:rsidR="00AF1975" w:rsidRPr="00C32D16">
        <w:t xml:space="preserve">– </w:t>
      </w:r>
      <w:r w:rsidRPr="00C32D16">
        <w:t>низкодоходные инструменты, создавая (имея) практически недиверсифицированные. Аналитический обзор свидетельствует о снижении их рентабельности, поэтому страховщикам необходимо выработать новые подходы к управлению инвестиционным потенциалом.</w:t>
      </w:r>
    </w:p>
    <w:p w:rsidR="00AF1975" w:rsidRPr="00C32D16" w:rsidRDefault="00A851A0" w:rsidP="00C32D16">
      <w:pPr>
        <w:pStyle w:val="a8"/>
      </w:pPr>
      <w:r w:rsidRPr="00C32D16">
        <w:t xml:space="preserve">Передача портфеля управляющим компаниям </w:t>
      </w:r>
      <w:r w:rsidR="00AF1975" w:rsidRPr="00C32D16">
        <w:t xml:space="preserve">– </w:t>
      </w:r>
      <w:r w:rsidRPr="00C32D16">
        <w:t xml:space="preserve">общемировая практика </w:t>
      </w:r>
      <w:r w:rsidR="00AF1975" w:rsidRPr="00C32D16">
        <w:t xml:space="preserve">– </w:t>
      </w:r>
      <w:r w:rsidRPr="00C32D16">
        <w:t>имеет следующие преимущества</w:t>
      </w:r>
      <w:r w:rsidR="00C91211" w:rsidRPr="00C32D16">
        <w:t xml:space="preserve"> [8, с.45]:</w:t>
      </w:r>
    </w:p>
    <w:p w:rsidR="00AF1975" w:rsidRPr="00C32D16" w:rsidRDefault="00A851A0" w:rsidP="00C32D16">
      <w:pPr>
        <w:pStyle w:val="a8"/>
      </w:pPr>
      <w:r w:rsidRPr="00C32D16">
        <w:t xml:space="preserve">доходность большинства УК </w:t>
      </w:r>
      <w:r w:rsidR="00AF1975" w:rsidRPr="00C32D16">
        <w:t>в несколько раз превышает доход</w:t>
      </w:r>
      <w:r w:rsidRPr="00C32D16">
        <w:t>ность страховщиков;</w:t>
      </w:r>
    </w:p>
    <w:p w:rsidR="00AF1975" w:rsidRPr="00C32D16" w:rsidRDefault="00A851A0" w:rsidP="00C32D16">
      <w:pPr>
        <w:pStyle w:val="a8"/>
      </w:pPr>
      <w:r w:rsidRPr="00C32D16">
        <w:t>диверсификация рисков более разнообразная, т.к. предполагает вложения в бумаги различных эмитентов из разных отраслей;</w:t>
      </w:r>
    </w:p>
    <w:p w:rsidR="00A851A0" w:rsidRPr="00C32D16" w:rsidRDefault="00A851A0" w:rsidP="00C32D16">
      <w:pPr>
        <w:pStyle w:val="a8"/>
      </w:pPr>
      <w:r w:rsidRPr="00C32D16">
        <w:t>есть реальная возможность определять структуру и лимиты вложений в финансовые инструменты с учетом принятых обязательств</w:t>
      </w:r>
      <w:r w:rsidR="00AF1975" w:rsidRPr="00C32D16">
        <w:t>.</w:t>
      </w:r>
    </w:p>
    <w:p w:rsidR="00C32D16" w:rsidRDefault="00A851A0" w:rsidP="00C32D16">
      <w:pPr>
        <w:pStyle w:val="a8"/>
      </w:pPr>
      <w:r w:rsidRPr="00C32D16">
        <w:t>Долгое время специалисты стоят перед выбором: должна ли быть инвестиционная политика страховщиков консервативной либо либеральной. Как и кто может или будет управлять страховыми резервами: страховщики, управляющие компании или доверительные фонды.</w:t>
      </w:r>
    </w:p>
    <w:p w:rsidR="00A851A0" w:rsidRPr="00C32D16" w:rsidRDefault="00A851A0" w:rsidP="00C32D16">
      <w:pPr>
        <w:pStyle w:val="a8"/>
      </w:pPr>
      <w:r w:rsidRPr="00C32D16">
        <w:t xml:space="preserve">Итак, в крупных </w:t>
      </w:r>
      <w:r w:rsidR="00AF1975" w:rsidRPr="00C32D16">
        <w:t>страховых организациях</w:t>
      </w:r>
      <w:r w:rsidRPr="00C32D16">
        <w:t xml:space="preserve"> управлением инвестиционным потенциалом занимается аналитический отдел, постоянно контролируя риски, оценивая ценные бумаги клиентов по запросу отдела продаж, и если раньше ограничивались проверко</w:t>
      </w:r>
      <w:r w:rsidR="00B82F21" w:rsidRPr="00C32D16">
        <w:t>й, проводимой службой безопасно</w:t>
      </w:r>
      <w:r w:rsidRPr="00C32D16">
        <w:t>сти, то теперь этого недостаточно, так как требуется углубленный финансовый анализ. Аналитическая структура имеет сертификат по</w:t>
      </w:r>
      <w:r w:rsidR="00B82F21" w:rsidRPr="00C32D16">
        <w:t xml:space="preserve"> </w:t>
      </w:r>
      <w:r w:rsidRPr="00C32D16">
        <w:t xml:space="preserve">зарубежным стандартам для гарантии профессиональной ответственности и осуществляет посреднические функции между участниками инвестиционной деятельности. Однако квалифицированные специалисты с опытом работы на инвестиционном рынке в дефиците, и только крупным </w:t>
      </w:r>
      <w:r w:rsidR="00B82F21" w:rsidRPr="00C32D16">
        <w:t>страховым организациям</w:t>
      </w:r>
      <w:r w:rsidRPr="00C32D16">
        <w:t xml:space="preserve"> под силу содержать собственный отдел инвестиционного анализа</w:t>
      </w:r>
      <w:r w:rsidR="00C91211" w:rsidRPr="00C32D16">
        <w:t xml:space="preserve"> [8, с.46]</w:t>
      </w:r>
      <w:r w:rsidRPr="00C32D16">
        <w:t>.</w:t>
      </w:r>
    </w:p>
    <w:p w:rsidR="00A851A0" w:rsidRPr="00C32D16" w:rsidRDefault="00A851A0" w:rsidP="00C32D16">
      <w:pPr>
        <w:pStyle w:val="a8"/>
      </w:pPr>
      <w:r w:rsidRPr="00C32D16">
        <w:t xml:space="preserve">Средним и мелким </w:t>
      </w:r>
      <w:r w:rsidR="004176B3" w:rsidRPr="00C32D16">
        <w:t>страховым организациям</w:t>
      </w:r>
      <w:r w:rsidRPr="00C32D16">
        <w:t xml:space="preserve"> целесообразно отдать инвестиционные ресурсы на аутсорсинг: воспользоваться услугами доверительного управления. Качество управления активами в </w:t>
      </w:r>
      <w:r w:rsidR="004176B3" w:rsidRPr="00C32D16">
        <w:t>управляющих компаниях</w:t>
      </w:r>
      <w:r w:rsidRPr="00C32D16">
        <w:t xml:space="preserve">, являющихся профессиональными участниками рынка ценных бумаг и имеющих мощные аналитические подразделения, опыт работы почти на всех сегментах рынка значительно выше, чем в любой </w:t>
      </w:r>
      <w:r w:rsidR="004176B3" w:rsidRPr="00C32D16">
        <w:t>страховой организации</w:t>
      </w:r>
      <w:r w:rsidRPr="00C32D16">
        <w:t xml:space="preserve">. </w:t>
      </w:r>
      <w:r w:rsidR="004176B3" w:rsidRPr="00C32D16">
        <w:t>Страховая организация</w:t>
      </w:r>
      <w:r w:rsidRPr="00C32D16">
        <w:t xml:space="preserve"> оценивает риски, а </w:t>
      </w:r>
      <w:r w:rsidR="004176B3" w:rsidRPr="00C32D16">
        <w:t>управляющая компания</w:t>
      </w:r>
      <w:r w:rsidRPr="00C32D16">
        <w:t xml:space="preserve"> инвестирует средства. Создавать собственный инвестиционно-аналитический отдел для диверсифицированного инвестиционного портфеля таким </w:t>
      </w:r>
      <w:r w:rsidR="004176B3" w:rsidRPr="00C32D16">
        <w:t>страховым организациям</w:t>
      </w:r>
      <w:r w:rsidRPr="00C32D16">
        <w:t xml:space="preserve"> нак</w:t>
      </w:r>
      <w:r w:rsidR="004176B3" w:rsidRPr="00C32D16">
        <w:t>ладно: это связано со значитель</w:t>
      </w:r>
      <w:r w:rsidRPr="00C32D16">
        <w:t>ными издержками.</w:t>
      </w:r>
    </w:p>
    <w:p w:rsidR="00BE71E5" w:rsidRPr="00C32D16" w:rsidRDefault="00BE71E5" w:rsidP="00C32D16">
      <w:pPr>
        <w:pStyle w:val="a8"/>
      </w:pPr>
      <w:r w:rsidRPr="00C32D16">
        <w:t xml:space="preserve">Стоимость аутсорсинга в ближайшее время останется прежней, абсолютно рыночной. С развитием конкуренции на рынке снижение комиссий управляющих компаний скорее всего будет незначительным. Рынок цивилизуется </w:t>
      </w:r>
      <w:r w:rsidR="004176B3" w:rsidRPr="00C32D16">
        <w:t xml:space="preserve">– </w:t>
      </w:r>
      <w:r w:rsidRPr="00C32D16">
        <w:t xml:space="preserve">это необратимо. </w:t>
      </w:r>
      <w:r w:rsidR="004176B3" w:rsidRPr="00C32D16">
        <w:t>Управляющим компаниям</w:t>
      </w:r>
      <w:r w:rsidRPr="00C32D16">
        <w:t xml:space="preserve"> придется оптимизировать предложения страховщикам, решая вопрос о гарантии доходности, структурируя продукты. Вв</w:t>
      </w:r>
      <w:r w:rsidR="004176B3" w:rsidRPr="00C32D16">
        <w:t>едение новых правил в определен</w:t>
      </w:r>
      <w:r w:rsidRPr="00C32D16">
        <w:t>ной мере будет способствовать (или ставить цель) превращению практики управления страховыми деньгами в открытый и прозрачный рынок</w:t>
      </w:r>
      <w:r w:rsidR="00C91211" w:rsidRPr="00C32D16">
        <w:t xml:space="preserve"> [11, с.49]</w:t>
      </w:r>
      <w:r w:rsidRPr="00C32D16">
        <w:t>.</w:t>
      </w:r>
    </w:p>
    <w:p w:rsidR="00A851A0" w:rsidRPr="00C32D16" w:rsidRDefault="004176B3" w:rsidP="00C32D16">
      <w:pPr>
        <w:pStyle w:val="a8"/>
      </w:pPr>
      <w:r w:rsidRPr="00C32D16">
        <w:t>Общие фонды банковского управления (</w:t>
      </w:r>
      <w:r w:rsidR="00BE71E5" w:rsidRPr="00C32D16">
        <w:t>ОФБУ</w:t>
      </w:r>
      <w:r w:rsidRPr="00C32D16">
        <w:t>)</w:t>
      </w:r>
      <w:r w:rsidR="00BE71E5" w:rsidRPr="00C32D16">
        <w:t xml:space="preserve"> </w:t>
      </w:r>
      <w:r w:rsidRPr="00C32D16">
        <w:t xml:space="preserve">– </w:t>
      </w:r>
      <w:r w:rsidR="00BE71E5" w:rsidRPr="00C32D16">
        <w:t xml:space="preserve">один из вариантов аутсорсинга. Сотрудничество </w:t>
      </w:r>
      <w:r w:rsidRPr="00C32D16">
        <w:t>страховых организаций</w:t>
      </w:r>
      <w:r w:rsidR="00BE71E5" w:rsidRPr="00C32D16">
        <w:t xml:space="preserve"> и банковских структур по обмену услугами развивается: страховщик в ответ на заключение договора страхования (с банком или другой организацией при посредничестве банка) приобретает финансовые инструменты клиента</w:t>
      </w:r>
    </w:p>
    <w:p w:rsidR="00BE71E5" w:rsidRPr="00C32D16" w:rsidRDefault="00BE71E5" w:rsidP="00C32D16">
      <w:pPr>
        <w:pStyle w:val="a8"/>
      </w:pPr>
      <w:r w:rsidRPr="00C32D16">
        <w:t>ОФБУ представляет собой общ</w:t>
      </w:r>
      <w:r w:rsidR="004176B3" w:rsidRPr="00C32D16">
        <w:t>ую копилку, куда страховщики-ин</w:t>
      </w:r>
      <w:r w:rsidRPr="00C32D16">
        <w:t>весторы вкладывают финансовые ресурсы, которые далее инвестируются согласно общим принципам, прописанным в инвестиционной декларации фонда. И хотя спектр допустимых услуг достаточно широк, ОФБУ редко выходят за рамки стандартного набора трех активов: акции и облигации российских эмитентов плюс валюта. Есть ряд ОФБУ. которые вкладывают средства в иностранные ценные бумаги, аргументируя возможностью диверсифицировать риски, ликвидностью, надежностью и потенциальной доходностью вложений. Перспективными направлениями для ОФБУ могут стать ценные бумаги, связанные с недвижимостью.</w:t>
      </w:r>
    </w:p>
    <w:p w:rsidR="00BE71E5" w:rsidRPr="00C32D16" w:rsidRDefault="00BE71E5" w:rsidP="00C32D16">
      <w:pPr>
        <w:pStyle w:val="a8"/>
      </w:pPr>
      <w:r w:rsidRPr="00C32D16">
        <w:t xml:space="preserve">У ОФБУ есть определенные позитивные стороны деятельности: структура активов позволяет иметь в инвестиционном портфеле производные ценные бумаги </w:t>
      </w:r>
      <w:r w:rsidR="004176B3" w:rsidRPr="00C32D16">
        <w:t>–</w:t>
      </w:r>
      <w:r w:rsidRPr="00C32D16">
        <w:t xml:space="preserve"> один из перспективных видов вложений для </w:t>
      </w:r>
      <w:r w:rsidR="004176B3" w:rsidRPr="00C32D16">
        <w:t>страховой организации</w:t>
      </w:r>
      <w:r w:rsidRPr="00C32D16">
        <w:t>. ОФБУ совмещают функции управления и хранения активов</w:t>
      </w:r>
      <w:r w:rsidR="005234AE" w:rsidRPr="00C32D16">
        <w:t xml:space="preserve"> [8, с.48]</w:t>
      </w:r>
      <w:r w:rsidRPr="00C32D16">
        <w:t>.</w:t>
      </w:r>
    </w:p>
    <w:p w:rsidR="00FA0520" w:rsidRPr="00C32D16" w:rsidRDefault="00FA0520" w:rsidP="00C32D16">
      <w:pPr>
        <w:pStyle w:val="a8"/>
      </w:pPr>
      <w:r w:rsidRPr="00C32D16">
        <w:t xml:space="preserve">Паевые инвестиционные фонды (ПИФы) </w:t>
      </w:r>
      <w:r w:rsidR="004176B3" w:rsidRPr="00C32D16">
        <w:t>–</w:t>
      </w:r>
      <w:r w:rsidRPr="00C32D16">
        <w:t xml:space="preserve"> наиболее законченная и стандартизированная форма траста. Осуществление инвестиций через ПИФы в любой вид активов, любые сектора экономики, в любых регионах создает условия для самой широкой диверсификации, а необходимый контроль со стороны государственных органов обеспечивает дополнительные гарантии надежности вложений.</w:t>
      </w:r>
    </w:p>
    <w:p w:rsidR="00FA0520" w:rsidRPr="00C32D16" w:rsidRDefault="00FA0520" w:rsidP="00C32D16">
      <w:pPr>
        <w:pStyle w:val="a8"/>
      </w:pPr>
      <w:r w:rsidRPr="00C32D16">
        <w:t>Ликвидность вложений в паевы</w:t>
      </w:r>
      <w:r w:rsidR="004176B3" w:rsidRPr="00C32D16">
        <w:t>е фонды, обеспечивающаяся от</w:t>
      </w:r>
      <w:r w:rsidRPr="00C32D16">
        <w:t>крытыми котировками на ведущих мировых биржах, является одним из преимуществ таких инвестиций. Именно поэтому в законодательстве экономически развитых стран не делается ограничений для вложений в ПИФы.</w:t>
      </w:r>
    </w:p>
    <w:p w:rsidR="004176B3" w:rsidRPr="00C32D16" w:rsidRDefault="00FA0520" w:rsidP="00C32D16">
      <w:pPr>
        <w:pStyle w:val="a8"/>
      </w:pPr>
      <w:r w:rsidRPr="00C32D16">
        <w:t>В дальнейшем сотрудничество должно расширяться: это связано с их высокой доходностью и возможностью выводить на рынок новые финансовые инструменты.</w:t>
      </w:r>
    </w:p>
    <w:p w:rsidR="00B26A0F" w:rsidRPr="00C32D16" w:rsidRDefault="00FA0520" w:rsidP="00C32D16">
      <w:pPr>
        <w:pStyle w:val="a8"/>
      </w:pPr>
      <w:r w:rsidRPr="00C32D16">
        <w:t>ПИФы представляют ежемесячно отчетность о своей деятельности в Федеральную службу по финансовым рынкам (ФСФР). а также</w:t>
      </w:r>
      <w:r w:rsidR="004176B3" w:rsidRPr="00C32D16">
        <w:t xml:space="preserve"> </w:t>
      </w:r>
      <w:r w:rsidRPr="00C32D16">
        <w:t>всем заинтересованным лицам по их требованию в любой момент</w:t>
      </w:r>
      <w:r w:rsidR="004176B3" w:rsidRPr="00C32D16">
        <w:t xml:space="preserve"> </w:t>
      </w:r>
      <w:r w:rsidRPr="00C32D16">
        <w:t>времени. В операционной деятельности используются раздельное</w:t>
      </w:r>
      <w:r w:rsidR="004176B3" w:rsidRPr="00C32D16">
        <w:t xml:space="preserve"> </w:t>
      </w:r>
      <w:r w:rsidRPr="00C32D16">
        <w:t>хранение и управление активами, их дифференциация (не менее</w:t>
      </w:r>
      <w:r w:rsidR="004176B3" w:rsidRPr="00C32D16">
        <w:t xml:space="preserve"> </w:t>
      </w:r>
      <w:r w:rsidRPr="00C32D16">
        <w:t xml:space="preserve">50% </w:t>
      </w:r>
      <w:r w:rsidR="004176B3" w:rsidRPr="00C32D16">
        <w:t>–</w:t>
      </w:r>
      <w:r w:rsidRPr="00C32D16">
        <w:t xml:space="preserve"> высоколиквидные активы). Форма </w:t>
      </w:r>
      <w:r w:rsidR="004176B3" w:rsidRPr="00C32D16">
        <w:t>7-с</w:t>
      </w:r>
      <w:r w:rsidRPr="00C32D16">
        <w:t xml:space="preserve"> </w:t>
      </w:r>
      <w:r w:rsidR="004176B3" w:rsidRPr="00C32D16">
        <w:t>(раздел «</w:t>
      </w:r>
      <w:r w:rsidRPr="00C32D16">
        <w:t>Инвестиционные паи паевых инвестиционных фондов</w:t>
      </w:r>
      <w:r w:rsidR="004176B3" w:rsidRPr="00C32D16">
        <w:t>»</w:t>
      </w:r>
      <w:r w:rsidRPr="00C32D16">
        <w:t>) содержит следующую ин</w:t>
      </w:r>
      <w:r w:rsidR="00B26A0F" w:rsidRPr="00C32D16">
        <w:t>формацию: наименования ПИФа и его УК, стоимость ценных бумаг на начало и конец отчетного периода. При регистрации правил и проспекта эмиссии ПИФа обязательно указываются объекты инвестирования, данные о структуре активов фонда, что является программой инвестирования привлеченных средств. Все это позволяет говорить о косвенном предоставлении инвесторам гарантий стабильности и надежности.</w:t>
      </w:r>
    </w:p>
    <w:p w:rsidR="00B26A0F" w:rsidRPr="00C32D16" w:rsidRDefault="00B26A0F" w:rsidP="00C32D16">
      <w:pPr>
        <w:pStyle w:val="a8"/>
      </w:pPr>
      <w:r w:rsidRPr="00C32D16">
        <w:t>В последние годы страховщики стали интересоваться инвестиционными компаниями (ИК) как структурами, которые могут сделать их инвестиционную деятельность более эффективной. Такая услуга по управлению активами предназначена</w:t>
      </w:r>
      <w:r w:rsidR="005234AE" w:rsidRPr="00C32D16">
        <w:t xml:space="preserve"> [8, с.50]</w:t>
      </w:r>
      <w:r w:rsidRPr="00C32D16">
        <w:t>:</w:t>
      </w:r>
    </w:p>
    <w:p w:rsidR="00B26A0F" w:rsidRPr="00C32D16" w:rsidRDefault="00B26A0F" w:rsidP="00C32D16">
      <w:pPr>
        <w:pStyle w:val="a8"/>
      </w:pPr>
      <w:r w:rsidRPr="00C32D16">
        <w:t>для непрофессионалов,</w:t>
      </w:r>
      <w:r w:rsidR="00C32D16">
        <w:t xml:space="preserve"> </w:t>
      </w:r>
      <w:r w:rsidRPr="00C32D16">
        <w:t>которые с помощью доверительного управляющего могут пользоваться сложными финансовыми технологиями и получать на свои средства доход существенно выше банковского;</w:t>
      </w:r>
    </w:p>
    <w:p w:rsidR="00B26A0F" w:rsidRPr="00C32D16" w:rsidRDefault="00B26A0F" w:rsidP="00C32D16">
      <w:pPr>
        <w:pStyle w:val="a8"/>
      </w:pPr>
      <w:r w:rsidRPr="00C32D16">
        <w:t>для специалистов, которые по какой-либо причине не имеют возможности самостоятельно работать на фондовом рынке, но ориентируются в принципах и вариантах работы;</w:t>
      </w:r>
    </w:p>
    <w:p w:rsidR="004176B3" w:rsidRPr="00C32D16" w:rsidRDefault="00B26A0F" w:rsidP="00C32D16">
      <w:pPr>
        <w:pStyle w:val="a8"/>
      </w:pPr>
      <w:r w:rsidRPr="00C32D16">
        <w:t>для финансовых организаций, которые без затрат на создание сложной инфраструктуры, необходимой для операций на фондовом рынке, без текущих расходов, связанных с ее содержанием, получают возможность пользоваться профессиональными услугами по управлению активами</w:t>
      </w:r>
    </w:p>
    <w:p w:rsidR="00FA0520" w:rsidRPr="00C32D16" w:rsidRDefault="00FA0520" w:rsidP="00C32D16">
      <w:pPr>
        <w:pStyle w:val="a8"/>
      </w:pPr>
      <w:r w:rsidRPr="00C32D16">
        <w:t xml:space="preserve">Более половины крупных </w:t>
      </w:r>
      <w:r w:rsidR="00D81219" w:rsidRPr="00C32D16">
        <w:t>страховых организаций</w:t>
      </w:r>
      <w:r w:rsidRPr="00C32D16">
        <w:t xml:space="preserve"> сотрудничают с профессиональными ИК. Есть ряд крупных сделок по покупке ИК контрольных пакетов акций </w:t>
      </w:r>
      <w:r w:rsidR="00D81219" w:rsidRPr="00C32D16">
        <w:t>страховых организаций</w:t>
      </w:r>
      <w:r w:rsidRPr="00C32D16">
        <w:t xml:space="preserve">. В 2002 году компания </w:t>
      </w:r>
      <w:r w:rsidR="00D81219" w:rsidRPr="00C32D16">
        <w:t>«</w:t>
      </w:r>
      <w:r w:rsidRPr="00C32D16">
        <w:t>Тройка-Диалог</w:t>
      </w:r>
      <w:r w:rsidR="00D81219" w:rsidRPr="00C32D16">
        <w:t>»</w:t>
      </w:r>
      <w:r w:rsidRPr="00C32D16">
        <w:t xml:space="preserve"> получил</w:t>
      </w:r>
      <w:r w:rsidR="00D81219" w:rsidRPr="00C32D16">
        <w:t>а контроль над «Росгосстрахом»</w:t>
      </w:r>
      <w:r w:rsidRPr="00C32D16">
        <w:t>. Это свидетельствует о том, что об</w:t>
      </w:r>
      <w:r w:rsidR="00D81219" w:rsidRPr="00C32D16">
        <w:t>ъ</w:t>
      </w:r>
      <w:r w:rsidRPr="00C32D16">
        <w:t xml:space="preserve">ем средств, проходящих через счета </w:t>
      </w:r>
      <w:r w:rsidR="00D81219" w:rsidRPr="00C32D16">
        <w:t>страховых организаций</w:t>
      </w:r>
      <w:r w:rsidRPr="00C32D16">
        <w:t>, привлекателен для людей, профессионально занимающихся инвестициями.</w:t>
      </w:r>
    </w:p>
    <w:p w:rsidR="00FA0520" w:rsidRPr="00C32D16" w:rsidRDefault="00FA0520" w:rsidP="00C32D16">
      <w:pPr>
        <w:pStyle w:val="a8"/>
      </w:pPr>
      <w:r w:rsidRPr="00C32D16">
        <w:t xml:space="preserve">Сейчас специалисты стоят перед выбором: как и кто может и будет управлять страховыми резервами (управляющие компании или доверительные фонды). На наш взгляд, законодательные ограничения в части размещения </w:t>
      </w:r>
      <w:r w:rsidR="005559AD" w:rsidRPr="00C32D16">
        <w:t>страховых резервов</w:t>
      </w:r>
      <w:r w:rsidRPr="00C32D16">
        <w:t xml:space="preserve"> для страховщиков должны касаться видов вложений, а не вариантов инвестирования. Это должно способствовать дальнейшему развитию доверительного управления.</w:t>
      </w:r>
    </w:p>
    <w:p w:rsidR="00C32D16" w:rsidRDefault="00FA0520" w:rsidP="00C32D16">
      <w:pPr>
        <w:pStyle w:val="a8"/>
      </w:pPr>
      <w:r w:rsidRPr="00C32D16">
        <w:t xml:space="preserve">Непосредственное сотрудничество с </w:t>
      </w:r>
      <w:r w:rsidR="005559AD" w:rsidRPr="00C32D16">
        <w:t>управляющей компанией</w:t>
      </w:r>
      <w:r w:rsidRPr="00C32D16">
        <w:t xml:space="preserve"> позволяет, не нарушая ограничений надзирающих органов, обойтись без инвестиционного отдела, при этом активно работать на фондовом рынке. Учитывая значительные объемы инвестиционных ресурсов </w:t>
      </w:r>
      <w:r w:rsidR="005559AD" w:rsidRPr="00C32D16">
        <w:t>страховых организаций,</w:t>
      </w:r>
      <w:r w:rsidRPr="00C32D16">
        <w:t xml:space="preserve"> удобнее и экономичнее передавать их по договорам доверительного управления. При инвестировании в фондовый рынок посредством передачи активов в доверительное управление открывается ряд скрытых возможностей</w:t>
      </w:r>
      <w:r w:rsidR="005234AE" w:rsidRPr="00C32D16">
        <w:t xml:space="preserve"> [8, с.52]:</w:t>
      </w:r>
    </w:p>
    <w:p w:rsidR="00C32D16" w:rsidRDefault="00FA0520" w:rsidP="00C32D16">
      <w:pPr>
        <w:pStyle w:val="a8"/>
      </w:pPr>
      <w:r w:rsidRPr="00C32D16">
        <w:t>инвестиционный портфель формируется в зависимости от пожеланий клиента;</w:t>
      </w:r>
    </w:p>
    <w:p w:rsidR="00C32D16" w:rsidRDefault="00FA0520" w:rsidP="00C32D16">
      <w:pPr>
        <w:pStyle w:val="a8"/>
      </w:pPr>
      <w:r w:rsidRPr="00C32D16">
        <w:t>получение доходности вложений в зависимости от выбранного уровня риска, чего не может дать банковский депозит;</w:t>
      </w:r>
    </w:p>
    <w:p w:rsidR="00C32D16" w:rsidRDefault="00FA0520" w:rsidP="00C32D16">
      <w:pPr>
        <w:pStyle w:val="a8"/>
      </w:pPr>
      <w:r w:rsidRPr="00C32D16">
        <w:t>планирование вложений, об</w:t>
      </w:r>
      <w:r w:rsidR="005559AD" w:rsidRPr="00C32D16">
        <w:t>еспечивающее эффективное исполь</w:t>
      </w:r>
      <w:r w:rsidRPr="00C32D16">
        <w:t>зование финансовых ресурсов клиента;</w:t>
      </w:r>
    </w:p>
    <w:p w:rsidR="00C32D16" w:rsidRDefault="00FA0520" w:rsidP="00C32D16">
      <w:pPr>
        <w:pStyle w:val="a8"/>
      </w:pPr>
      <w:r w:rsidRPr="00C32D16">
        <w:t>высокая доходность как следствие недооцененности российских компаний в мировом масштабе;</w:t>
      </w:r>
    </w:p>
    <w:p w:rsidR="00FA0520" w:rsidRPr="00C32D16" w:rsidRDefault="00FA0520" w:rsidP="00C32D16">
      <w:pPr>
        <w:pStyle w:val="a8"/>
      </w:pPr>
      <w:r w:rsidRPr="00C32D16">
        <w:t>профессиональные доверительные управляющие обладают большим опытом управления инвестиционными портфелями и способны работать, извлекая прибыль не только в условиях роста, но и в условиях снижения цен акций.</w:t>
      </w:r>
    </w:p>
    <w:p w:rsidR="00FA0520" w:rsidRPr="00C32D16" w:rsidRDefault="00FA0520" w:rsidP="00C32D16">
      <w:pPr>
        <w:pStyle w:val="a8"/>
      </w:pPr>
      <w:r w:rsidRPr="00C32D16">
        <w:t xml:space="preserve">Выработанная система риск-менеджмента </w:t>
      </w:r>
      <w:r w:rsidR="005559AD" w:rsidRPr="00C32D16">
        <w:t>во многих случаях по</w:t>
      </w:r>
      <w:r w:rsidRPr="00C32D16">
        <w:t>могает портфельным менеджерам избегать потерь. Риски ограничиваются путем диверсификации вложений и использования выбранной страховой организацией инвестиционной стратегии.</w:t>
      </w:r>
    </w:p>
    <w:p w:rsidR="00FA0520" w:rsidRPr="00C32D16" w:rsidRDefault="005559AD" w:rsidP="00C32D16">
      <w:pPr>
        <w:pStyle w:val="a8"/>
      </w:pPr>
      <w:r w:rsidRPr="00C32D16">
        <w:t>Менеджмент страховой организации</w:t>
      </w:r>
      <w:r w:rsidR="00FA0520" w:rsidRPr="00C32D16">
        <w:t xml:space="preserve"> может выбрать вариант сотрудничества с управляющей </w:t>
      </w:r>
      <w:r w:rsidRPr="00C32D16">
        <w:t>компанией</w:t>
      </w:r>
      <w:r w:rsidR="00FA0520" w:rsidRPr="00C32D16">
        <w:t>: доверить ей оперативное управление инвестиционным портфелем либо полностью передат</w:t>
      </w:r>
      <w:r w:rsidRPr="00C32D16">
        <w:t>ь инициативу в составлении инве</w:t>
      </w:r>
      <w:r w:rsidR="00FA0520" w:rsidRPr="00C32D16">
        <w:t xml:space="preserve">стиционной стратегии, выборе конкретных финансовых инструментов. В ряде случаев страховщики входят в финансовые холдинги, в которых есть </w:t>
      </w:r>
      <w:r w:rsidRPr="00C32D16">
        <w:t>управляющие компании</w:t>
      </w:r>
      <w:r w:rsidR="00FA0520" w:rsidRPr="00C32D16">
        <w:t xml:space="preserve">. Предпочтительнее иметь свою </w:t>
      </w:r>
      <w:r w:rsidRPr="00C32D16">
        <w:t>управляющую компанию</w:t>
      </w:r>
      <w:r w:rsidR="00FA0520" w:rsidRPr="00C32D16">
        <w:t>: в данном случае издержки мониторинга ниже. Но это не оз</w:t>
      </w:r>
      <w:r w:rsidRPr="00C32D16">
        <w:t>начает невозможность сотрудниче</w:t>
      </w:r>
      <w:r w:rsidR="00FA0520" w:rsidRPr="00C32D16">
        <w:t xml:space="preserve">ства с другими. </w:t>
      </w:r>
      <w:r w:rsidRPr="00C32D16">
        <w:t>Страховая организация</w:t>
      </w:r>
      <w:r w:rsidR="00FA0520" w:rsidRPr="00C32D16">
        <w:t xml:space="preserve"> может доверить свой портфель нескольким компаниям: в данном случае реализуется условие диверсификации риска.</w:t>
      </w:r>
    </w:p>
    <w:p w:rsidR="00FA0520" w:rsidRPr="00C32D16" w:rsidRDefault="00FA0520" w:rsidP="00C32D16">
      <w:pPr>
        <w:pStyle w:val="a8"/>
      </w:pPr>
      <w:r w:rsidRPr="00C32D16">
        <w:t xml:space="preserve">Для минимизации риска выбор </w:t>
      </w:r>
      <w:r w:rsidR="005559AD" w:rsidRPr="00C32D16">
        <w:t>управляющей компании</w:t>
      </w:r>
      <w:r w:rsidRPr="00C32D16">
        <w:t xml:space="preserve"> осуществляется по опыту работы, текущим финансовым показателям, результатам работы на рынке в предыдущие годы, рейтингу.</w:t>
      </w:r>
    </w:p>
    <w:p w:rsidR="00FA0520" w:rsidRPr="00C32D16" w:rsidRDefault="00FA0520" w:rsidP="00C32D16">
      <w:pPr>
        <w:pStyle w:val="a8"/>
      </w:pPr>
      <w:r w:rsidRPr="00C32D16">
        <w:t xml:space="preserve">Рассмотрение проблемы управления инвестиционным потенциалом </w:t>
      </w:r>
      <w:r w:rsidR="005559AD" w:rsidRPr="00C32D16">
        <w:t>страховой организации</w:t>
      </w:r>
      <w:r w:rsidRPr="00C32D16">
        <w:t xml:space="preserve"> позволяет сделать вывод: выбор наиболее приемлемого варианта должен осуществляться с</w:t>
      </w:r>
      <w:r w:rsidR="005559AD" w:rsidRPr="00C32D16">
        <w:t xml:space="preserve"> учетом инвестиционных возможно</w:t>
      </w:r>
      <w:r w:rsidRPr="00C32D16">
        <w:t>стей финансовых ресурсов и резу</w:t>
      </w:r>
      <w:r w:rsidR="005559AD" w:rsidRPr="00C32D16">
        <w:t>льтата оценки состояния инвести</w:t>
      </w:r>
      <w:r w:rsidRPr="00C32D16">
        <w:t>ционной политики</w:t>
      </w:r>
    </w:p>
    <w:p w:rsidR="00080FA8" w:rsidRDefault="00080FA8" w:rsidP="00C32D16">
      <w:pPr>
        <w:pStyle w:val="a8"/>
      </w:pPr>
    </w:p>
    <w:p w:rsidR="00C32D16" w:rsidRDefault="00080FA8" w:rsidP="00C32D16">
      <w:pPr>
        <w:pStyle w:val="a8"/>
      </w:pPr>
      <w:r>
        <w:br w:type="page"/>
      </w:r>
      <w:r w:rsidR="005B51B8" w:rsidRPr="00C32D16">
        <w:t>Заключение</w:t>
      </w:r>
    </w:p>
    <w:p w:rsidR="005B51B8" w:rsidRPr="00C32D16" w:rsidRDefault="005B51B8" w:rsidP="00C32D16">
      <w:pPr>
        <w:pStyle w:val="a8"/>
      </w:pPr>
    </w:p>
    <w:p w:rsidR="005B51B8" w:rsidRPr="00C32D16" w:rsidRDefault="005B51B8" w:rsidP="00C32D16">
      <w:pPr>
        <w:pStyle w:val="a8"/>
      </w:pPr>
      <w:r w:rsidRPr="00C32D16">
        <w:t>Таким образом, рассмотрев основные аспекты инвестиционной деятельности</w:t>
      </w:r>
      <w:r w:rsidR="009D529F" w:rsidRPr="00C32D16">
        <w:t>,</w:t>
      </w:r>
      <w:r w:rsidRPr="00C32D16">
        <w:t xml:space="preserve"> сделаем ряд выводов.</w:t>
      </w:r>
    </w:p>
    <w:p w:rsidR="005B51B8" w:rsidRPr="00C32D16" w:rsidRDefault="005B51B8" w:rsidP="00C32D16">
      <w:pPr>
        <w:pStyle w:val="a8"/>
      </w:pPr>
      <w:r w:rsidRPr="00C32D16">
        <w:t>Во-первых</w:t>
      </w:r>
      <w:r w:rsidR="009D529F" w:rsidRPr="00C32D16">
        <w:t>,</w:t>
      </w:r>
      <w:r w:rsidRPr="00C32D16">
        <w:t xml:space="preserve"> нужно отметить, что страховой организацией в РФ признаются юридические лица любой организационно-правовой формы, предусмотренной законодательством Российской Федерации, созданные для осуществления страховой деятельности и получившие в установленном порядке лицензию на осуществление страховой деятельности на территории Российской Федерации.</w:t>
      </w:r>
    </w:p>
    <w:p w:rsidR="005B51B8" w:rsidRPr="00C32D16" w:rsidRDefault="005B51B8" w:rsidP="00C32D16">
      <w:pPr>
        <w:pStyle w:val="a8"/>
      </w:pPr>
      <w:r w:rsidRPr="00C32D16">
        <w:t>Помимо осуществления своей основной деятельности, страховые организации вправе инвестировать имеющиеся в свободном распоряжении средства.</w:t>
      </w:r>
    </w:p>
    <w:p w:rsidR="009D529F" w:rsidRPr="00C32D16" w:rsidRDefault="009D529F" w:rsidP="00C32D16">
      <w:pPr>
        <w:pStyle w:val="a8"/>
      </w:pPr>
      <w:r w:rsidRPr="00C32D16">
        <w:t>Инвестиционная деятельность страховой организации основывается на общепринятых принципах: диверсификации, возвратности, ликвидности, прибыльности.</w:t>
      </w:r>
    </w:p>
    <w:p w:rsidR="005B51B8" w:rsidRPr="00C32D16" w:rsidRDefault="009D529F" w:rsidP="00C32D16">
      <w:pPr>
        <w:pStyle w:val="a8"/>
      </w:pPr>
      <w:r w:rsidRPr="00C32D16">
        <w:t xml:space="preserve">Все средства страховой организации можно разделить на страховые резервы и собственные средства. Необходимо отметить, что законодатель жестко регулирует структуру размещения средств, </w:t>
      </w:r>
      <w:r w:rsidR="008604A9" w:rsidRPr="00C32D16">
        <w:t>устанавливая</w:t>
      </w:r>
      <w:r w:rsidRPr="00C32D16">
        <w:t xml:space="preserve"> </w:t>
      </w:r>
      <w:r w:rsidR="008604A9" w:rsidRPr="00C32D16">
        <w:t>максимальные</w:t>
      </w:r>
      <w:r w:rsidRPr="00C32D16">
        <w:t xml:space="preserve"> лимиты </w:t>
      </w:r>
      <w:r w:rsidR="008604A9" w:rsidRPr="00C32D16">
        <w:t>инвестирования</w:t>
      </w:r>
      <w:r w:rsidRPr="00C32D16">
        <w:t>.</w:t>
      </w:r>
    </w:p>
    <w:p w:rsidR="008604A9" w:rsidRPr="00C32D16" w:rsidRDefault="008604A9" w:rsidP="00C32D16">
      <w:pPr>
        <w:pStyle w:val="a8"/>
      </w:pPr>
      <w:r w:rsidRPr="00C32D16">
        <w:t>Основную долю инвестиционных ресурсов составляют страховые взносы. Объектами инвестирования становятся банковские активы, ценные бумаги, имущество, вклады в уставные капиталы других организаций и т.д.</w:t>
      </w:r>
    </w:p>
    <w:p w:rsidR="008604A9" w:rsidRPr="00C32D16" w:rsidRDefault="008604A9" w:rsidP="00C32D16">
      <w:pPr>
        <w:pStyle w:val="a8"/>
      </w:pPr>
      <w:r w:rsidRPr="00C32D16">
        <w:t>В России существует проблема недоиспользования и недооценнености роли страховых организаций в инвестиционном процессе. Между тем, страховые организации ежегодно увеличивают свои активы, и применяя различные формы участия в инвестиционном процессе, занимают все большую долю на инвестиционном рынке.</w:t>
      </w:r>
    </w:p>
    <w:p w:rsidR="008604A9" w:rsidRPr="00C32D16" w:rsidRDefault="008604A9" w:rsidP="00C32D16">
      <w:pPr>
        <w:pStyle w:val="a8"/>
      </w:pPr>
    </w:p>
    <w:p w:rsidR="00BE71E5" w:rsidRPr="00C32D16" w:rsidRDefault="00080FA8" w:rsidP="00C32D16">
      <w:pPr>
        <w:pStyle w:val="a8"/>
      </w:pPr>
      <w:r>
        <w:br w:type="page"/>
      </w:r>
      <w:r w:rsidR="008D5537" w:rsidRPr="00C32D16">
        <w:t xml:space="preserve">Список использованной </w:t>
      </w:r>
      <w:r w:rsidR="008604A9" w:rsidRPr="00C32D16">
        <w:t>литературы</w:t>
      </w:r>
    </w:p>
    <w:p w:rsidR="008D5537" w:rsidRPr="00C32D16" w:rsidRDefault="008D5537" w:rsidP="00C32D16">
      <w:pPr>
        <w:pStyle w:val="a8"/>
      </w:pPr>
    </w:p>
    <w:p w:rsidR="00677C4D" w:rsidRPr="00C32D16" w:rsidRDefault="00677C4D" w:rsidP="00080FA8">
      <w:pPr>
        <w:pStyle w:val="a8"/>
        <w:numPr>
          <w:ilvl w:val="0"/>
          <w:numId w:val="12"/>
        </w:numPr>
        <w:ind w:left="0" w:firstLine="0"/>
        <w:jc w:val="left"/>
      </w:pPr>
      <w:r w:rsidRPr="00C32D16">
        <w:t>Об организации страхового дела в российской Федерации</w:t>
      </w:r>
      <w:r w:rsidR="005E6973" w:rsidRPr="00C32D16">
        <w:t xml:space="preserve"> [Электронный ресурс]. – Федеральный закон от 27 ноября 1992 года № 4015-1 // </w:t>
      </w:r>
      <w:r w:rsidR="00EF408C" w:rsidRPr="00C32D16">
        <w:t>Информационно-</w:t>
      </w:r>
      <w:r w:rsidR="005E6973" w:rsidRPr="00C32D16">
        <w:t>справочная система «консультан Плюс». – Последнее обновление 16.10.2009</w:t>
      </w:r>
    </w:p>
    <w:p w:rsidR="00EF408C" w:rsidRPr="00C32D16" w:rsidRDefault="00EF408C" w:rsidP="00080FA8">
      <w:pPr>
        <w:pStyle w:val="a8"/>
        <w:numPr>
          <w:ilvl w:val="0"/>
          <w:numId w:val="12"/>
        </w:numPr>
        <w:ind w:left="0" w:firstLine="0"/>
        <w:jc w:val="left"/>
      </w:pPr>
      <w:r w:rsidRPr="00C32D16">
        <w:t xml:space="preserve">Об утверждении правил размещения страховщиками средств страховых резервов. – Приказ Министерства финансов РФ от 8 августа </w:t>
      </w:r>
      <w:smartTag w:uri="urn:schemas-microsoft-com:office:smarttags" w:element="metricconverter">
        <w:smartTagPr>
          <w:attr w:name="ProductID" w:val="2005 г"/>
        </w:smartTagPr>
        <w:r w:rsidRPr="00C32D16">
          <w:t>2005 г</w:t>
        </w:r>
      </w:smartTag>
      <w:r w:rsidRPr="00C32D16">
        <w:t>. № 100н.</w:t>
      </w:r>
    </w:p>
    <w:p w:rsidR="005E6973" w:rsidRPr="00C32D16" w:rsidRDefault="005E6973" w:rsidP="00080FA8">
      <w:pPr>
        <w:pStyle w:val="a8"/>
        <w:numPr>
          <w:ilvl w:val="0"/>
          <w:numId w:val="12"/>
        </w:numPr>
        <w:ind w:left="0" w:firstLine="0"/>
        <w:jc w:val="left"/>
      </w:pPr>
      <w:r w:rsidRPr="00C32D16">
        <w:t>Щербаков В.А. Страхование : учебное пособие / В.А. Щербаков, Е.В. Костяева. — М.: КНОРУС, 2007.</w:t>
      </w:r>
    </w:p>
    <w:p w:rsidR="005E6973" w:rsidRPr="00C32D16" w:rsidRDefault="005E6973" w:rsidP="00080FA8">
      <w:pPr>
        <w:pStyle w:val="a8"/>
        <w:numPr>
          <w:ilvl w:val="0"/>
          <w:numId w:val="12"/>
        </w:numPr>
        <w:ind w:left="0" w:firstLine="0"/>
        <w:jc w:val="left"/>
      </w:pPr>
      <w:r w:rsidRPr="00C32D16">
        <w:t xml:space="preserve">Архипов А. П. Эффективность страховой деятельности //Финансы, </w:t>
      </w:r>
      <w:smartTag w:uri="urn:schemas-microsoft-com:office:smarttags" w:element="metricconverter">
        <w:smartTagPr>
          <w:attr w:name="ProductID" w:val="2007 г"/>
        </w:smartTagPr>
        <w:r w:rsidRPr="00C32D16">
          <w:t>2007 г</w:t>
        </w:r>
      </w:smartTag>
      <w:r w:rsidRPr="00C32D16">
        <w:t>. – № 11.</w:t>
      </w:r>
    </w:p>
    <w:p w:rsidR="005E6973" w:rsidRPr="00C32D16" w:rsidRDefault="005E6973" w:rsidP="00080FA8">
      <w:pPr>
        <w:pStyle w:val="a8"/>
        <w:numPr>
          <w:ilvl w:val="0"/>
          <w:numId w:val="12"/>
        </w:numPr>
        <w:ind w:left="0" w:firstLine="0"/>
        <w:jc w:val="left"/>
      </w:pPr>
      <w:r w:rsidRPr="00C32D16">
        <w:t>Кадыров М.Г. Инвестиционный потенциал: некоторые актуальные проблемы исследования // Страховое дело. – 2008. – №11.</w:t>
      </w:r>
    </w:p>
    <w:p w:rsidR="00C5613D" w:rsidRPr="00C32D16" w:rsidRDefault="00C5613D" w:rsidP="00080FA8">
      <w:pPr>
        <w:pStyle w:val="a8"/>
        <w:numPr>
          <w:ilvl w:val="0"/>
          <w:numId w:val="12"/>
        </w:numPr>
        <w:ind w:left="0" w:firstLine="0"/>
        <w:jc w:val="left"/>
      </w:pPr>
      <w:r w:rsidRPr="00C32D16">
        <w:t>Кричевский Н.А. Проблемы и перспективы развития страховой и инвестиционной деятельности // Финанасы. – 2006. – №11.</w:t>
      </w:r>
    </w:p>
    <w:p w:rsidR="005E6973" w:rsidRPr="00C32D16" w:rsidRDefault="005E6973" w:rsidP="00080FA8">
      <w:pPr>
        <w:pStyle w:val="a8"/>
        <w:numPr>
          <w:ilvl w:val="0"/>
          <w:numId w:val="12"/>
        </w:numPr>
        <w:ind w:left="0" w:firstLine="0"/>
        <w:jc w:val="left"/>
      </w:pPr>
      <w:r w:rsidRPr="00C32D16">
        <w:t xml:space="preserve">Медведева Т. Рынок страховых услуг – стратегический сектор экономики. //Страховое дело. – </w:t>
      </w:r>
      <w:smartTag w:uri="urn:schemas-microsoft-com:office:smarttags" w:element="metricconverter">
        <w:smartTagPr>
          <w:attr w:name="ProductID" w:val="2008 г"/>
        </w:smartTagPr>
        <w:r w:rsidRPr="00C32D16">
          <w:t>2008 г</w:t>
        </w:r>
      </w:smartTag>
      <w:r w:rsidRPr="00C32D16">
        <w:t>. – № 8.</w:t>
      </w:r>
    </w:p>
    <w:p w:rsidR="005E6973" w:rsidRPr="00C32D16" w:rsidRDefault="005E6973" w:rsidP="00080FA8">
      <w:pPr>
        <w:pStyle w:val="a8"/>
        <w:numPr>
          <w:ilvl w:val="0"/>
          <w:numId w:val="12"/>
        </w:numPr>
        <w:ind w:left="0" w:firstLine="0"/>
        <w:jc w:val="left"/>
      </w:pPr>
      <w:r w:rsidRPr="00C32D16">
        <w:t>Никулина Н.Н. Анализ управления инвестиционным потенциалом страховой организации: опыт, перспективы развития // Страховое дело. – 2006. – №2.</w:t>
      </w:r>
    </w:p>
    <w:p w:rsidR="005E6973" w:rsidRPr="00C32D16" w:rsidRDefault="005E6973" w:rsidP="00080FA8">
      <w:pPr>
        <w:pStyle w:val="a8"/>
        <w:numPr>
          <w:ilvl w:val="0"/>
          <w:numId w:val="12"/>
        </w:numPr>
        <w:ind w:left="0" w:firstLine="0"/>
        <w:jc w:val="left"/>
      </w:pPr>
      <w:r w:rsidRPr="00C32D16">
        <w:t>Никулина Н.Н. Зарубежный опыт инвестиционной политики страховых организаций // Страховое дело. – 2007. – №11.</w:t>
      </w:r>
    </w:p>
    <w:p w:rsidR="005E6973" w:rsidRPr="00C32D16" w:rsidRDefault="005E6973" w:rsidP="00080FA8">
      <w:pPr>
        <w:pStyle w:val="a8"/>
        <w:numPr>
          <w:ilvl w:val="0"/>
          <w:numId w:val="12"/>
        </w:numPr>
        <w:ind w:left="0" w:firstLine="0"/>
        <w:jc w:val="left"/>
      </w:pPr>
      <w:r w:rsidRPr="00C32D16">
        <w:t>Оганов С.В. Инвестиционная деятельность страховщиков в банковском секторе // Банковские услуги. – 2008. – №8.</w:t>
      </w:r>
    </w:p>
    <w:p w:rsidR="009238AE" w:rsidRPr="00C32D16" w:rsidRDefault="009238AE" w:rsidP="00080FA8">
      <w:pPr>
        <w:pStyle w:val="a8"/>
        <w:numPr>
          <w:ilvl w:val="0"/>
          <w:numId w:val="12"/>
        </w:numPr>
        <w:ind w:left="0" w:firstLine="0"/>
        <w:jc w:val="left"/>
      </w:pPr>
      <w:r w:rsidRPr="00C32D16">
        <w:t>Орлова И.В. Аутсорсинг в управлении активами в страховании // Финанасы. – 2006. – № 6.</w:t>
      </w:r>
    </w:p>
    <w:p w:rsidR="005E6973" w:rsidRPr="00C32D16" w:rsidRDefault="005E6973" w:rsidP="00080FA8">
      <w:pPr>
        <w:pStyle w:val="a8"/>
        <w:numPr>
          <w:ilvl w:val="0"/>
          <w:numId w:val="12"/>
        </w:numPr>
        <w:ind w:left="0" w:firstLine="0"/>
        <w:jc w:val="left"/>
      </w:pPr>
      <w:r w:rsidRPr="00C32D16">
        <w:t xml:space="preserve">Прокопьева </w:t>
      </w:r>
      <w:r w:rsidR="00C91211" w:rsidRPr="00C32D16">
        <w:t>Е</w:t>
      </w:r>
      <w:r w:rsidRPr="00C32D16">
        <w:t>.Л. Организационно-экономические аспекты регулирования инвестиционной деятельности страховых компаний // Страховое дело. – 2007. – №1.</w:t>
      </w:r>
    </w:p>
    <w:p w:rsidR="005E6973" w:rsidRPr="00C32D16" w:rsidRDefault="005E6973" w:rsidP="00080FA8">
      <w:pPr>
        <w:pStyle w:val="a8"/>
        <w:numPr>
          <w:ilvl w:val="0"/>
          <w:numId w:val="12"/>
        </w:numPr>
        <w:ind w:left="0" w:firstLine="0"/>
        <w:jc w:val="left"/>
      </w:pPr>
      <w:r w:rsidRPr="00C32D16">
        <w:t>Рыжков О.Ю. оценка инвестиционного потенциала региональных страховых компаний // Регион: экономика и социология. – 2007. – №2.</w:t>
      </w:r>
    </w:p>
    <w:p w:rsidR="005E6973" w:rsidRPr="00C32D16" w:rsidRDefault="005E6973" w:rsidP="00080FA8">
      <w:pPr>
        <w:pStyle w:val="a8"/>
        <w:numPr>
          <w:ilvl w:val="0"/>
          <w:numId w:val="12"/>
        </w:numPr>
        <w:ind w:left="0" w:firstLine="0"/>
        <w:jc w:val="left"/>
      </w:pPr>
      <w:r w:rsidRPr="00C32D16">
        <w:t>Самиев П.А. Структура и эффективность инвестиций российских страховщиков // Аудитор. – 2006. – №10.</w:t>
      </w:r>
    </w:p>
    <w:p w:rsidR="005E6973" w:rsidRPr="00C32D16" w:rsidRDefault="005E6973" w:rsidP="00080FA8">
      <w:pPr>
        <w:pStyle w:val="a8"/>
        <w:numPr>
          <w:ilvl w:val="0"/>
          <w:numId w:val="12"/>
        </w:numPr>
        <w:ind w:left="0" w:firstLine="0"/>
        <w:jc w:val="left"/>
      </w:pPr>
      <w:r w:rsidRPr="00C32D16">
        <w:t>Сплетухов Ю.А. Анализ инвестиционной деятельности российских страховщиков // Финансы. – 2006. – №1.</w:t>
      </w:r>
    </w:p>
    <w:p w:rsidR="005E6973" w:rsidRPr="00C32D16" w:rsidRDefault="005E6973" w:rsidP="00080FA8">
      <w:pPr>
        <w:pStyle w:val="a8"/>
        <w:numPr>
          <w:ilvl w:val="0"/>
          <w:numId w:val="12"/>
        </w:numPr>
        <w:ind w:left="0" w:firstLine="0"/>
        <w:jc w:val="left"/>
      </w:pPr>
      <w:r w:rsidRPr="00C32D16">
        <w:t>Тимофеева Т.В. Вопросы статистической оценки инвестиционного потенциала страховых компаний // Экономический анализ: теория и практика. – 2007. – №2.</w:t>
      </w:r>
    </w:p>
    <w:p w:rsidR="005E6973" w:rsidRPr="00C32D16" w:rsidRDefault="005E6973" w:rsidP="00080FA8">
      <w:pPr>
        <w:pStyle w:val="a8"/>
        <w:numPr>
          <w:ilvl w:val="0"/>
          <w:numId w:val="12"/>
        </w:numPr>
        <w:ind w:left="0" w:firstLine="0"/>
        <w:jc w:val="left"/>
      </w:pPr>
      <w:r w:rsidRPr="00C32D16">
        <w:t>Чернова Г.В. Модель формирвоания инвестиционного портфеля страховой организации // Страховое дело. – 2007. – №2.</w:t>
      </w:r>
      <w:bookmarkStart w:id="0" w:name="_GoBack"/>
      <w:bookmarkEnd w:id="0"/>
    </w:p>
    <w:sectPr w:rsidR="005E6973" w:rsidRPr="00C32D16" w:rsidSect="00774420">
      <w:footerReference w:type="even" r:id="rId7"/>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740" w:rsidRDefault="00D67740">
      <w:r>
        <w:separator/>
      </w:r>
    </w:p>
  </w:endnote>
  <w:endnote w:type="continuationSeparator" w:id="0">
    <w:p w:rsidR="00D67740" w:rsidRDefault="00D6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86D" w:rsidRDefault="00A4286D" w:rsidP="00CC5430">
    <w:pPr>
      <w:pStyle w:val="a3"/>
      <w:framePr w:wrap="around" w:vAnchor="text" w:hAnchor="margin" w:xAlign="right" w:y="1"/>
      <w:rPr>
        <w:rStyle w:val="a5"/>
        <w:rFonts w:cs="Arial"/>
      </w:rPr>
    </w:pPr>
  </w:p>
  <w:p w:rsidR="00A4286D" w:rsidRDefault="00A4286D" w:rsidP="00B424B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740" w:rsidRDefault="00D67740">
      <w:r>
        <w:separator/>
      </w:r>
    </w:p>
  </w:footnote>
  <w:footnote w:type="continuationSeparator" w:id="0">
    <w:p w:rsidR="00D67740" w:rsidRDefault="00D67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3802C6A"/>
    <w:lvl w:ilvl="0">
      <w:numFmt w:val="bullet"/>
      <w:lvlText w:val="*"/>
      <w:lvlJc w:val="left"/>
    </w:lvl>
  </w:abstractNum>
  <w:abstractNum w:abstractNumId="1">
    <w:nsid w:val="00876998"/>
    <w:multiLevelType w:val="hybridMultilevel"/>
    <w:tmpl w:val="817CE068"/>
    <w:lvl w:ilvl="0" w:tplc="D1D0CC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3237AE"/>
    <w:multiLevelType w:val="hybridMultilevel"/>
    <w:tmpl w:val="9DF40BAE"/>
    <w:lvl w:ilvl="0" w:tplc="D1D0CC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C51522"/>
    <w:multiLevelType w:val="hybridMultilevel"/>
    <w:tmpl w:val="F3709CE2"/>
    <w:lvl w:ilvl="0" w:tplc="D1D0CC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034759"/>
    <w:multiLevelType w:val="hybridMultilevel"/>
    <w:tmpl w:val="E208EF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C643A7C"/>
    <w:multiLevelType w:val="hybridMultilevel"/>
    <w:tmpl w:val="ECDEB8B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35EE349C"/>
    <w:multiLevelType w:val="hybridMultilevel"/>
    <w:tmpl w:val="04405BC4"/>
    <w:lvl w:ilvl="0" w:tplc="D1D0CC7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B1520E5"/>
    <w:multiLevelType w:val="hybridMultilevel"/>
    <w:tmpl w:val="4774BCD8"/>
    <w:lvl w:ilvl="0" w:tplc="D1D0CC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2036444"/>
    <w:multiLevelType w:val="hybridMultilevel"/>
    <w:tmpl w:val="AC66361A"/>
    <w:lvl w:ilvl="0" w:tplc="D1D0CC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5D40E34"/>
    <w:multiLevelType w:val="hybridMultilevel"/>
    <w:tmpl w:val="2494CCBE"/>
    <w:lvl w:ilvl="0" w:tplc="D1D0CC7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BB476D1"/>
    <w:multiLevelType w:val="hybridMultilevel"/>
    <w:tmpl w:val="FE8011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lvlOverride w:ilvl="0">
      <w:lvl w:ilvl="0">
        <w:numFmt w:val="bullet"/>
        <w:lvlText w:val="•"/>
        <w:legacy w:legacy="1" w:legacySpace="0" w:legacyIndent="235"/>
        <w:lvlJc w:val="left"/>
        <w:rPr>
          <w:rFonts w:ascii="Arial" w:hAnsi="Arial" w:hint="default"/>
        </w:rPr>
      </w:lvl>
    </w:lvlOverride>
  </w:num>
  <w:num w:numId="2">
    <w:abstractNumId w:val="4"/>
  </w:num>
  <w:num w:numId="3">
    <w:abstractNumId w:val="3"/>
  </w:num>
  <w:num w:numId="4">
    <w:abstractNumId w:val="1"/>
  </w:num>
  <w:num w:numId="5">
    <w:abstractNumId w:val="0"/>
    <w:lvlOverride w:ilvl="0">
      <w:lvl w:ilvl="0">
        <w:numFmt w:val="bullet"/>
        <w:lvlText w:val="•"/>
        <w:legacy w:legacy="1" w:legacySpace="0" w:legacyIndent="245"/>
        <w:lvlJc w:val="left"/>
        <w:rPr>
          <w:rFonts w:ascii="Arial" w:hAnsi="Arial" w:hint="default"/>
        </w:rPr>
      </w:lvl>
    </w:lvlOverride>
  </w:num>
  <w:num w:numId="6">
    <w:abstractNumId w:val="8"/>
  </w:num>
  <w:num w:numId="7">
    <w:abstractNumId w:val="7"/>
  </w:num>
  <w:num w:numId="8">
    <w:abstractNumId w:val="2"/>
  </w:num>
  <w:num w:numId="9">
    <w:abstractNumId w:val="9"/>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0EB"/>
    <w:rsid w:val="00011480"/>
    <w:rsid w:val="0006692D"/>
    <w:rsid w:val="00075B81"/>
    <w:rsid w:val="00080FA8"/>
    <w:rsid w:val="000828F7"/>
    <w:rsid w:val="000F3EF6"/>
    <w:rsid w:val="000F44E1"/>
    <w:rsid w:val="00106BC0"/>
    <w:rsid w:val="0011179B"/>
    <w:rsid w:val="00153ECC"/>
    <w:rsid w:val="001F73A0"/>
    <w:rsid w:val="002352EE"/>
    <w:rsid w:val="00251302"/>
    <w:rsid w:val="00282EB4"/>
    <w:rsid w:val="0029237F"/>
    <w:rsid w:val="00325F93"/>
    <w:rsid w:val="003B170D"/>
    <w:rsid w:val="003E6192"/>
    <w:rsid w:val="003F2F08"/>
    <w:rsid w:val="004176B3"/>
    <w:rsid w:val="00421FF7"/>
    <w:rsid w:val="00461BD7"/>
    <w:rsid w:val="00463BFF"/>
    <w:rsid w:val="005234AE"/>
    <w:rsid w:val="00547C33"/>
    <w:rsid w:val="005559AD"/>
    <w:rsid w:val="00571FA9"/>
    <w:rsid w:val="005B51B8"/>
    <w:rsid w:val="005D59E5"/>
    <w:rsid w:val="005E6973"/>
    <w:rsid w:val="00616CDA"/>
    <w:rsid w:val="00677C4D"/>
    <w:rsid w:val="0070282F"/>
    <w:rsid w:val="007200EB"/>
    <w:rsid w:val="007374CA"/>
    <w:rsid w:val="00774420"/>
    <w:rsid w:val="00776328"/>
    <w:rsid w:val="007821AE"/>
    <w:rsid w:val="008604A9"/>
    <w:rsid w:val="008D5537"/>
    <w:rsid w:val="008E7DA6"/>
    <w:rsid w:val="009238AE"/>
    <w:rsid w:val="00950F4B"/>
    <w:rsid w:val="0098683A"/>
    <w:rsid w:val="009A5083"/>
    <w:rsid w:val="009C51D2"/>
    <w:rsid w:val="009D529F"/>
    <w:rsid w:val="00A4286D"/>
    <w:rsid w:val="00A465C3"/>
    <w:rsid w:val="00A577BD"/>
    <w:rsid w:val="00A65FE7"/>
    <w:rsid w:val="00A851A0"/>
    <w:rsid w:val="00AE31EB"/>
    <w:rsid w:val="00AF1975"/>
    <w:rsid w:val="00B26A0F"/>
    <w:rsid w:val="00B424BD"/>
    <w:rsid w:val="00B82F21"/>
    <w:rsid w:val="00BE71E5"/>
    <w:rsid w:val="00C3045B"/>
    <w:rsid w:val="00C32D16"/>
    <w:rsid w:val="00C5613D"/>
    <w:rsid w:val="00C56DD4"/>
    <w:rsid w:val="00C836D4"/>
    <w:rsid w:val="00C91211"/>
    <w:rsid w:val="00C91CF0"/>
    <w:rsid w:val="00CC5430"/>
    <w:rsid w:val="00D67740"/>
    <w:rsid w:val="00D81219"/>
    <w:rsid w:val="00D854FE"/>
    <w:rsid w:val="00DE02BF"/>
    <w:rsid w:val="00E147F7"/>
    <w:rsid w:val="00E633A2"/>
    <w:rsid w:val="00EE04F6"/>
    <w:rsid w:val="00EE36D0"/>
    <w:rsid w:val="00EF0F80"/>
    <w:rsid w:val="00EF408C"/>
    <w:rsid w:val="00FA0520"/>
    <w:rsid w:val="00FD7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8088ECB-46DC-4CC2-B8DF-B54F20DF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0EB"/>
    <w:pPr>
      <w:widowControl w:val="0"/>
      <w:autoSpaceDE w:val="0"/>
      <w:autoSpaceDN w:val="0"/>
      <w:adjustRightInd w:val="0"/>
      <w:spacing w:line="360" w:lineRule="auto"/>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24BD"/>
    <w:pPr>
      <w:tabs>
        <w:tab w:val="center" w:pos="4677"/>
        <w:tab w:val="right" w:pos="9355"/>
      </w:tabs>
    </w:pPr>
  </w:style>
  <w:style w:type="character" w:customStyle="1" w:styleId="a4">
    <w:name w:val="Нижний колонтитул Знак"/>
    <w:link w:val="a3"/>
    <w:uiPriority w:val="99"/>
    <w:semiHidden/>
    <w:locked/>
    <w:rPr>
      <w:rFonts w:ascii="Arial" w:hAnsi="Arial" w:cs="Arial"/>
    </w:rPr>
  </w:style>
  <w:style w:type="character" w:styleId="a5">
    <w:name w:val="page number"/>
    <w:uiPriority w:val="99"/>
    <w:rsid w:val="00B424BD"/>
    <w:rPr>
      <w:rFonts w:cs="Times New Roman"/>
    </w:rPr>
  </w:style>
  <w:style w:type="paragraph" w:styleId="a6">
    <w:name w:val="header"/>
    <w:basedOn w:val="a"/>
    <w:link w:val="a7"/>
    <w:uiPriority w:val="99"/>
    <w:rsid w:val="00EE04F6"/>
    <w:pPr>
      <w:tabs>
        <w:tab w:val="center" w:pos="4677"/>
        <w:tab w:val="right" w:pos="9355"/>
      </w:tabs>
    </w:pPr>
  </w:style>
  <w:style w:type="character" w:customStyle="1" w:styleId="a7">
    <w:name w:val="Верхний колонтитул Знак"/>
    <w:link w:val="a6"/>
    <w:uiPriority w:val="99"/>
    <w:semiHidden/>
    <w:locked/>
    <w:rPr>
      <w:rFonts w:ascii="Arial" w:hAnsi="Arial" w:cs="Arial"/>
    </w:rPr>
  </w:style>
  <w:style w:type="paragraph" w:customStyle="1" w:styleId="a8">
    <w:name w:val="Аа"/>
    <w:basedOn w:val="a"/>
    <w:qFormat/>
    <w:rsid w:val="00C32D16"/>
    <w:pPr>
      <w:widowControl/>
      <w:suppressAutoHyphens/>
      <w:autoSpaceDE/>
      <w:autoSpaceDN/>
      <w:adjustRightInd/>
      <w:ind w:firstLine="709"/>
      <w:contextualSpacing/>
      <w:jc w:val="both"/>
    </w:pPr>
    <w:rPr>
      <w:rFonts w:ascii="Times New Roman" w:hAnsi="Times New Roman" w:cs="Times New Roman"/>
      <w:sz w:val="28"/>
      <w:szCs w:val="22"/>
      <w:lang w:eastAsia="en-US"/>
    </w:rPr>
  </w:style>
  <w:style w:type="paragraph" w:customStyle="1" w:styleId="a9">
    <w:name w:val="Бб"/>
    <w:basedOn w:val="a8"/>
    <w:qFormat/>
    <w:rsid w:val="00C32D16"/>
    <w:pPr>
      <w:ind w:firstLine="0"/>
      <w:jc w:val="left"/>
    </w:pPr>
    <w:rPr>
      <w:sz w:val="20"/>
    </w:rPr>
  </w:style>
  <w:style w:type="table" w:styleId="aa">
    <w:name w:val="Table Grid"/>
    <w:basedOn w:val="a1"/>
    <w:uiPriority w:val="59"/>
    <w:rsid w:val="00A465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6438</Words>
  <Characters>36700</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1 Понятие страховой организации</vt:lpstr>
    </vt:vector>
  </TitlesOfParts>
  <Company>Microsoft</Company>
  <LinksUpToDate>false</LinksUpToDate>
  <CharactersWithSpaces>43052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Понятие страховой организации</dc:title>
  <dc:subject/>
  <dc:creator>Zver</dc:creator>
  <cp:keywords/>
  <dc:description/>
  <cp:lastModifiedBy>admin</cp:lastModifiedBy>
  <cp:revision>2</cp:revision>
  <dcterms:created xsi:type="dcterms:W3CDTF">2014-03-01T16:57:00Z</dcterms:created>
  <dcterms:modified xsi:type="dcterms:W3CDTF">2014-03-01T16:57:00Z</dcterms:modified>
</cp:coreProperties>
</file>