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B5221">
        <w:rPr>
          <w:rFonts w:ascii="Times New Roman" w:hAnsi="Times New Roman"/>
          <w:b/>
          <w:sz w:val="28"/>
        </w:rPr>
        <w:t>Содержание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Вступление</w:t>
      </w:r>
    </w:p>
    <w:p w:rsidR="00EB5221" w:rsidRPr="00EB5221" w:rsidRDefault="00EB5221" w:rsidP="00EB5221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Краткое описание </w:t>
      </w:r>
      <w:r w:rsidRPr="00EB5221">
        <w:rPr>
          <w:rFonts w:ascii="Times New Roman" w:hAnsi="Times New Roman"/>
          <w:bCs/>
          <w:sz w:val="28"/>
        </w:rPr>
        <w:t>колонны перегонки коньячного спирта</w:t>
      </w:r>
    </w:p>
    <w:p w:rsidR="00EB5221" w:rsidRPr="00EB5221" w:rsidRDefault="00EB5221" w:rsidP="00EB5221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Математическая модель установки и преобразование ее в пространство состояний</w:t>
      </w:r>
    </w:p>
    <w:p w:rsidR="00EB5221" w:rsidRPr="00EB5221" w:rsidRDefault="00EB5221" w:rsidP="00EB5221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Преобразование математической модели в дискретное время и ее проверка с помощью построения разгонных характеристик.</w:t>
      </w:r>
    </w:p>
    <w:p w:rsidR="00EB5221" w:rsidRPr="00EB5221" w:rsidRDefault="00EB5221" w:rsidP="00EB5221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Синтез многомерного ПИ-регулятора</w:t>
      </w:r>
    </w:p>
    <w:p w:rsidR="00EB5221" w:rsidRPr="00EB5221" w:rsidRDefault="00EB5221" w:rsidP="00EB5221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Моделирование замкнутой системы и оценка качества переходных процессов</w:t>
      </w:r>
    </w:p>
    <w:p w:rsidR="00EB5221" w:rsidRPr="00EB5221" w:rsidRDefault="00EB5221" w:rsidP="00EB5221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Преобразование модели регулятора в форму, отвечающую ее реализации в программном обеспечении</w:t>
      </w:r>
    </w:p>
    <w:p w:rsidR="00EB5221" w:rsidRPr="00EB5221" w:rsidRDefault="00EB5221" w:rsidP="00EB5221">
      <w:pPr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Выбор технических средств реализации системы управления</w:t>
      </w:r>
    </w:p>
    <w:p w:rsidR="00EB5221" w:rsidRPr="00EB5221" w:rsidRDefault="00EB5221" w:rsidP="00EB52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Выводы</w:t>
      </w:r>
    </w:p>
    <w:p w:rsidR="00EB5221" w:rsidRPr="00EB5221" w:rsidRDefault="00EB5221" w:rsidP="00EB52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Литература</w:t>
      </w:r>
    </w:p>
    <w:p w:rsidR="00EB5221" w:rsidRPr="00EB5221" w:rsidRDefault="00EB5221" w:rsidP="00EB52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Приложение1 – текст программы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B5221">
        <w:rPr>
          <w:rFonts w:ascii="Times New Roman" w:hAnsi="Times New Roman"/>
          <w:sz w:val="28"/>
        </w:rPr>
        <w:br w:type="page"/>
      </w:r>
      <w:r w:rsidRPr="00EB5221">
        <w:rPr>
          <w:rFonts w:ascii="Times New Roman" w:hAnsi="Times New Roman"/>
          <w:b/>
          <w:sz w:val="28"/>
        </w:rPr>
        <w:lastRenderedPageBreak/>
        <w:t>Аннотация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Целью курсового проекта является проектирование математического обеспечения системы управления технологической установкой для дальнейшего его использования в программном обеспечении АСУТП установки. В результате выполнения курсового проекта было получено математическое обеспечение, с помощью которого можно реализовать программное обеспечение автоматизированной системы управления технологическим процессом </w:t>
      </w:r>
      <w:r w:rsidRPr="00EB5221">
        <w:rPr>
          <w:rFonts w:ascii="Times New Roman" w:hAnsi="Times New Roman"/>
          <w:bCs/>
          <w:sz w:val="28"/>
        </w:rPr>
        <w:t>колонной перегонки коньячного спирта.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kern w:val="26"/>
          <w:sz w:val="28"/>
          <w:szCs w:val="28"/>
        </w:rPr>
      </w:pPr>
      <w:r w:rsidRPr="00EB5221">
        <w:rPr>
          <w:rFonts w:ascii="Times New Roman" w:hAnsi="Times New Roman"/>
          <w:caps/>
          <w:kern w:val="26"/>
          <w:sz w:val="28"/>
          <w:szCs w:val="28"/>
        </w:rPr>
        <w:br w:type="page"/>
        <w:t>В</w:t>
      </w:r>
      <w:r w:rsidRPr="00EB5221">
        <w:rPr>
          <w:rFonts w:ascii="Times New Roman" w:hAnsi="Times New Roman"/>
          <w:b/>
          <w:kern w:val="26"/>
          <w:sz w:val="28"/>
          <w:szCs w:val="28"/>
        </w:rPr>
        <w:t>ступление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В данной курсовой работе проводится проектирование математического обеспечения колонны перегонки коньячного спирта для дальнейшего его использования в программе обеспечения АСУТП установки. Были построены характеристики объекта: кривые разгона, переходные процессы без подачи возмущений. Вышеперечисленные операции выполнялись согласно исходной матрице передаточных функций. Все математические расчеты были произведены с помощью пакета MATLAB7. Выбраны технические средства автоматизации для реализации спроектированной системы управления.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EB5221">
        <w:rPr>
          <w:rFonts w:ascii="Times New Roman" w:hAnsi="Times New Roman"/>
          <w:bCs/>
          <w:sz w:val="28"/>
        </w:rPr>
        <w:br w:type="page"/>
      </w:r>
      <w:r w:rsidRPr="00EB5221">
        <w:rPr>
          <w:rFonts w:ascii="Times New Roman" w:hAnsi="Times New Roman"/>
          <w:b/>
          <w:bCs/>
          <w:sz w:val="28"/>
        </w:rPr>
        <w:t>Задание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EB5221">
        <w:rPr>
          <w:rFonts w:ascii="Times New Roman" w:hAnsi="Times New Roman"/>
          <w:bCs/>
          <w:sz w:val="28"/>
        </w:rPr>
        <w:t>Колонна перегонки коньячного спирта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88247E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6" o:spid="_x0000_i1025" type="#_x0000_t75" style="width:362.25pt;height:260.25pt;visibility:visible">
            <v:imagedata r:id="rId7" o:title=""/>
          </v:shape>
        </w:pic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Рисунок 1.- Технологическая схема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Таблица 1. Матрица передаточных функций объекта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3346"/>
        <w:gridCol w:w="3414"/>
      </w:tblGrid>
      <w:tr w:rsidR="00EB5221" w:rsidRPr="00EB5221" w:rsidTr="00FC3458">
        <w:trPr>
          <w:trHeight w:val="279"/>
        </w:trPr>
        <w:tc>
          <w:tcPr>
            <w:tcW w:w="1413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 xml:space="preserve">u1, м3/с , брага </w:t>
            </w:r>
          </w:p>
        </w:tc>
        <w:tc>
          <w:tcPr>
            <w:tcW w:w="1843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u2, кг/с, пар</w:t>
            </w:r>
          </w:p>
        </w:tc>
      </w:tr>
      <w:tr w:rsidR="00EB5221" w:rsidRPr="00EB5221" w:rsidTr="00FC3458">
        <w:trPr>
          <w:trHeight w:val="887"/>
        </w:trPr>
        <w:tc>
          <w:tcPr>
            <w:tcW w:w="1413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y</w:t>
            </w:r>
            <w:r w:rsidRPr="00EB522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B5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5+-0.1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МПа</w:t>
            </w:r>
          </w:p>
        </w:tc>
        <w:tc>
          <w:tcPr>
            <w:tcW w:w="1764" w:type="dxa"/>
          </w:tcPr>
          <w:p w:rsidR="00EB5221" w:rsidRPr="00EB5221" w:rsidRDefault="0088247E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6" type="#_x0000_t75" style="width:133.5pt;height:33.75pt">
                  <v:imagedata r:id="rId8" o:title=""/>
                </v:shape>
              </w:pict>
            </w:r>
          </w:p>
        </w:tc>
        <w:tc>
          <w:tcPr>
            <w:tcW w:w="1843" w:type="dxa"/>
          </w:tcPr>
          <w:p w:rsidR="00EB5221" w:rsidRPr="00EB5221" w:rsidRDefault="0088247E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7" type="#_x0000_t75" style="width:142.5pt;height:34.5pt">
                  <v:imagedata r:id="rId9" o:title=""/>
                </v:shape>
              </w:pict>
            </w:r>
          </w:p>
        </w:tc>
      </w:tr>
      <w:tr w:rsidR="00EB5221" w:rsidRPr="00EB5221" w:rsidTr="00FC3458">
        <w:trPr>
          <w:trHeight w:val="703"/>
        </w:trPr>
        <w:tc>
          <w:tcPr>
            <w:tcW w:w="1413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y</w:t>
            </w:r>
            <w:r w:rsidRPr="00EB5221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2, 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0.7+-0.05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:rsidR="00EB5221" w:rsidRPr="00EB5221" w:rsidRDefault="0088247E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8" type="#_x0000_t75" style="width:158.25pt;height:33.75pt">
                  <v:imagedata r:id="rId10" o:title=""/>
                </v:shape>
              </w:pict>
            </w:r>
          </w:p>
        </w:tc>
        <w:tc>
          <w:tcPr>
            <w:tcW w:w="1843" w:type="dxa"/>
          </w:tcPr>
          <w:p w:rsidR="00EB5221" w:rsidRPr="00EB5221" w:rsidRDefault="0088247E" w:rsidP="00EB5221">
            <w:pPr>
              <w:widowControl w:val="0"/>
              <w:spacing w:after="0" w:line="360" w:lineRule="auto"/>
              <w:ind w:hanging="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29" type="#_x0000_t75" style="width:162pt;height:33pt">
                  <v:imagedata r:id="rId11" o:title=""/>
                </v:shape>
              </w:pict>
            </w:r>
          </w:p>
        </w:tc>
      </w:tr>
    </w:tbl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у1,…, у2 – управляемые переменные (измерения), u1,…,u2 – управляющие воздействия, время в секундах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r w:rsidRPr="00EB5221">
        <w:rPr>
          <w:rFonts w:ascii="Times New Roman" w:hAnsi="Times New Roman"/>
          <w:sz w:val="28"/>
        </w:rPr>
        <w:br w:type="page"/>
      </w:r>
      <w:r w:rsidRPr="00EB5221">
        <w:rPr>
          <w:rFonts w:ascii="Times New Roman" w:hAnsi="Times New Roman"/>
          <w:b/>
          <w:sz w:val="28"/>
        </w:rPr>
        <w:t xml:space="preserve">1 Краткое описание </w:t>
      </w:r>
      <w:r w:rsidRPr="00EB5221">
        <w:rPr>
          <w:rFonts w:ascii="Times New Roman" w:hAnsi="Times New Roman"/>
          <w:b/>
          <w:bCs/>
          <w:sz w:val="28"/>
        </w:rPr>
        <w:t>колонны перегонки коньячного спирта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bCs/>
          <w:sz w:val="28"/>
        </w:rPr>
        <w:t>Колонная установка</w:t>
      </w:r>
      <w:r w:rsidRPr="00EB5221">
        <w:rPr>
          <w:rFonts w:ascii="Times New Roman" w:hAnsi="Times New Roman"/>
          <w:sz w:val="28"/>
        </w:rPr>
        <w:t xml:space="preserve"> - это устройство для перегонки виноматериалов в непрерывном потоке.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bCs/>
          <w:sz w:val="28"/>
        </w:rPr>
        <w:t xml:space="preserve">Установка для получения коньячного спирта, </w:t>
      </w:r>
      <w:r w:rsidRPr="00EB5221">
        <w:rPr>
          <w:rFonts w:ascii="Times New Roman" w:hAnsi="Times New Roman"/>
          <w:sz w:val="28"/>
          <w:szCs w:val="28"/>
        </w:rPr>
        <w:t xml:space="preserve">устройство для перегонки виноматериала и коньячного спирта-сырца. Различают установки периодического и непрерывного действия (см. </w:t>
      </w:r>
      <w:r w:rsidRPr="00EB5221">
        <w:rPr>
          <w:rFonts w:ascii="Times New Roman" w:hAnsi="Times New Roman"/>
          <w:iCs/>
          <w:sz w:val="28"/>
        </w:rPr>
        <w:t xml:space="preserve">колонная установка). </w:t>
      </w:r>
      <w:r w:rsidRPr="00EB5221">
        <w:rPr>
          <w:rFonts w:ascii="Times New Roman" w:hAnsi="Times New Roman"/>
          <w:sz w:val="28"/>
          <w:szCs w:val="28"/>
        </w:rPr>
        <w:t xml:space="preserve">Установки периодического действия бывают однократной (ПУ-500) и двукратной (установка для получения коньячного спирта шарантского типа) перегонки. Установка ПУ-500 позволяет получать коньячный спирт крепостью 62—70% об. непосредственно из виноматериала и наряду с аппаратом шарантского типа нашла широкое распространение в коньячном производстве. Состоит из перегонного куба </w:t>
      </w:r>
      <w:r w:rsidRPr="00EB5221">
        <w:rPr>
          <w:rFonts w:ascii="Times New Roman" w:hAnsi="Times New Roman"/>
          <w:iCs/>
          <w:sz w:val="28"/>
        </w:rPr>
        <w:t xml:space="preserve">1 </w:t>
      </w:r>
      <w:r w:rsidRPr="00EB5221">
        <w:rPr>
          <w:rFonts w:ascii="Times New Roman" w:hAnsi="Times New Roman"/>
          <w:sz w:val="28"/>
          <w:szCs w:val="28"/>
        </w:rPr>
        <w:t xml:space="preserve">полезной емкостью 500 дал, ректификационной колонны </w:t>
      </w:r>
      <w:r w:rsidRPr="00EB5221">
        <w:rPr>
          <w:rFonts w:ascii="Times New Roman" w:hAnsi="Times New Roman"/>
          <w:iCs/>
          <w:sz w:val="28"/>
        </w:rPr>
        <w:t xml:space="preserve">2 </w:t>
      </w:r>
      <w:r w:rsidRPr="00EB5221">
        <w:rPr>
          <w:rFonts w:ascii="Times New Roman" w:hAnsi="Times New Roman"/>
          <w:sz w:val="28"/>
          <w:szCs w:val="28"/>
        </w:rPr>
        <w:t xml:space="preserve">с 3—4-колпачковыми тарелками, вертикального кожухотрубчатого дефлегматора </w:t>
      </w:r>
      <w:r w:rsidRPr="00EB5221">
        <w:rPr>
          <w:rFonts w:ascii="Times New Roman" w:hAnsi="Times New Roman"/>
          <w:iCs/>
          <w:sz w:val="28"/>
        </w:rPr>
        <w:t xml:space="preserve">3, </w:t>
      </w:r>
      <w:r w:rsidRPr="00EB5221">
        <w:rPr>
          <w:rFonts w:ascii="Times New Roman" w:hAnsi="Times New Roman"/>
          <w:sz w:val="28"/>
          <w:szCs w:val="28"/>
        </w:rPr>
        <w:t xml:space="preserve">подогревателя виноматериала </w:t>
      </w:r>
      <w:r w:rsidRPr="00EB5221">
        <w:rPr>
          <w:rFonts w:ascii="Times New Roman" w:hAnsi="Times New Roman"/>
          <w:iCs/>
          <w:sz w:val="28"/>
        </w:rPr>
        <w:t xml:space="preserve">4, </w:t>
      </w:r>
      <w:r w:rsidRPr="00EB5221">
        <w:rPr>
          <w:rFonts w:ascii="Times New Roman" w:hAnsi="Times New Roman"/>
          <w:sz w:val="28"/>
          <w:szCs w:val="28"/>
        </w:rPr>
        <w:t xml:space="preserve">холодильника </w:t>
      </w:r>
      <w:r w:rsidRPr="00EB5221">
        <w:rPr>
          <w:rFonts w:ascii="Times New Roman" w:hAnsi="Times New Roman"/>
          <w:iCs/>
          <w:sz w:val="28"/>
        </w:rPr>
        <w:t xml:space="preserve">5, </w:t>
      </w:r>
      <w:r w:rsidRPr="00EB5221">
        <w:rPr>
          <w:rFonts w:ascii="Times New Roman" w:hAnsi="Times New Roman"/>
          <w:sz w:val="28"/>
          <w:szCs w:val="28"/>
        </w:rPr>
        <w:t>сборников дистиллята 6 и контрольно-измерительных приборов. Установка снабжена также вакуум-прерывателем, обеспечивающим безопасность работы аппарата. В перегонном кубе виноматериал доводят до кипения.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t xml:space="preserve">Конденсат (флегма) непрерывно подается на орошение колонны, а несконденсировавшиеся пары спирта из дефлегматора поступают в змеевик подогревателя для нагрева до 60—70°С новой порции виноматериала или непосредственно направляются в холодильник, откуда охлажденный дистиллят стекает в сборники. В процессе дистилляции отделяют головную, среднюю (коньячный спирт) и хвостовую фракции (см. </w:t>
      </w:r>
      <w:r w:rsidRPr="00EB5221">
        <w:rPr>
          <w:rFonts w:ascii="Times New Roman" w:hAnsi="Times New Roman"/>
          <w:iCs/>
          <w:sz w:val="28"/>
        </w:rPr>
        <w:t xml:space="preserve">перегонка виноматериалов ). </w:t>
      </w:r>
      <w:r w:rsidRPr="00EB5221">
        <w:rPr>
          <w:rFonts w:ascii="Times New Roman" w:hAnsi="Times New Roman"/>
          <w:sz w:val="28"/>
          <w:szCs w:val="28"/>
        </w:rPr>
        <w:t xml:space="preserve">Головную фракцию крепостью 80—87% об. отбирают в количестве 0,8—1,2% от безводного спирта, содержащегося в навалке, и используют для получения ректификованного спирта. Затем приступают к отбору средней фракции (коньячный спирт), крепостью 62—70% об. Процесс ведут в течение 4—4,5 ч. При снижении крепости дистиллята до 45—50°С начинают отбор хвостовой фракции, которую добавляют к виноматериалу и после пятикратного возврата выделяют и направляют на ректификацию. Дистилляцию прекращают при показании спиртомера 1% об. Кубовый остаток (барду) сливают и направляют на утилизацию. За 5—6 ч до окончания процесса в подогреватель загружают 450 дал виноматериала и 50 дал хвостовой фракции от предыдущей перегонки. Общая продолжительность процесса (загрузка куба, перегонка вина, слив остатка) 12 ч. Производительность установки (при перегонке виноматериала крепостью 10% об.) 100 дал безводного спирта в сутки. На базе ПУ-500 разработана новая установка Б2-ВУФ производительностью до 200 дал коньячного спирта в сутки. </w:t>
      </w:r>
    </w:p>
    <w:p w:rsidR="00EB5221" w:rsidRPr="00EB5221" w:rsidRDefault="00EB5221" w:rsidP="00EB5221">
      <w:pPr>
        <w:widowControl w:val="0"/>
        <w:shd w:val="clear" w:color="auto" w:fill="F8FC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bCs/>
          <w:sz w:val="28"/>
          <w:szCs w:val="28"/>
        </w:rPr>
        <w:t>Дефлегмация</w:t>
      </w:r>
      <w:r w:rsidRPr="00EB5221">
        <w:rPr>
          <w:rFonts w:ascii="Times New Roman" w:hAnsi="Times New Roman"/>
          <w:sz w:val="28"/>
          <w:szCs w:val="28"/>
        </w:rPr>
        <w:t xml:space="preserve"> (от де… и греч. phlégma — мокрота, влага) — частичная конденсация смесей различных паров и газов с целью обогащения их низкокипящими компонентами.Дефлегмация основана на преимущественной конденсации высококипящих компонентов при их охлаждении. Дефлегмация представляет собой разновидность противоточной фракционированной конденсации. Дефлегмация пользуются как промежуточной стадией при разделении газовых смесей, а также в процессах дистилляции и ректификации. Самостоятельно дефлегмацию применяют при разделении газовых смесей, компоненты которых значительно различаются по температуре конденсации.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В странах СНГ колонные установки применяют для получения коньячного спирта с отделением эфиро-альдегидной фракции (К-5М; КПИ) и без отбора головного погона (К-5, производство Болгарии).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Основные части промышленной колонной установки: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- колонна с контактными устройствами,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- дефлегматор,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- холодильник,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- подогреватель.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В колонную установку К-5 виноматериал из подогревателя подается непрерывно на питающую тарелку, пары поступают в дефлегматор, где примерно 2/3 конденсируются, образуя флегму, стекающую в колонну. Оставшаяся часть паров конденсируется в холодильнике, а дистиллят отводится в сборник. Спирт содержит значительное количество головных примесей, снижающих его качество.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Особенностью других колонных установок являются устройства для тепловой обработки вина и для отделения эфироальдегидной фракции.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Наибольшее распространение получила колонная установка К-5М, которая (наряду с общими элементами) содержит перегреватель, где вино выдерживается 3 ч при температуре 105°—110°С, охладитель, в котором перегретое вино охлаждается до 85°—90°С, и эпюрационную колонну, обеспечивающую отбор головной фракции (1—3% в пересчете на безводный спирт). Производительность К-5М до 400 дал/сутки безводного спирта при расходе 160—180 дал/ч вина (10% об.).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B5221">
        <w:rPr>
          <w:rFonts w:ascii="Times New Roman" w:hAnsi="Times New Roman"/>
          <w:b/>
          <w:sz w:val="28"/>
        </w:rPr>
        <w:t>2 Математическая модель установки и преобразование ее в пространство состояний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Математическая модель в виде матрицы передаточных функций приведена в таблице 2.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Таблица.2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380"/>
        <w:gridCol w:w="3685"/>
      </w:tblGrid>
      <w:tr w:rsidR="00EB5221" w:rsidRPr="00EB5221" w:rsidTr="00FC3458">
        <w:trPr>
          <w:trHeight w:val="421"/>
        </w:trPr>
        <w:tc>
          <w:tcPr>
            <w:tcW w:w="1440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u1, м3/с , брага</w:t>
            </w:r>
          </w:p>
        </w:tc>
        <w:tc>
          <w:tcPr>
            <w:tcW w:w="3685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u2, кг/с, пар</w:t>
            </w:r>
          </w:p>
        </w:tc>
      </w:tr>
      <w:tr w:rsidR="00EB5221" w:rsidRPr="00EB5221" w:rsidTr="00FC3458">
        <w:trPr>
          <w:trHeight w:val="904"/>
        </w:trPr>
        <w:tc>
          <w:tcPr>
            <w:tcW w:w="1440" w:type="dxa"/>
          </w:tcPr>
          <w:p w:rsidR="00EB5221" w:rsidRPr="00EB5221" w:rsidRDefault="0088247E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0" type="#_x0000_t75" style="width:42.75pt;height:50.25pt">
                  <v:imagedata r:id="rId12" o:title=""/>
                </v:shape>
              </w:pict>
            </w:r>
          </w:p>
        </w:tc>
        <w:tc>
          <w:tcPr>
            <w:tcW w:w="3380" w:type="dxa"/>
          </w:tcPr>
          <w:p w:rsidR="00EB5221" w:rsidRPr="00EB5221" w:rsidRDefault="0088247E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1" type="#_x0000_t75" style="width:147pt;height:37.5pt">
                  <v:imagedata r:id="rId8" o:title=""/>
                </v:shape>
              </w:pict>
            </w:r>
          </w:p>
        </w:tc>
        <w:tc>
          <w:tcPr>
            <w:tcW w:w="3685" w:type="dxa"/>
          </w:tcPr>
          <w:p w:rsidR="00EB5221" w:rsidRPr="00EB5221" w:rsidRDefault="0088247E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2" type="#_x0000_t75" style="width:154.5pt;height:37.5pt">
                  <v:imagedata r:id="rId9" o:title=""/>
                </v:shape>
              </w:pict>
            </w:r>
          </w:p>
        </w:tc>
      </w:tr>
      <w:tr w:rsidR="00EB5221" w:rsidRPr="00EB5221" w:rsidTr="00FC3458">
        <w:trPr>
          <w:trHeight w:val="825"/>
        </w:trPr>
        <w:tc>
          <w:tcPr>
            <w:tcW w:w="1440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 xml:space="preserve"> y2,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0.7+-0.05</w:t>
            </w:r>
          </w:p>
        </w:tc>
        <w:tc>
          <w:tcPr>
            <w:tcW w:w="3380" w:type="dxa"/>
          </w:tcPr>
          <w:p w:rsidR="00EB5221" w:rsidRPr="00EB5221" w:rsidRDefault="0088247E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3" type="#_x0000_t75" style="width:174pt;height:37.5pt">
                  <v:imagedata r:id="rId10" o:title=""/>
                </v:shape>
              </w:pict>
            </w:r>
          </w:p>
        </w:tc>
        <w:tc>
          <w:tcPr>
            <w:tcW w:w="3685" w:type="dxa"/>
          </w:tcPr>
          <w:p w:rsidR="00EB5221" w:rsidRPr="00EB5221" w:rsidRDefault="0088247E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4" type="#_x0000_t75" style="width:163.5pt;height:37.5pt">
                  <v:imagedata r:id="rId11" o:title=""/>
                </v:shape>
              </w:pict>
            </w:r>
          </w:p>
        </w:tc>
      </w:tr>
    </w:tbl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br w:type="page"/>
        <w:t>На рисунке 2 представлена блок – схема модели колонны.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88247E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5" type="#_x0000_t75" style="width:406.5pt;height:203.25pt">
            <v:imagedata r:id="rId13" o:title=""/>
          </v:shape>
        </w:pic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OLE_LINK15"/>
      <w:r w:rsidRPr="00EB5221">
        <w:rPr>
          <w:rFonts w:ascii="Times New Roman" w:hAnsi="Times New Roman"/>
          <w:sz w:val="28"/>
        </w:rPr>
        <w:t xml:space="preserve">Рисунок 2 – </w:t>
      </w:r>
      <w:bookmarkEnd w:id="0"/>
      <w:r w:rsidRPr="00EB5221">
        <w:rPr>
          <w:rFonts w:ascii="Times New Roman" w:hAnsi="Times New Roman"/>
          <w:sz w:val="28"/>
        </w:rPr>
        <w:t>Блок-схема модели колонны</w:t>
      </w:r>
    </w:p>
    <w:p w:rsidR="00EB5221" w:rsidRPr="00EB5221" w:rsidRDefault="00EB5221" w:rsidP="00EB5221">
      <w:pPr>
        <w:widowControl w:val="0"/>
        <w:tabs>
          <w:tab w:val="left" w:pos="285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tabs>
          <w:tab w:val="left" w:pos="285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В исходных данных, модель дана как мы видим в виде матриц передаточных фунцый. Для преобразования передаточных функций в пространство состояний использовали соотношения. Наиболее простой аппроксимацией опоздания является замена его инерционным звеном первого порядка. Для проверки правильности преобразования следует найти собственные значения системы с помощью функции Eig и убедиться, что или все собственные значения имеют отрицательные действительные части (система постоянна), или число нулевых собственных значений совпадает с числом интегральных звеньев в исходной модели. Окончательно система должна быть представлена матрицами A,B,C,D.</w:t>
      </w:r>
    </w:p>
    <w:p w:rsidR="00EB5221" w:rsidRPr="00EB5221" w:rsidRDefault="00EB5221" w:rsidP="00EB5221">
      <w:pPr>
        <w:widowControl w:val="0"/>
        <w:tabs>
          <w:tab w:val="left" w:pos="285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tabs>
          <w:tab w:val="left" w:pos="285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br w:type="page"/>
      </w:r>
      <w:r w:rsidR="0088247E">
        <w:rPr>
          <w:rFonts w:ascii="Times New Roman" w:hAnsi="Times New Roman"/>
          <w:sz w:val="28"/>
        </w:rPr>
        <w:pict>
          <v:shape id="_x0000_i1036" type="#_x0000_t75" style="width:420.75pt;height:479.25pt" o:bordertopcolor="this" o:borderleftcolor="this" o:borderbottomcolor="this" o:borderrightcolor="this">
            <v:imagedata r:id="rId14" o:title=""/>
          </v:shape>
        </w:pict>
      </w:r>
      <w:r w:rsidR="0088247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8.55pt;margin-top:172.3pt;width:26.3pt;height:35.7pt;z-index:251658240;mso-position-horizontal-relative:text;mso-position-vertical-relative:text;mso-width-relative:margin;mso-height-relative:margin" filled="f" stroked="f">
            <v:textbox style="mso-next-textbox:#_x0000_s1026">
              <w:txbxContent>
                <w:p w:rsidR="00EB5221" w:rsidRPr="0063507B" w:rsidRDefault="00EB5221" w:rsidP="00EB5221">
                  <w:pPr>
                    <w:spacing w:line="240" w:lineRule="auto"/>
                    <w:rPr>
                      <w:sz w:val="24"/>
                      <w:szCs w:val="32"/>
                    </w:rPr>
                  </w:pPr>
                </w:p>
              </w:txbxContent>
            </v:textbox>
          </v:shape>
        </w:pict>
      </w:r>
      <w:r w:rsidR="0088247E">
        <w:rPr>
          <w:noProof/>
          <w:lang w:eastAsia="ru-RU"/>
        </w:rPr>
        <w:pict>
          <v:shape id="_x0000_s1027" type="#_x0000_t202" style="position:absolute;left:0;text-align:left;margin-left:186.8pt;margin-top:310.6pt;width:26.3pt;height:35.7pt;z-index:251657216;mso-position-horizontal-relative:text;mso-position-vertical-relative:text;mso-width-relative:margin;mso-height-relative:margin" filled="f" stroked="f">
            <v:textbox style="mso-next-textbox:#_x0000_s1027">
              <w:txbxContent>
                <w:p w:rsidR="00EB5221" w:rsidRPr="0063507B" w:rsidRDefault="00EB5221" w:rsidP="00EB5221">
                  <w:pPr>
                    <w:spacing w:line="240" w:lineRule="auto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DroidSans" w:hAnsi="Times New Roman"/>
          <w:sz w:val="28"/>
          <w:lang w:eastAsia="uk-UA"/>
        </w:rPr>
      </w:pPr>
      <w:r w:rsidRPr="00EB5221">
        <w:rPr>
          <w:rFonts w:ascii="Times New Roman" w:eastAsia="DroidSans" w:hAnsi="Times New Roman"/>
          <w:sz w:val="28"/>
          <w:lang w:eastAsia="uk-UA"/>
        </w:rPr>
        <w:t>Рисунок 3. Развернутая структурная схема системы с учетом запаздывания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Исходя из систем получим матрицы модели в пространстве состояний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88247E" w:rsidP="00EB5221">
      <w:pPr>
        <w:widowControl w:val="0"/>
        <w:tabs>
          <w:tab w:val="left" w:pos="285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7" type="#_x0000_t75" style="width:105pt;height:33.75pt" fillcolor="window">
            <v:imagedata r:id="rId15" o:title=""/>
          </v:shape>
        </w:pict>
      </w:r>
      <w:r w:rsidR="00EB5221" w:rsidRPr="00EB5221">
        <w:rPr>
          <w:rFonts w:ascii="Times New Roman" w:hAnsi="Times New Roman"/>
          <w:sz w:val="28"/>
        </w:rPr>
        <w:t xml:space="preserve"> </w:t>
      </w:r>
    </w:p>
    <w:p w:rsidR="00EB5221" w:rsidRPr="00EB5221" w:rsidRDefault="00EB5221" w:rsidP="00EB5221">
      <w:pPr>
        <w:widowControl w:val="0"/>
        <w:tabs>
          <w:tab w:val="left" w:pos="2853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где х- состояние систем;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y- измеряемые входы;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f- возмущение;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u- управление.</w:t>
      </w:r>
    </w:p>
    <w:p w:rsidR="00EB5221" w:rsidRPr="00EB5221" w:rsidRDefault="00EB5221" w:rsidP="00EB5221">
      <w:pPr>
        <w:widowControl w:val="0"/>
        <w:tabs>
          <w:tab w:val="left" w:pos="285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Матрицы системы имеют вид: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A=[-1/35 0 0 0 0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0 -1/129 0 0 0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4/48 -2/48 0 0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0 -1/38 0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4/9 -2/9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0 -1/110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4/134 -2/134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0 -1/13.5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0 -1/98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4/133 -2/133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0 0 0 0 0 0 0 0 0 0 -1/50 0 0 0; 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0 0 0 0 0 0 0 0 0 0 4/12 -2/12 0 0; 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0 0 0 0 -1/186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0 0 0 0 4/150 -2/150];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Матрица входа: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B=[-42.5/35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-72.5/129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1720/38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730/110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0.994/13.5;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0.459/98;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0 -6.9/50;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0 -5.1/186;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0];</w:t>
      </w:r>
    </w:p>
    <w:p w:rsidR="00EB5221" w:rsidRPr="00EB5221" w:rsidRDefault="00EB5221" w:rsidP="00EB5221">
      <w:pPr>
        <w:widowControl w:val="0"/>
        <w:tabs>
          <w:tab w:val="left" w:pos="2853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Матрица измерений: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C=[1 -1 1 0 0 0 0 1 -1 1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0 -1 1 -1 1 0 0 0 -1 1 -1 1];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где матрица системы: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D=[0 0;0 0];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B5221">
        <w:rPr>
          <w:rFonts w:ascii="Times New Roman" w:hAnsi="Times New Roman"/>
          <w:b/>
          <w:sz w:val="28"/>
        </w:rPr>
        <w:t>3 Преобразование математической модели в дискретное время и ее проверка с помощью построения разгонных характеристик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Для преобразования математической модели в дискретное время использовалась функция программного пакета Matlab c2d. При этом шаг дискретности нужно выбирать с учетом того что процессы в замкнутой системе будут проходить в 10 раз быстрее чем в объекте.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dt=0.01/max(abs(eig(A)))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221">
        <w:rPr>
          <w:rFonts w:ascii="Times New Roman" w:hAnsi="Times New Roman"/>
          <w:sz w:val="28"/>
          <w:szCs w:val="28"/>
          <w:lang w:eastAsia="ru-RU"/>
        </w:rPr>
        <w:t>t=0:dt:999;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[Ad,Bd]=c2d(A,B,dt);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dt=0.4500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Проверить найденную модель в дискретном времени следует с помощью расчета разгонных характеристик. Для этого следует использовать функцию dstep. Для вывода графиков следует использовать функции: subplot, plot, grid.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Ad =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Columns 1 through 8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0.9872 0 0 0 0 0 0 0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0 0.9965 0 0 0 0 0 0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0 0.0371 0.9814 0 0 0 0 0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0 0 0 0.9882 0 0 0 0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0 0 0 0.1892 0.9048 0 0 0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0 0 0 0 0 0.9959 0 0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0 0 0 0 0 0.0134 0.9933 0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0 0 0 0 0 0 0 0.9672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Columns 9 through 14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0.9954 0 0 0 0 0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0.0135 0.9933 0 0 0 0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0 0 0.9910 0 0 0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0 0 0.1439 0.9277 0 0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0 0 0 0 0.9976 0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0 0 0 0 0.0119 0.9940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Bd =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-0.5429 0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-0.2525 0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-0.0047 0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20.2483 0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1.9628 0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2.9803 0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0.0200 0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0 0.0326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0 0.0021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0 -0.0618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0 -0.0045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0 -0.0123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0 -0.0001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Построим разгонные характеристики с помощью функций dstep, subplot, plot, grid.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88247E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129" o:spid="_x0000_i1038" type="#_x0000_t75" style="width:409.5pt;height:266.25pt;visibility:visible">
            <v:imagedata r:id="rId16" o:title="" grayscale="t"/>
          </v:shape>
        </w:pic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Рисунок 4.Кривые разгона.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В результате анализа кривых разгона можно сделать вывод, что значения полученные на выходе каналов регулирования описанных инерционными звеньями 1-го порядка совпадают со значением коэффициента К инерционного звена, а на выходе каналов регулирования представленных интегрирующим звеном, кривые разгона направлены в отрицательную сторону, если имеют знак «-» в передаточной функции звена и наоборот. Если сравнить матрицу передаточных функций и полученные разгонные характеристики, видно, что Кр совпадают, можно сделать вывод: построение модели и преобразование выполнены верно.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B5221">
        <w:rPr>
          <w:rFonts w:ascii="Times New Roman" w:hAnsi="Times New Roman"/>
          <w:b/>
          <w:sz w:val="28"/>
        </w:rPr>
        <w:t>4 Синтез многомерного ПИ-регулятора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Для синтеза ПИ-регулятора полученные матрицы должны быть расширены в матрицы A1, B1, C1: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A1=[Ad zeros(n,l); C eye(l)];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B1=[Bd;zeros(m)];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C1=[C eye(l)];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Матрицы параметров регулятора должны быть расчитаны с помощью функции dlqr.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K=dlqr(A1,B1,Q,R)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L=dlqr(A1',C1',Q1,R1)'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Весовые матрицы Q1,R1,Q,R выбраны как единичные (для простоты матрицы генерирует функция eye).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Матрицы имеют вид: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A1 =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Columns 1 through 8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0.9872 0 0 0 0 0 0 0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0 0.9965 0 0 0 0 0 0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0 0.0371 0.9814 0 0 0 0 0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0 0 0 0.9882 0 0 0 0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0 0 0 0.1892 0.9048 0 0 0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0 0 0 0 0 0.9959 0 0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0 0 0 0 0 0.0134 0.9933 0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0 0 0 0 0 0 0 0.9672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1.0000 -1.0000 1.0000 0 0 0 0 1.0000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0 -1.0000 1.0000 -1.0000 1.0000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Columns 9 through 16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0.9954 0 0 0 0 0 0 0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0.0135 0.9933 0 0 0 0 0 0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0 0 0.9910 0 0 0 0 0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0 0 0.1439 0.9277 0 0 0 0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0 0 0 0 0.9976 0 0 0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0 0 0 0 0.0119 0.9940 0 0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-1.0000 1.0000 0 0 0 0 1.0000 0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0 -1.0000 1.0000 -1.0000 1.0000 0 1.0000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B1 =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-0.5429 0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-0.2525 0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-0.0047 0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20.2483 0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1.9628 0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2.9803 0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0.0200 0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0 0.0326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0 0.0021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0 -0.0618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0 -0.0045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0 -0.0123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0 -0.0001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C1 =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Columns 1 through 13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0 0 0 0 0 0 0 0 0 0 0 0 0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Columns 14 through 16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0 1 0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0 0 1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K =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Columns 1 through 8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0.0367 -0.0578 0.0407 0.0634 0.0239 -0.0813 0.1013 0.0485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21.0412 -24.2138 21.6345 4.5472 11.1495 -21.5375 25.0390 22.7474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Columns 9 through 16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-0.0419 0.0319 0.0446 0.0349 -0.0865 0.1026 0.0000 0.0001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-21.8436 20.3135 0.9756 13.2017 -22.4572 25.2658 0.0195 0.0270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L =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0.0925 -0.0000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0.1180 0.0000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0.3752 0.0000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0.0000 0.0568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0.0000 0.1807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0.0000 0.0279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-0.0000 0.2379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0.0694 -0.0000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0.0275 0.0000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0.2971 0.0000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-0.0000 0.0629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-0.0000 0.1964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0.0000 0.0673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0.0000 0.3243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1.6139 0.0000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0.0000 1.6702</w: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5221">
        <w:rPr>
          <w:rFonts w:ascii="Times New Roman" w:hAnsi="Times New Roman"/>
          <w:b/>
          <w:sz w:val="28"/>
          <w:szCs w:val="28"/>
        </w:rPr>
        <w:t>5 Моделирование замкнутой системы и оценка качества переходных процессов</w: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221" w:rsidRPr="00EB5221" w:rsidRDefault="0088247E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0" o:spid="_x0000_i1039" type="#_x0000_t75" style="width:378pt;height:106.5pt;visibility:visible">
            <v:imagedata r:id="rId17" o:title="" croptop="27504f" cropright="502f" grayscale="t"/>
          </v:shape>
        </w:pic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t>Рисунок 5 – Структурная схема системы в виде переменных состояния с учетом запаздывания.</w: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br w:type="page"/>
        <w:t>Для получения переходных процессов следует сформировать матрицы замкнутой системы и получить переходные процессы с помощью программы dstep .</w: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t>AA=[A1 -B1*K;L*C1 A1-B1*K-L*C1];</w: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t>BB=[B1;zeros(n+l,m)];</w: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t>CC=[C zeros(l) zeros(l,n+l)];</w: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t>При оценке качества переходных процессов необходимо чтоб управляющее воздействие не превышало 100% открытия.</w: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t xml:space="preserve">Максимальное возмущение следует принять на уровне 10% номинального значения соответствующих параметров. Допустимое значение урегулированных переменных нужно принять равными 20% номинального значения. Если качество не соответствует нужно сменить весовые матрицы и повторить расчет. </w:t>
      </w:r>
    </w:p>
    <w:p w:rsidR="00EB5221" w:rsidRPr="00EB5221" w:rsidRDefault="00EB5221" w:rsidP="00EB5221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221" w:rsidRPr="00EB5221" w:rsidRDefault="0088247E" w:rsidP="00EB5221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1" o:spid="_x0000_i1040" type="#_x0000_t75" style="width:352.5pt;height:285.75pt;visibility:visible">
            <v:imagedata r:id="rId18" o:title="" grayscale="t"/>
          </v:shape>
        </w:pict>
      </w:r>
    </w:p>
    <w:p w:rsidR="00EB5221" w:rsidRPr="00EB5221" w:rsidRDefault="00EB5221" w:rsidP="00EB5221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t>Рисунок 6.Переходные процессы замкнутой системы.</w:t>
      </w:r>
    </w:p>
    <w:p w:rsidR="00EB5221" w:rsidRPr="00EB5221" w:rsidRDefault="00EB5221" w:rsidP="00EB5221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br w:type="page"/>
        <w:t xml:space="preserve">Проанализировав переходные процессы можно сделать вывод, что значения регулируемых параметров не превышают допустимых. Для определения времени регулирования нужно количество итераций цикла умножить на шаг: </w:t>
      </w:r>
      <w:r w:rsidR="0088247E">
        <w:rPr>
          <w:rFonts w:ascii="Times New Roman" w:hAnsi="Times New Roman"/>
          <w:sz w:val="28"/>
          <w:szCs w:val="28"/>
        </w:rPr>
        <w:pict>
          <v:shape id="_x0000_i1041" type="#_x0000_t75" style="width:114pt;height:18.75pt">
            <v:imagedata r:id="rId19" o:title=""/>
          </v:shape>
        </w:pict>
      </w:r>
      <w:r w:rsidRPr="00EB5221">
        <w:rPr>
          <w:rFonts w:ascii="Times New Roman" w:hAnsi="Times New Roman"/>
          <w:sz w:val="28"/>
          <w:szCs w:val="28"/>
        </w:rPr>
        <w:t>.</w:t>
      </w:r>
    </w:p>
    <w:p w:rsidR="00EB5221" w:rsidRPr="00EB5221" w:rsidRDefault="00EB5221" w:rsidP="00EB5221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221" w:rsidRPr="00EB5221" w:rsidRDefault="00EB5221" w:rsidP="00EB5221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5221">
        <w:rPr>
          <w:rFonts w:ascii="Times New Roman" w:hAnsi="Times New Roman"/>
          <w:b/>
          <w:sz w:val="28"/>
          <w:szCs w:val="28"/>
        </w:rPr>
        <w:t>6 Преобразование модели регулятора в форму, отвечающую ее реализации в програмном обеспечении</w:t>
      </w:r>
    </w:p>
    <w:p w:rsidR="00EB5221" w:rsidRPr="00EB5221" w:rsidRDefault="00EB5221" w:rsidP="00EB5221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221" w:rsidRPr="00EB5221" w:rsidRDefault="00EB5221" w:rsidP="00EB5221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ПИ закон регулирования вычисляется по формулам: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K1=K(:,1:14);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K2=K(:,15:16);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L1=L(1:14,:);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L2=L(15:16,:);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Ar=[Ad-Bd*K1 -Bd*K2-L1 L1; C eye(2)-L2 L2; zeros(2,14) zeros(2) eye(2)];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Br=[zeros(14,2); zeros(2); eye(2)];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Cr=[-K zeros(2)];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Az=[Ad Bd*Cr; Br*C Ar];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Bf=[Bd; zeros(18,2)];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Bz=[zeros(14,2); Br];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Cz=[C zeros(2,18)];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и записать замкнутую систему в вид в котором она будет реализована в программном обеспечении: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x=zeros(14,1);xr=zeros(18,1); u=zeros(2,1);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yy=[]; uu=[];f=[.0010;.0010];z=[0;0];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for i=1:2000,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y=C*x; e=-z+y;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u=Cr*xr; xr=Ar*xr+Br*e;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y=C*x; x=Ad*x+Bd*(u+f);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yy=[yy; y']; uu=[uu; u'];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end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x1=x; xr1=xr; u1=u;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В результате выполнения программного кода будут получены переходные процессы изменения возмущения, которое поступает на каждый из каналов регулирования и переходные процессы на выходе системы. </w:t>
      </w:r>
    </w:p>
    <w:p w:rsidR="00EB5221" w:rsidRPr="00EB5221" w:rsidRDefault="00EB5221" w:rsidP="00EB5221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B5221">
        <w:rPr>
          <w:rFonts w:ascii="Times New Roman" w:hAnsi="Times New Roman"/>
          <w:b/>
          <w:sz w:val="28"/>
        </w:rPr>
        <w:t>7 Выбор технических средств реализации системы управления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Технические средства реализации системы правления включают датчики ругулированых параметров, исполнительные механизмы и регулирующие органы, преобразователи,рабочая станция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Общая структурная схема рабочей станции изображена на рисунке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Рабочая станция имеет вид: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88247E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2" type="#_x0000_t75" style="width:393pt;height:270.75pt">
            <v:imagedata r:id="rId20" o:title="" grayscale="t"/>
          </v:shape>
        </w:pic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OLE_LINK21"/>
      <w:r w:rsidRPr="00EB5221">
        <w:rPr>
          <w:rFonts w:ascii="Times New Roman" w:hAnsi="Times New Roman"/>
          <w:sz w:val="28"/>
        </w:rPr>
        <w:t>Рисунок 7 – Схема рабочей станции</w:t>
      </w:r>
    </w:p>
    <w:bookmarkEnd w:id="1"/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br w:type="page"/>
        <w:t>Таблица 3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Спецификация технических средств: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1796"/>
        <w:gridCol w:w="867"/>
        <w:gridCol w:w="6101"/>
      </w:tblGrid>
      <w:tr w:rsidR="00EB5221" w:rsidRPr="00EB5221" w:rsidTr="00FC3458">
        <w:tc>
          <w:tcPr>
            <w:tcW w:w="762" w:type="dxa"/>
            <w:vAlign w:val="center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796" w:type="dxa"/>
            <w:vAlign w:val="center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Тип</w:t>
            </w:r>
          </w:p>
        </w:tc>
        <w:tc>
          <w:tcPr>
            <w:tcW w:w="867" w:type="dxa"/>
            <w:vAlign w:val="center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6101" w:type="dxa"/>
            <w:vAlign w:val="center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Предназначение</w:t>
            </w:r>
          </w:p>
        </w:tc>
      </w:tr>
      <w:tr w:rsidR="00EB5221" w:rsidRPr="00EB5221" w:rsidTr="00FC3458">
        <w:tc>
          <w:tcPr>
            <w:tcW w:w="762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1б,2б</w:t>
            </w:r>
          </w:p>
        </w:tc>
        <w:tc>
          <w:tcPr>
            <w:tcW w:w="1796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ADAM 4012</w:t>
            </w:r>
          </w:p>
        </w:tc>
        <w:tc>
          <w:tcPr>
            <w:tcW w:w="867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01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Модуль аналогового ввода с датчиков давления, спиртометра, тип входного сигнала: mV, V или mA, диапазон: ±150мВ, ±20мА, ±5В, ±10В</w:t>
            </w:r>
          </w:p>
        </w:tc>
      </w:tr>
      <w:tr w:rsidR="00EB5221" w:rsidRPr="00EB5221" w:rsidTr="00FC3458">
        <w:tc>
          <w:tcPr>
            <w:tcW w:w="762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ADAM 4561</w:t>
            </w:r>
          </w:p>
        </w:tc>
        <w:tc>
          <w:tcPr>
            <w:tcW w:w="867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1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Преобразователь интерфейса USB в RS-232/422/485</w:t>
            </w:r>
          </w:p>
        </w:tc>
      </w:tr>
      <w:tr w:rsidR="00EB5221" w:rsidRPr="00EB5221" w:rsidTr="00FC3458">
        <w:tc>
          <w:tcPr>
            <w:tcW w:w="762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1а</w:t>
            </w:r>
          </w:p>
        </w:tc>
        <w:tc>
          <w:tcPr>
            <w:tcW w:w="1796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Сапфир-22М-ДА2050</w:t>
            </w:r>
          </w:p>
        </w:tc>
        <w:tc>
          <w:tcPr>
            <w:tcW w:w="867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1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Датчик давления в магистрали, верхние пределы измерений: 1.6 МПа, Предел допускаемой основной погрешности, 0,5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 xml:space="preserve">0,25; 0,5%, вых. 0-5; 4-20; 5-0; 20-4мА, </w:t>
            </w:r>
          </w:p>
        </w:tc>
      </w:tr>
      <w:tr w:rsidR="00EB5221" w:rsidRPr="00EB5221" w:rsidTr="00FC3458">
        <w:tc>
          <w:tcPr>
            <w:tcW w:w="762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2а</w:t>
            </w:r>
          </w:p>
        </w:tc>
        <w:tc>
          <w:tcPr>
            <w:tcW w:w="1796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Alcolyzer Plus Spirits</w:t>
            </w:r>
          </w:p>
        </w:tc>
        <w:tc>
          <w:tcPr>
            <w:tcW w:w="867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01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Спиртомер для крепких спиртных напитков; Диапазон измерения: </w:t>
            </w:r>
            <w:r w:rsidRPr="00EB52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Спирт:</w:t>
            </w:r>
            <w:r w:rsidRPr="00EB5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35 до 65 об. % (значения отображаются от 0 до 90 об. % спирта, однако, при содержании спирта менее 35 об. % и более 65 об. % точность измерения уменьшается);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2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Значение рН</w:t>
            </w:r>
            <w:r w:rsidRPr="00EB5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(опционально): от 0 до 14;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2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Цвет</w:t>
            </w:r>
            <w:r w:rsidRPr="00EB5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(опционально): от 0 до 120 EBC;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522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Плотность</w:t>
            </w:r>
            <w:r w:rsidRPr="00EB52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(опционально): от 0 до 3 г/см3;</w:t>
            </w:r>
          </w:p>
        </w:tc>
      </w:tr>
      <w:tr w:rsidR="00EB5221" w:rsidRPr="00EB5221" w:rsidTr="00FC3458">
        <w:tc>
          <w:tcPr>
            <w:tcW w:w="762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2д,3д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ADAM 4069</w:t>
            </w:r>
          </w:p>
        </w:tc>
        <w:tc>
          <w:tcPr>
            <w:tcW w:w="867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01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 xml:space="preserve">Модуль c релейными выходами, 8 реле с нормально разомкнутым контактом, нагрузочная способность контактов: 250 В/ </w:t>
            </w:r>
            <w:smartTag w:uri="urn:schemas-microsoft-com:office:smarttags" w:element="metricconverter">
              <w:smartTagPr>
                <w:attr w:name="ProductID" w:val="5 A"/>
              </w:smartTagPr>
              <w:r w:rsidRPr="00EB5221">
                <w:rPr>
                  <w:rFonts w:ascii="Times New Roman" w:hAnsi="Times New Roman"/>
                  <w:sz w:val="20"/>
                  <w:szCs w:val="20"/>
                </w:rPr>
                <w:t>5 A</w:t>
              </w:r>
            </w:smartTag>
            <w:r w:rsidRPr="00EB5221">
              <w:rPr>
                <w:rFonts w:ascii="Times New Roman" w:hAnsi="Times New Roman"/>
                <w:sz w:val="20"/>
                <w:szCs w:val="20"/>
              </w:rPr>
              <w:t xml:space="preserve"> для перем. тока, 30 В/ </w:t>
            </w:r>
            <w:smartTag w:uri="urn:schemas-microsoft-com:office:smarttags" w:element="metricconverter">
              <w:smartTagPr>
                <w:attr w:name="ProductID" w:val="5 A"/>
              </w:smartTagPr>
              <w:r w:rsidRPr="00EB5221">
                <w:rPr>
                  <w:rFonts w:ascii="Times New Roman" w:hAnsi="Times New Roman"/>
                  <w:sz w:val="20"/>
                  <w:szCs w:val="20"/>
                </w:rPr>
                <w:t>5 A</w:t>
              </w:r>
            </w:smartTag>
            <w:r w:rsidRPr="00EB5221">
              <w:rPr>
                <w:rFonts w:ascii="Times New Roman" w:hAnsi="Times New Roman"/>
                <w:sz w:val="20"/>
                <w:szCs w:val="20"/>
              </w:rPr>
              <w:t xml:space="preserve"> для пост. тока, время включения 5 мс , время выключения 5,6 мс</w:t>
            </w:r>
          </w:p>
        </w:tc>
      </w:tr>
      <w:tr w:rsidR="00EB5221" w:rsidRPr="00EB5221" w:rsidTr="00FC3458">
        <w:tc>
          <w:tcPr>
            <w:tcW w:w="762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2г,2в,</w:t>
            </w:r>
          </w:p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3в,3г</w:t>
            </w:r>
          </w:p>
        </w:tc>
        <w:tc>
          <w:tcPr>
            <w:tcW w:w="1796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5221">
              <w:rPr>
                <w:rFonts w:ascii="Times New Roman" w:hAnsi="Times New Roman"/>
                <w:iCs/>
                <w:sz w:val="20"/>
                <w:szCs w:val="20"/>
              </w:rPr>
              <w:t>МЭО 40/25-0,25</w:t>
            </w:r>
          </w:p>
        </w:tc>
        <w:tc>
          <w:tcPr>
            <w:tcW w:w="867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01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5221">
              <w:rPr>
                <w:rFonts w:ascii="Times New Roman" w:hAnsi="Times New Roman"/>
                <w:iCs/>
                <w:sz w:val="20"/>
                <w:szCs w:val="20"/>
              </w:rPr>
              <w:t>Механизм исполнительный одно-оборотный , номинальный крутя-щий момент 40кгс/м, номинальный ход выходного органа 0,25 оборота за 25с, Напряжение питания 220В. Частота 50Гц</w:t>
            </w:r>
          </w:p>
        </w:tc>
      </w:tr>
      <w:tr w:rsidR="00EB5221" w:rsidRPr="00EB5221" w:rsidTr="00FC3458">
        <w:tc>
          <w:tcPr>
            <w:tcW w:w="762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2г,2в</w:t>
            </w:r>
          </w:p>
        </w:tc>
        <w:tc>
          <w:tcPr>
            <w:tcW w:w="1796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5221">
              <w:rPr>
                <w:rFonts w:ascii="Times New Roman" w:hAnsi="Times New Roman"/>
                <w:iCs/>
                <w:sz w:val="20"/>
                <w:szCs w:val="20"/>
              </w:rPr>
              <w:t>КРП-100</w:t>
            </w:r>
          </w:p>
        </w:tc>
        <w:tc>
          <w:tcPr>
            <w:tcW w:w="867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01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5221">
              <w:rPr>
                <w:rFonts w:ascii="Times New Roman" w:hAnsi="Times New Roman"/>
                <w:iCs/>
                <w:sz w:val="20"/>
                <w:szCs w:val="20"/>
              </w:rPr>
              <w:t xml:space="preserve">Клапан регулирующий, </w:t>
            </w:r>
            <w:r w:rsidRPr="00EB5221">
              <w:rPr>
                <w:rFonts w:ascii="Times New Roman" w:hAnsi="Times New Roman"/>
                <w:sz w:val="20"/>
                <w:szCs w:val="20"/>
              </w:rPr>
              <w:t>Ду=50мм</w:t>
            </w:r>
          </w:p>
        </w:tc>
      </w:tr>
      <w:tr w:rsidR="00EB5221" w:rsidRPr="00EB5221" w:rsidTr="00FC3458">
        <w:tc>
          <w:tcPr>
            <w:tcW w:w="762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3г,3в</w:t>
            </w:r>
          </w:p>
        </w:tc>
        <w:tc>
          <w:tcPr>
            <w:tcW w:w="1796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5221">
              <w:rPr>
                <w:rFonts w:ascii="Times New Roman" w:hAnsi="Times New Roman"/>
                <w:iCs/>
                <w:sz w:val="20"/>
                <w:szCs w:val="20"/>
              </w:rPr>
              <w:t>КРП-100</w:t>
            </w:r>
          </w:p>
        </w:tc>
        <w:tc>
          <w:tcPr>
            <w:tcW w:w="867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52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01" w:type="dxa"/>
          </w:tcPr>
          <w:p w:rsidR="00EB5221" w:rsidRPr="00EB5221" w:rsidRDefault="00EB5221" w:rsidP="00EB522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B5221">
              <w:rPr>
                <w:rFonts w:ascii="Times New Roman" w:hAnsi="Times New Roman"/>
                <w:iCs/>
                <w:sz w:val="20"/>
                <w:szCs w:val="20"/>
              </w:rPr>
              <w:t xml:space="preserve">Клапан регулирующий, </w:t>
            </w:r>
            <w:r w:rsidRPr="00EB5221">
              <w:rPr>
                <w:rFonts w:ascii="Times New Roman" w:hAnsi="Times New Roman"/>
                <w:sz w:val="20"/>
                <w:szCs w:val="20"/>
              </w:rPr>
              <w:t>Ду=200мм</w:t>
            </w:r>
          </w:p>
        </w:tc>
      </w:tr>
    </w:tbl>
    <w:p w:rsidR="00EB5221" w:rsidRPr="00EB5221" w:rsidRDefault="00EB5221" w:rsidP="00EB5221">
      <w:pPr>
        <w:widowControl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</w:rPr>
      </w:pPr>
      <w:r w:rsidRPr="00EB5221">
        <w:rPr>
          <w:rFonts w:ascii="Times New Roman" w:hAnsi="Times New Roman"/>
          <w:noProof/>
          <w:sz w:val="28"/>
        </w:rPr>
        <w:br w:type="page"/>
      </w:r>
      <w:r w:rsidR="0088247E">
        <w:rPr>
          <w:rFonts w:ascii="Times New Roman" w:hAnsi="Times New Roman"/>
          <w:noProof/>
          <w:sz w:val="28"/>
          <w:lang w:eastAsia="ru-RU"/>
        </w:rPr>
        <w:pict>
          <v:shape id="Рисунок 1" o:spid="_x0000_i1043" type="#_x0000_t75" style="width:378.75pt;height:274.5pt;visibility:visible">
            <v:imagedata r:id="rId7" o:title=""/>
          </v:shape>
        </w:pic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88247E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44" type="#_x0000_t75" style="width:458.25pt;height:194.25pt">
            <v:imagedata r:id="rId21" o:title=""/>
          </v:shape>
        </w:pict>
      </w:r>
      <w:r w:rsidR="00EB5221" w:rsidRPr="00EB5221">
        <w:rPr>
          <w:rFonts w:ascii="Times New Roman" w:hAnsi="Times New Roman"/>
          <w:sz w:val="28"/>
        </w:rPr>
        <w:t>Рисунок 8. Функциональная схема автоматизации.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B5221">
        <w:rPr>
          <w:rFonts w:ascii="Times New Roman" w:hAnsi="Times New Roman"/>
          <w:sz w:val="28"/>
          <w:szCs w:val="28"/>
        </w:rPr>
        <w:br w:type="page"/>
      </w:r>
      <w:r w:rsidRPr="00EB5221">
        <w:rPr>
          <w:rFonts w:ascii="Times New Roman" w:hAnsi="Times New Roman"/>
          <w:b/>
          <w:sz w:val="28"/>
          <w:szCs w:val="28"/>
        </w:rPr>
        <w:t>Вывод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В курсовом проекте было выполнено математическое обеспечение АСУТП колонны перегонки коньячного спирта. Были построены характеристики объекта: кривые разгона и при 10-и процентном возмущении. Результаты показали, что качество отвечает требуемому. В результате выбора технического обеспечения: разработана функциональная схема автоматизации, подобрано оборудование для технической реализации данной системы. Разработано программное обеспечение: программа, которая моделирует поведение системы. При тестировании данной программы было показано регулятор работает адекватно. 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B5221">
        <w:rPr>
          <w:rFonts w:ascii="Times New Roman" w:hAnsi="Times New Roman"/>
          <w:sz w:val="28"/>
        </w:rPr>
        <w:br w:type="page"/>
      </w:r>
      <w:r w:rsidRPr="00EB5221">
        <w:rPr>
          <w:rFonts w:ascii="Times New Roman" w:hAnsi="Times New Roman"/>
          <w:b/>
          <w:sz w:val="28"/>
        </w:rPr>
        <w:t>Литература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1.Стопакевич А.А.Теория систем и системный анализ.Учебник для вузов.-Киев: ВИПОЛ,1996.-200с.</w:t>
      </w:r>
    </w:p>
    <w:p w:rsidR="00EB5221" w:rsidRPr="00EB5221" w:rsidRDefault="00EB5221" w:rsidP="00EB52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2.Демченко В.А.Автоматизация и моделирование технологичных процессов АЭС и ТЭС.-Одесса:Астроприт,2001.-308с.</w:t>
      </w:r>
    </w:p>
    <w:p w:rsidR="00EB5221" w:rsidRPr="00EB5221" w:rsidRDefault="00EB5221" w:rsidP="00EB5221">
      <w:pPr>
        <w:widowControl w:val="0"/>
        <w:spacing w:after="0" w:line="360" w:lineRule="auto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3.Стопакевич А.А.Матлаб. Методические указания к лабораторным работам,курсового и дипломного проектирования.-Одесса,2000.-18с.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B5221">
        <w:rPr>
          <w:rFonts w:ascii="Times New Roman" w:hAnsi="Times New Roman"/>
          <w:sz w:val="28"/>
        </w:rPr>
        <w:br w:type="page"/>
      </w:r>
      <w:r w:rsidRPr="00EB5221">
        <w:rPr>
          <w:rFonts w:ascii="Times New Roman" w:hAnsi="Times New Roman"/>
          <w:b/>
          <w:sz w:val="28"/>
        </w:rPr>
        <w:t>Приложение 1</w:t>
      </w: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B5221" w:rsidRPr="00EB5221" w:rsidRDefault="00EB5221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Текст программы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A=[-1/35 0 0 0 0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0 -1/129 0 0 0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4/48 -2/48 0 0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0 -1/38 0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4/9 -2/9 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0 -1/110 0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4/134 -2/134 0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0 -1/13.5 0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0 -1/98 0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4/133 -2/133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0 0 0 0 0 0 0 0 0 0 -1/50 0 0 0; 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 xml:space="preserve">0 0 0 0 0 0 0 0 0 0 4/12 -2/12 0 0; 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0 0 0 0 -1/186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0 0 0 0 0 0 0 0 0 4/150 -2/150];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B=[-42.5/35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-72.5/129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1720/38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730/110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0.994/13.5;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0.459/98;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0 -6.9/50;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0 -5.1/186;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C=[1 -1 1 0 0 0 0 1 -1 1 0 0 0 0;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0 0 0 -1 1 -1 1 0 0 0 -1 1 -1 1];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D=[0 0;0 0];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dt=0.1/max(abs(eig(A)));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t=0:dt:999;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G=length(t);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[Ad Bd]=c2d(A,B,dt);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y=dstep(Ad,Bd,C,D,1,G);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figure(1)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subplot(2,2,1);plot(y(:,1));grid;ylabel('u1,МПа');title('Razgon u1,1%');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subplot(2,2,3);plot(y(:,2));grid;ylabel('u2,');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%u2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y=dstep(Ad,Bd,C,D,2,G);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subplot(2,2,2);plot(y(:,1));grid;ylabel('y1,М3/с');title('Razgon u2,1%');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subplot(2,2,4);plot(y(:,2));grid;ylabel('y2,кг/с');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%%%%%%%%%%%%%%%%%%%%%%%%%%%%%%%%%%%%%%%%%%%%%%%%%%%%%%%%%%%%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A1=[Ad zeros(14,2);C eye(2)];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B1=[Bd; zeros(2)];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C1=[zeros(2,14) eye(2)];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Q2=1e6*[1 0;0 1];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V=C'*Q2*C;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Q=[V zeros(14,2);zeros(2,14) eye(2)];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R=eye(2);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Q1=eye(16);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R1=eye(2);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K=dlqr(A1,B1,Q,R);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L=dlqr(A1',C1',Q1,R1)';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K1=K(:,1:14);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K2=K(:,15:16);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L1=L(1:14,:);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L2=L(15:16,:);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Ar=[Ad-Bd*K1 -Bd*K2-L1 L1; C eye(2)-L2 L2; zeros(2,14) zeros(2) eye(2)];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Br=[zeros(14,2); zeros(2); eye(2)];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Cr=[-K zeros(2)];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Az=[Ad Bd*Cr; Br*C Ar];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Bf=[Bd; zeros(18,2)];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Bz=[zeros(14,2); Br];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Cz=[C zeros(2,18)];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x=zeros(14,1);xr=zeros(18,1); u=zeros(2,1);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yy=[]; uu=[];f=[.0010;.0010];z=[0;0];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for i=1:2000,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y=C*x; e=-z+y;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u=Cr*xr; xr=Ar*xr+Br*e;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y=C*x; x=Ad*x+Bd*(u+f);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yy=[yy; y']; uu=[uu; u'];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end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x1=x; xr1=xr; u1=u;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figure(2)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subplot(2,2,1); plot(yy(:,1));grid;ylabel('y1,MPa');title('Perehod proces Braga ');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subplot(2,2,3); plot(yy(:,2));grid;ylabel('y2,');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subplot(2,2,2); plot(uu(:,1));grid;ylabel('u1,M3/c');title('Perehod proces Par ');</w:t>
      </w:r>
    </w:p>
    <w:p w:rsidR="00EB5221" w:rsidRPr="00EB5221" w:rsidRDefault="00EB5221" w:rsidP="00EB52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B5221">
        <w:rPr>
          <w:rFonts w:ascii="Times New Roman" w:hAnsi="Times New Roman"/>
          <w:sz w:val="28"/>
        </w:rPr>
        <w:t>subplot(2,2,4); plot(uu(:,2));grid;ylabel('u2,kg/c');</w:t>
      </w:r>
    </w:p>
    <w:p w:rsidR="00DD0512" w:rsidRPr="00EB5221" w:rsidRDefault="00DD0512" w:rsidP="00EB522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sectPr w:rsidR="00DD0512" w:rsidRPr="00EB5221" w:rsidSect="00EB5221">
      <w:headerReference w:type="even" r:id="rId22"/>
      <w:pgSz w:w="11907" w:h="16840" w:code="9"/>
      <w:pgMar w:top="1134" w:right="851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A8" w:rsidRDefault="004211A8">
      <w:pPr>
        <w:spacing w:after="0" w:line="240" w:lineRule="auto"/>
      </w:pPr>
      <w:r>
        <w:separator/>
      </w:r>
    </w:p>
  </w:endnote>
  <w:endnote w:type="continuationSeparator" w:id="0">
    <w:p w:rsidR="004211A8" w:rsidRDefault="0042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A8" w:rsidRDefault="004211A8">
      <w:pPr>
        <w:spacing w:after="0" w:line="240" w:lineRule="auto"/>
      </w:pPr>
      <w:r>
        <w:separator/>
      </w:r>
    </w:p>
  </w:footnote>
  <w:footnote w:type="continuationSeparator" w:id="0">
    <w:p w:rsidR="004211A8" w:rsidRDefault="0042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10" w:rsidRDefault="00AC1410">
    <w:pPr>
      <w:pStyle w:val="a3"/>
      <w:framePr w:wrap="around" w:vAnchor="text" w:hAnchor="margin" w:xAlign="center" w:y="1"/>
      <w:rPr>
        <w:rStyle w:val="a5"/>
      </w:rPr>
    </w:pPr>
  </w:p>
  <w:p w:rsidR="00AC1410" w:rsidRDefault="00AC14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924D6"/>
    <w:multiLevelType w:val="hybridMultilevel"/>
    <w:tmpl w:val="4FFAA284"/>
    <w:lvl w:ilvl="0" w:tplc="117031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221"/>
    <w:rsid w:val="004211A8"/>
    <w:rsid w:val="0063507B"/>
    <w:rsid w:val="0088247E"/>
    <w:rsid w:val="008C1018"/>
    <w:rsid w:val="00AC1410"/>
    <w:rsid w:val="00D915EB"/>
    <w:rsid w:val="00DD0512"/>
    <w:rsid w:val="00EB5221"/>
    <w:rsid w:val="00F329A4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F0D92C24-257D-4AE6-82A6-C412F3AD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1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EB5221"/>
    <w:rPr>
      <w:rFonts w:cs="Times New Roman"/>
    </w:rPr>
  </w:style>
  <w:style w:type="character" w:styleId="a5">
    <w:name w:val="page number"/>
    <w:uiPriority w:val="99"/>
    <w:rsid w:val="00EB522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B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EB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2014-08-10T13:51:00Z</dcterms:created>
  <dcterms:modified xsi:type="dcterms:W3CDTF">2014-08-10T13:51:00Z</dcterms:modified>
</cp:coreProperties>
</file>