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81" w:rsidRPr="00CE3239" w:rsidRDefault="00FA6B81" w:rsidP="00CE3239">
      <w:pPr>
        <w:pStyle w:val="afc"/>
        <w:rPr>
          <w:kern w:val="32"/>
        </w:rPr>
      </w:pPr>
      <w:bookmarkStart w:id="0" w:name="_Toc134495499"/>
      <w:bookmarkStart w:id="1" w:name="_Toc137217793"/>
      <w:bookmarkStart w:id="2" w:name="_Toc134494909"/>
      <w:r w:rsidRPr="00CE3239">
        <w:rPr>
          <w:kern w:val="32"/>
        </w:rPr>
        <w:t>Содержание</w:t>
      </w:r>
      <w:bookmarkEnd w:id="0"/>
      <w:bookmarkEnd w:id="1"/>
    </w:p>
    <w:p w:rsidR="00CE3239" w:rsidRDefault="00CE3239" w:rsidP="00CE3239">
      <w:pPr>
        <w:ind w:firstLine="709"/>
        <w:rPr>
          <w:b/>
          <w:bCs/>
          <w:caps/>
        </w:rPr>
      </w:pPr>
    </w:p>
    <w:p w:rsidR="00CE3239" w:rsidRDefault="00CE3239">
      <w:pPr>
        <w:pStyle w:val="21"/>
        <w:rPr>
          <w:smallCaps w:val="0"/>
          <w:noProof/>
          <w:sz w:val="24"/>
          <w:szCs w:val="24"/>
        </w:rPr>
      </w:pPr>
      <w:r w:rsidRPr="00FF5098">
        <w:rPr>
          <w:rStyle w:val="aa"/>
          <w:noProof/>
          <w:kern w:val="32"/>
        </w:rPr>
        <w:t>Введение</w:t>
      </w:r>
    </w:p>
    <w:p w:rsidR="00CE3239" w:rsidRDefault="00CE3239">
      <w:pPr>
        <w:pStyle w:val="21"/>
        <w:rPr>
          <w:smallCaps w:val="0"/>
          <w:noProof/>
          <w:sz w:val="24"/>
          <w:szCs w:val="24"/>
        </w:rPr>
      </w:pPr>
      <w:r w:rsidRPr="00FF5098">
        <w:rPr>
          <w:rStyle w:val="aa"/>
          <w:noProof/>
          <w:kern w:val="32"/>
        </w:rPr>
        <w:t>1. Общая характеристика коммерческого банка</w:t>
      </w:r>
    </w:p>
    <w:p w:rsidR="00CE3239" w:rsidRDefault="00CE3239">
      <w:pPr>
        <w:pStyle w:val="21"/>
        <w:rPr>
          <w:smallCaps w:val="0"/>
          <w:noProof/>
          <w:sz w:val="24"/>
          <w:szCs w:val="24"/>
        </w:rPr>
      </w:pPr>
      <w:r w:rsidRPr="00FF5098">
        <w:rPr>
          <w:rStyle w:val="aa"/>
          <w:noProof/>
        </w:rPr>
        <w:t>1.1 Принципы организации коммерческого банка</w:t>
      </w:r>
    </w:p>
    <w:p w:rsidR="00CE3239" w:rsidRDefault="00CE3239">
      <w:pPr>
        <w:pStyle w:val="21"/>
        <w:rPr>
          <w:smallCaps w:val="0"/>
          <w:noProof/>
          <w:sz w:val="24"/>
          <w:szCs w:val="24"/>
        </w:rPr>
      </w:pPr>
      <w:r w:rsidRPr="00FF5098">
        <w:rPr>
          <w:rStyle w:val="aa"/>
          <w:noProof/>
        </w:rPr>
        <w:t>1.2 Операции коммерческого банка</w:t>
      </w:r>
    </w:p>
    <w:p w:rsidR="00CE3239" w:rsidRDefault="00CE3239">
      <w:pPr>
        <w:pStyle w:val="21"/>
        <w:rPr>
          <w:smallCaps w:val="0"/>
          <w:noProof/>
          <w:sz w:val="24"/>
          <w:szCs w:val="24"/>
        </w:rPr>
      </w:pPr>
      <w:r w:rsidRPr="00FF5098">
        <w:rPr>
          <w:rStyle w:val="aa"/>
          <w:noProof/>
        </w:rPr>
        <w:t>1.3 Экономическая сущность кредита. Законы и принципы банковского кредитования клиентов</w:t>
      </w:r>
    </w:p>
    <w:p w:rsidR="00CE3239" w:rsidRDefault="00CE3239">
      <w:pPr>
        <w:pStyle w:val="21"/>
        <w:rPr>
          <w:smallCaps w:val="0"/>
          <w:noProof/>
          <w:sz w:val="24"/>
          <w:szCs w:val="24"/>
        </w:rPr>
      </w:pPr>
      <w:r w:rsidRPr="00FF5098">
        <w:rPr>
          <w:rStyle w:val="aa"/>
          <w:noProof/>
          <w:kern w:val="32"/>
        </w:rPr>
        <w:t>2. Перспективы развития системы кредитования российскими коммерческими банками</w:t>
      </w:r>
    </w:p>
    <w:p w:rsidR="00CE3239" w:rsidRDefault="00CE3239">
      <w:pPr>
        <w:pStyle w:val="21"/>
        <w:rPr>
          <w:smallCaps w:val="0"/>
          <w:noProof/>
          <w:sz w:val="24"/>
          <w:szCs w:val="24"/>
        </w:rPr>
      </w:pPr>
      <w:r w:rsidRPr="00FF5098">
        <w:rPr>
          <w:rStyle w:val="aa"/>
          <w:noProof/>
        </w:rPr>
        <w:t>3. Основные направления совершенствования кредитной работы с населением: проблемы и перспективы</w:t>
      </w:r>
    </w:p>
    <w:p w:rsidR="00CE3239" w:rsidRDefault="00CE3239">
      <w:pPr>
        <w:pStyle w:val="21"/>
        <w:rPr>
          <w:smallCaps w:val="0"/>
          <w:noProof/>
          <w:sz w:val="24"/>
          <w:szCs w:val="24"/>
        </w:rPr>
      </w:pPr>
      <w:r w:rsidRPr="00FF5098">
        <w:rPr>
          <w:rStyle w:val="aa"/>
          <w:noProof/>
          <w:kern w:val="32"/>
        </w:rPr>
        <w:t>Заключение</w:t>
      </w:r>
    </w:p>
    <w:p w:rsidR="00E96754" w:rsidRDefault="00CE3239" w:rsidP="00CE3239">
      <w:pPr>
        <w:pStyle w:val="21"/>
        <w:rPr>
          <w:kern w:val="32"/>
        </w:rPr>
      </w:pPr>
      <w:r w:rsidRPr="00FF5098">
        <w:rPr>
          <w:rStyle w:val="aa"/>
          <w:noProof/>
          <w:kern w:val="32"/>
        </w:rPr>
        <w:t>Список литературы</w:t>
      </w:r>
    </w:p>
    <w:p w:rsidR="00CE3239" w:rsidRPr="00CE3239" w:rsidRDefault="00FA6B81" w:rsidP="00E96754">
      <w:pPr>
        <w:pStyle w:val="2"/>
        <w:rPr>
          <w:kern w:val="32"/>
        </w:rPr>
      </w:pPr>
      <w:r w:rsidRPr="00CE3239">
        <w:rPr>
          <w:kern w:val="32"/>
        </w:rPr>
        <w:br w:type="page"/>
      </w:r>
      <w:bookmarkStart w:id="3" w:name="_Toc137217794"/>
      <w:bookmarkStart w:id="4" w:name="_Toc275614960"/>
      <w:r w:rsidRPr="00CE3239">
        <w:rPr>
          <w:kern w:val="32"/>
        </w:rPr>
        <w:t>Введение</w:t>
      </w:r>
      <w:bookmarkEnd w:id="3"/>
      <w:bookmarkEnd w:id="4"/>
    </w:p>
    <w:p w:rsidR="00CE3239" w:rsidRDefault="00CE3239" w:rsidP="00CE3239">
      <w:pPr>
        <w:ind w:firstLine="709"/>
      </w:pPr>
    </w:p>
    <w:p w:rsidR="00CE3239" w:rsidRDefault="00FA6B81" w:rsidP="00CE3239">
      <w:pPr>
        <w:ind w:firstLine="709"/>
      </w:pPr>
      <w:r w:rsidRPr="00CE3239">
        <w:t>Вслед за деньгами изобретение кредита является гениальным открытием человечества</w:t>
      </w:r>
      <w:r w:rsidR="00CE3239" w:rsidRPr="00CE3239">
        <w:t>.</w:t>
      </w:r>
    </w:p>
    <w:p w:rsidR="00CE3239" w:rsidRDefault="00FA6B81" w:rsidP="00CE3239">
      <w:pPr>
        <w:ind w:firstLine="709"/>
      </w:pPr>
      <w:r w:rsidRPr="00CE3239">
        <w:t>Кредитные операции составляют основу активной деятельности коммерческих банков, поскольку</w:t>
      </w:r>
      <w:r w:rsidR="00CE3239" w:rsidRPr="00CE3239">
        <w:t>:</w:t>
      </w:r>
    </w:p>
    <w:p w:rsidR="00CE3239" w:rsidRDefault="00FA6B81" w:rsidP="00CE3239">
      <w:pPr>
        <w:ind w:firstLine="709"/>
      </w:pPr>
      <w:r w:rsidRPr="00CE3239">
        <w:t>их успешное осуществление ведет к получению основных доходов, способствует</w:t>
      </w:r>
      <w:r w:rsidR="00CE3239" w:rsidRPr="00CE3239">
        <w:t xml:space="preserve"> </w:t>
      </w:r>
      <w:r w:rsidRPr="00CE3239">
        <w:t>повышению надежности и устойчивости банков, а неудачам в кредитовании сопутствует их разорение и банкротство</w:t>
      </w:r>
      <w:r w:rsidR="00CE3239" w:rsidRPr="00CE3239">
        <w:t>;</w:t>
      </w:r>
    </w:p>
    <w:p w:rsidR="00CE3239" w:rsidRDefault="00FA6B81" w:rsidP="00CE3239">
      <w:pPr>
        <w:ind w:firstLine="709"/>
      </w:pPr>
      <w:r w:rsidRPr="00CE3239">
        <w:t>банки призваны аккумулировать собственные и привлеченные средства для кредитования инвестиций в развитии экономики страны</w:t>
      </w:r>
      <w:r w:rsidR="00CE3239" w:rsidRPr="00CE3239">
        <w:t>;</w:t>
      </w:r>
    </w:p>
    <w:p w:rsidR="00CE3239" w:rsidRDefault="00FA6B81" w:rsidP="00CE3239">
      <w:pPr>
        <w:ind w:firstLine="709"/>
      </w:pPr>
      <w:r w:rsidRPr="00CE3239">
        <w:t>Число коммерческих банков в банковской системе России продолжает стремительно сокращаться</w:t>
      </w:r>
      <w:r w:rsidR="00CE3239" w:rsidRPr="00CE3239">
        <w:t>.</w:t>
      </w:r>
    </w:p>
    <w:p w:rsidR="00CE3239" w:rsidRDefault="00FA6B81" w:rsidP="00CE3239">
      <w:pPr>
        <w:ind w:firstLine="709"/>
      </w:pPr>
      <w:r w:rsidRPr="00CE3239">
        <w:t>Кредитная политика это стратегия</w:t>
      </w:r>
      <w:r w:rsidR="00CE3239" w:rsidRPr="00CE3239">
        <w:t xml:space="preserve"> </w:t>
      </w:r>
      <w:r w:rsidRPr="00CE3239">
        <w:t>и тактика</w:t>
      </w:r>
      <w:r w:rsidR="00CE3239" w:rsidRPr="00CE3239">
        <w:t xml:space="preserve"> </w:t>
      </w:r>
      <w:r w:rsidRPr="00CE3239">
        <w:t>банка в области кредитных операций</w:t>
      </w:r>
      <w:r w:rsidR="00CE3239" w:rsidRPr="00CE3239">
        <w:t xml:space="preserve">. </w:t>
      </w:r>
      <w:r w:rsidRPr="00CE3239">
        <w:t>Каждый банк формирует свою собственную кредитную политику, учитывая экономические, географические, организационные и иные факторы, оказывающие влияние на его деятельность</w:t>
      </w:r>
      <w:r w:rsidR="00CE3239" w:rsidRPr="00CE3239">
        <w:t xml:space="preserve">. </w:t>
      </w:r>
      <w:r w:rsidRPr="00CE3239">
        <w:t>Риск банка повышается, повышается, если он не имеет своей кредитной</w:t>
      </w:r>
      <w:r w:rsidR="00CE3239" w:rsidRPr="00CE3239">
        <w:t xml:space="preserve"> </w:t>
      </w:r>
      <w:r w:rsidRPr="00CE3239">
        <w:t>политики, либо имеет неконкретную либо противоречивую политику</w:t>
      </w:r>
      <w:r w:rsidR="00CE3239" w:rsidRPr="00CE3239">
        <w:t>.</w:t>
      </w:r>
    </w:p>
    <w:p w:rsidR="00CE3239" w:rsidRDefault="00FA6B81" w:rsidP="00CE3239">
      <w:pPr>
        <w:ind w:firstLine="709"/>
      </w:pPr>
      <w:r w:rsidRPr="00CE3239">
        <w:t xml:space="preserve">Цель работы </w:t>
      </w:r>
      <w:r w:rsidR="00CE3239">
        <w:t>-</w:t>
      </w:r>
      <w:r w:rsidRPr="00CE3239">
        <w:t xml:space="preserve"> изучить коммерческие банки как фундамент кредитной системы</w:t>
      </w:r>
      <w:r w:rsidR="00CE3239" w:rsidRPr="00CE3239">
        <w:t>.</w:t>
      </w:r>
    </w:p>
    <w:p w:rsidR="00CE3239" w:rsidRDefault="00FA6B81" w:rsidP="00CE3239">
      <w:pPr>
        <w:ind w:firstLine="709"/>
      </w:pPr>
      <w:r w:rsidRPr="00CE3239">
        <w:t xml:space="preserve">Задачи работы </w:t>
      </w:r>
      <w:r w:rsidR="00CE3239">
        <w:t>-</w:t>
      </w:r>
      <w:r w:rsidRPr="00CE3239">
        <w:t xml:space="preserve"> представить общую характеристику коммерческого банка</w:t>
      </w:r>
      <w:r w:rsidR="00CE3239" w:rsidRPr="00CE3239">
        <w:t xml:space="preserve">; </w:t>
      </w:r>
      <w:r w:rsidRPr="00CE3239">
        <w:t>рассмотреть особенности развития кредитования в учреждениях сбербанка и его роль в банковской системе</w:t>
      </w:r>
      <w:r w:rsidR="00CE3239" w:rsidRPr="00CE3239">
        <w:t xml:space="preserve">; </w:t>
      </w:r>
      <w:r w:rsidRPr="00CE3239">
        <w:t>обосновать основные направления совершенствования кредитной работы с населением</w:t>
      </w:r>
      <w:r w:rsidR="00CE3239" w:rsidRPr="00CE3239">
        <w:t>.</w:t>
      </w:r>
    </w:p>
    <w:p w:rsidR="00496514" w:rsidRPr="00CE3239" w:rsidRDefault="00CE3239" w:rsidP="00CE3239">
      <w:pPr>
        <w:pStyle w:val="2"/>
        <w:rPr>
          <w:kern w:val="32"/>
        </w:rPr>
      </w:pPr>
      <w:bookmarkStart w:id="5" w:name="_Toc137217795"/>
      <w:r>
        <w:rPr>
          <w:kern w:val="32"/>
        </w:rPr>
        <w:br w:type="page"/>
      </w:r>
      <w:bookmarkStart w:id="6" w:name="_Toc275614961"/>
      <w:r w:rsidR="00FA6B81" w:rsidRPr="00CE3239">
        <w:rPr>
          <w:kern w:val="32"/>
        </w:rPr>
        <w:t>1</w:t>
      </w:r>
      <w:r w:rsidRPr="00CE3239">
        <w:rPr>
          <w:kern w:val="32"/>
        </w:rPr>
        <w:t xml:space="preserve">. </w:t>
      </w:r>
      <w:r w:rsidR="00903B95" w:rsidRPr="00CE3239">
        <w:rPr>
          <w:kern w:val="32"/>
        </w:rPr>
        <w:t>Общая характеристика коммерческого банка</w:t>
      </w:r>
      <w:bookmarkEnd w:id="2"/>
      <w:bookmarkEnd w:id="5"/>
      <w:bookmarkEnd w:id="6"/>
    </w:p>
    <w:p w:rsidR="00CE3239" w:rsidRDefault="00CE3239" w:rsidP="00CE3239">
      <w:pPr>
        <w:ind w:firstLine="709"/>
      </w:pPr>
      <w:bookmarkStart w:id="7" w:name="_Toc134494910"/>
      <w:bookmarkStart w:id="8" w:name="_Toc137217796"/>
    </w:p>
    <w:p w:rsidR="00CE3239" w:rsidRPr="00CE3239" w:rsidRDefault="00CE3239" w:rsidP="00CE3239">
      <w:pPr>
        <w:pStyle w:val="2"/>
      </w:pPr>
      <w:bookmarkStart w:id="9" w:name="_Toc275614962"/>
      <w:r>
        <w:t xml:space="preserve">1.1 </w:t>
      </w:r>
      <w:r w:rsidR="00903B95" w:rsidRPr="00CE3239">
        <w:t>Принципы организации коммерческого банка</w:t>
      </w:r>
      <w:bookmarkEnd w:id="7"/>
      <w:bookmarkEnd w:id="8"/>
      <w:bookmarkEnd w:id="9"/>
    </w:p>
    <w:p w:rsidR="00CE3239" w:rsidRDefault="00CE3239" w:rsidP="00CE3239">
      <w:pPr>
        <w:ind w:firstLine="709"/>
      </w:pPr>
    </w:p>
    <w:p w:rsidR="00CE3239" w:rsidRDefault="00903B95" w:rsidP="00CE3239">
      <w:pPr>
        <w:ind w:firstLine="709"/>
      </w:pPr>
      <w:r w:rsidRPr="00CE3239">
        <w:t>Учредителем Сбербанка является Центральный банк Российской Федерации, который владеет контрольным пакетом акций</w:t>
      </w:r>
      <w:r w:rsidR="00CE3239" w:rsidRPr="00CE3239">
        <w:t xml:space="preserve">. </w:t>
      </w:r>
      <w:r w:rsidRPr="00CE3239">
        <w:t>По состоянию на 01</w:t>
      </w:r>
      <w:r w:rsidR="00CE3239">
        <w:t>.01.20</w:t>
      </w:r>
      <w:r w:rsidRPr="00CE3239">
        <w:t>00 г</w:t>
      </w:r>
      <w:r w:rsidR="00CE3239" w:rsidRPr="00CE3239">
        <w:t xml:space="preserve">. </w:t>
      </w:r>
      <w:r w:rsidRPr="00CE3239">
        <w:t>уставный капитал Сбербанка составлял</w:t>
      </w:r>
      <w:r w:rsidR="00CE3239" w:rsidRPr="00CE3239">
        <w:t xml:space="preserve"> </w:t>
      </w:r>
      <w:r w:rsidRPr="00CE3239">
        <w:t>750,1 млн</w:t>
      </w:r>
      <w:r w:rsidR="00CE3239" w:rsidRPr="00CE3239">
        <w:t xml:space="preserve">. </w:t>
      </w:r>
      <w:r w:rsidRPr="00CE3239">
        <w:t>руб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Согласно Устава Сбербанк является юридическим лицом и со всеми своими учреждениями составляет единую систему</w:t>
      </w:r>
      <w:r w:rsidR="00CE3239" w:rsidRPr="00CE3239">
        <w:t xml:space="preserve">. </w:t>
      </w:r>
      <w:r w:rsidRPr="00CE3239">
        <w:t>При принятии решений, связанных с банковской деятельностью, Сбербанк не зависит от органов государственной власти</w:t>
      </w:r>
      <w:r w:rsidR="00CE3239" w:rsidRPr="00CE3239">
        <w:t xml:space="preserve"> [</w:t>
      </w:r>
      <w:r w:rsidR="003E446B" w:rsidRPr="00CE3239">
        <w:t>4, 187</w:t>
      </w:r>
      <w:r w:rsidR="00CE3239" w:rsidRPr="00CE3239">
        <w:t>]</w:t>
      </w:r>
    </w:p>
    <w:p w:rsidR="00CE3239" w:rsidRDefault="00903B95" w:rsidP="00CE3239">
      <w:pPr>
        <w:ind w:firstLine="709"/>
      </w:pPr>
      <w:r w:rsidRPr="00CE3239">
        <w:t>Целью деятельности Сбербанка является привлечение денежных средств от юридических и физических лиц и размещение их на условиях срочности, платности и возвратности в интересах вкладчиков и развития народного хозяйства, а так же осуществляет кредитно-расчетное обслуживание предприятий и граждан, другие банковские операции в соответствии с законодательством РФ, в частности</w:t>
      </w:r>
      <w:r w:rsidR="00CE3239" w:rsidRPr="00CE3239">
        <w:t>:</w:t>
      </w:r>
    </w:p>
    <w:p w:rsidR="00CE3239" w:rsidRDefault="00903B95" w:rsidP="00CE3239">
      <w:pPr>
        <w:ind w:firstLine="709"/>
      </w:pPr>
      <w:r w:rsidRPr="00CE3239">
        <w:t>прием, выдача вкладов и других сбережений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прием платежей от клиентов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долгосрочное и краткосрочное кредитование юридических и физических лиц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продажу-покупку, хранение и управление государственными и другими ценными бумагами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выпуск и реализация лотерейных билетов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предоставление индивидуальных сейфов во временное пользование для хранения документов и ценностей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оказание брокерских и консультационных услуг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осуществление лизинговых операций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приобретение прав требования, вытекающих из поставки товаров и оказания услуг, принятие риска исполнения таких требований</w:t>
      </w:r>
      <w:r w:rsidR="00CE3239" w:rsidRPr="00CE3239">
        <w:t xml:space="preserve"> </w:t>
      </w:r>
      <w:r w:rsidRPr="00CE3239">
        <w:t>и инкассация требований</w:t>
      </w:r>
      <w:r w:rsidR="00CE3239">
        <w:t xml:space="preserve"> (</w:t>
      </w:r>
      <w:r w:rsidRPr="00CE3239">
        <w:t>форфейтинг</w:t>
      </w:r>
      <w:r w:rsidR="00CE3239" w:rsidRPr="00CE3239">
        <w:t>);</w:t>
      </w:r>
    </w:p>
    <w:p w:rsidR="00CE3239" w:rsidRDefault="00903B95" w:rsidP="00CE3239">
      <w:pPr>
        <w:ind w:firstLine="709"/>
      </w:pPr>
      <w:r w:rsidRPr="00CE3239">
        <w:t>представление интересов предприятий, организаций в финансовых и хозяйственных органах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осуществление расчетов по поручению клиентов и банков-корреспондентов, их кассовое обслуживание, а так же услуги по инкассации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ведение счетов клиентов и банков корреспондентов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выпуск, покупку, продажу и хранение платежных документов</w:t>
      </w:r>
      <w:r w:rsidR="00CE3239">
        <w:t xml:space="preserve"> (</w:t>
      </w:r>
      <w:r w:rsidRPr="00CE3239">
        <w:t xml:space="preserve">облигаций, чеков, аккредитивов, векселей, акций и </w:t>
      </w:r>
      <w:r w:rsidR="00CE3239">
        <w:t>др.)</w:t>
      </w:r>
      <w:r w:rsidR="00CE3239" w:rsidRPr="00CE3239">
        <w:t xml:space="preserve"> </w:t>
      </w:r>
      <w:r w:rsidRPr="00CE3239">
        <w:t>и иные операции с ними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проведение операций по обмену валюты, валютных аукционов и других валютных операций</w:t>
      </w:r>
      <w:r w:rsidR="00CE3239">
        <w:t xml:space="preserve"> (</w:t>
      </w:r>
      <w:r w:rsidRPr="00CE3239">
        <w:t xml:space="preserve">включая международные расчеты, кредитование в иностранной валюте, размещение иностранной валюты в депозиты на мировом рынке </w:t>
      </w:r>
      <w:r w:rsidR="00CE3239">
        <w:t>т.д.)</w:t>
      </w:r>
      <w:r w:rsidR="00CE3239" w:rsidRPr="00CE3239">
        <w:t xml:space="preserve"> </w:t>
      </w:r>
      <w:r w:rsidRPr="00CE3239">
        <w:t>по лицензии центрального банка РФ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выдача поручительств, гарантий</w:t>
      </w:r>
      <w:r w:rsidR="00CE3239" w:rsidRPr="00CE3239">
        <w:t xml:space="preserve"> </w:t>
      </w:r>
      <w:r w:rsidRPr="00CE3239">
        <w:t>и других обязательств за третьих лиц, предусматривающих исполнение в денежной форме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другие операции по банковскому обслуживанию по лицензии Центрального банка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Важно, что все названные операции могут проводиться как в рублях, так и в иностранной валюте</w:t>
      </w:r>
      <w:r w:rsidR="00CE3239" w:rsidRPr="00CE3239">
        <w:t xml:space="preserve">. </w:t>
      </w:r>
      <w:r w:rsidRPr="00CE3239">
        <w:t xml:space="preserve">Кроме того, Сбербанк имеет право принимать участие своими денежными средствами в деятельности других юридических лиц </w:t>
      </w:r>
      <w:r w:rsidR="00CE3239">
        <w:t>-</w:t>
      </w:r>
      <w:r w:rsidRPr="00CE3239">
        <w:t xml:space="preserve"> предприятий и различных финансово-кредитных институтов, деятельность которых способствует выполнению уставных задач банка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Таким</w:t>
      </w:r>
      <w:r w:rsidR="00CE3239" w:rsidRPr="00CE3239">
        <w:t xml:space="preserve"> </w:t>
      </w:r>
      <w:r w:rsidRPr="00CE3239">
        <w:t>образом, Сберегательный банк по роду своей деятельности превращается в универсальный коммерческий банк</w:t>
      </w:r>
      <w:r w:rsidR="00CE3239" w:rsidRPr="00CE3239">
        <w:t xml:space="preserve">. </w:t>
      </w:r>
      <w:r w:rsidRPr="00CE3239">
        <w:t>Вместе с тем большое значение Сбербанк придает выполнению всех видов операций, связанных</w:t>
      </w:r>
      <w:r w:rsidR="00CE3239" w:rsidRPr="00CE3239">
        <w:t xml:space="preserve"> </w:t>
      </w:r>
      <w:r w:rsidRPr="00CE3239">
        <w:t>с организацией сбережений населения</w:t>
      </w:r>
      <w:r w:rsidR="00CE3239" w:rsidRPr="00CE3239">
        <w:t xml:space="preserve">. </w:t>
      </w:r>
      <w:r w:rsidRPr="00CE3239">
        <w:t>Превращение Сбербанка из специализированного в коммерческий, по существу, приобретающий универсальный характер, с особой остротой ставит вопрос о целях деятельности банка в новых социально-экономических условиях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Для эффективного функционирования банка как универсального коммерческого банка необходима гибкая структура и сеть учреждений</w:t>
      </w:r>
      <w:r w:rsidR="00CE3239" w:rsidRPr="00CE3239">
        <w:t>.</w:t>
      </w:r>
    </w:p>
    <w:p w:rsidR="00CE3239" w:rsidRDefault="00CE3239" w:rsidP="00CE3239">
      <w:pPr>
        <w:ind w:firstLine="709"/>
      </w:pPr>
    </w:p>
    <w:p w:rsidR="00E96754" w:rsidRDefault="00B70DE0" w:rsidP="00E96754">
      <w:pPr>
        <w:ind w:firstLine="709"/>
      </w:pPr>
      <w:r w:rsidRPr="00CE3239">
        <w:t>Таблица 1</w:t>
      </w:r>
      <w:r w:rsidR="00E96754">
        <w:t>.</w:t>
      </w:r>
      <w:r w:rsidR="00E96754" w:rsidRPr="00E96754">
        <w:t xml:space="preserve"> </w:t>
      </w:r>
      <w:r w:rsidR="00E96754" w:rsidRPr="00CE3239">
        <w:t>КОЛИЧЕСТВО КОММЕРЧЕСКИХ БАНКОВ, 2005</w:t>
      </w:r>
      <w:r w:rsidR="00E96754">
        <w:t xml:space="preserve"> </w:t>
      </w:r>
      <w:r w:rsidR="00E96754" w:rsidRPr="00CE3239">
        <w:t>г.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134"/>
        <w:gridCol w:w="2292"/>
        <w:gridCol w:w="2212"/>
      </w:tblGrid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CE3239" w:rsidP="00CE3239">
            <w:pPr>
              <w:pStyle w:val="afe"/>
            </w:pPr>
            <w:r>
              <w:t xml:space="preserve"> 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B061C6">
              <w:rPr>
                <w:b/>
                <w:bCs/>
              </w:rPr>
              <w:t>Количество зарегистрированных банков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B061C6">
              <w:rPr>
                <w:b/>
                <w:bCs/>
              </w:rPr>
              <w:t>Количество действующих банков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B061C6">
              <w:rPr>
                <w:b/>
                <w:bCs/>
              </w:rPr>
              <w:t>Количество ликвидированных банков</w:t>
            </w:r>
          </w:p>
        </w:tc>
      </w:tr>
      <w:tr w:rsidR="00B70DE0" w:rsidRPr="00CE3239" w:rsidTr="00B061C6">
        <w:trPr>
          <w:trHeight w:val="195"/>
          <w:jc w:val="center"/>
        </w:trPr>
        <w:tc>
          <w:tcPr>
            <w:tcW w:w="0" w:type="auto"/>
            <w:gridSpan w:val="4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B061C6">
              <w:rPr>
                <w:i/>
                <w:iCs/>
              </w:rPr>
              <w:t>ГОДОВЫЕ ПОКАЗАТЕЛИ</w:t>
            </w:r>
          </w:p>
        </w:tc>
      </w:tr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2003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2598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2273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317</w:t>
            </w:r>
          </w:p>
        </w:tc>
      </w:tr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2004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2603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2007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338</w:t>
            </w:r>
          </w:p>
        </w:tc>
      </w:tr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2005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2526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1675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408</w:t>
            </w:r>
          </w:p>
        </w:tc>
      </w:tr>
      <w:tr w:rsidR="00B70DE0" w:rsidRPr="00CE3239" w:rsidTr="00B061C6">
        <w:trPr>
          <w:trHeight w:val="195"/>
          <w:jc w:val="center"/>
        </w:trPr>
        <w:tc>
          <w:tcPr>
            <w:tcW w:w="0" w:type="auto"/>
            <w:gridSpan w:val="4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B061C6">
              <w:rPr>
                <w:i/>
                <w:iCs/>
              </w:rPr>
              <w:t>КВАРТАЛЬНЫЕ ПОКАЗАТЕЛИ</w:t>
            </w:r>
          </w:p>
        </w:tc>
      </w:tr>
      <w:tr w:rsidR="00B70DE0" w:rsidRPr="00CE3239" w:rsidTr="00B061C6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2003</w:t>
            </w:r>
          </w:p>
        </w:tc>
      </w:tr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I кв</w:t>
            </w:r>
            <w:r w:rsidR="00CE3239" w:rsidRPr="00CE3239">
              <w:t xml:space="preserve">. 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2569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1936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359</w:t>
            </w:r>
          </w:p>
        </w:tc>
      </w:tr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II кв</w:t>
            </w:r>
            <w:r w:rsidR="00CE3239" w:rsidRPr="00CE3239">
              <w:t xml:space="preserve">. 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2560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1818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370</w:t>
            </w:r>
          </w:p>
        </w:tc>
      </w:tr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III кв</w:t>
            </w:r>
            <w:r w:rsidR="00CE3239" w:rsidRPr="00CE3239">
              <w:t xml:space="preserve">. 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2534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1742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398</w:t>
            </w:r>
          </w:p>
        </w:tc>
      </w:tr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IV кв</w:t>
            </w:r>
            <w:r w:rsidR="00CE3239" w:rsidRPr="00CE3239">
              <w:t xml:space="preserve">. 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2526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1675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408</w:t>
            </w:r>
          </w:p>
        </w:tc>
      </w:tr>
      <w:tr w:rsidR="00B70DE0" w:rsidRPr="00CE3239" w:rsidTr="00B061C6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2004</w:t>
            </w:r>
          </w:p>
        </w:tc>
      </w:tr>
      <w:tr w:rsidR="00B70DE0" w:rsidRPr="00CE3239" w:rsidTr="00B061C6">
        <w:trPr>
          <w:jc w:val="center"/>
        </w:trPr>
        <w:tc>
          <w:tcPr>
            <w:tcW w:w="801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I кв</w:t>
            </w:r>
            <w:r w:rsidR="00CE3239" w:rsidRPr="00CE3239">
              <w:t xml:space="preserve">. </w:t>
            </w:r>
          </w:p>
        </w:tc>
        <w:tc>
          <w:tcPr>
            <w:tcW w:w="13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2545</w:t>
            </w:r>
          </w:p>
        </w:tc>
        <w:tc>
          <w:tcPr>
            <w:tcW w:w="145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1641</w:t>
            </w:r>
          </w:p>
        </w:tc>
        <w:tc>
          <w:tcPr>
            <w:tcW w:w="1400" w:type="pct"/>
            <w:shd w:val="clear" w:color="auto" w:fill="auto"/>
          </w:tcPr>
          <w:p w:rsidR="00B70DE0" w:rsidRPr="00CE3239" w:rsidRDefault="00B70DE0" w:rsidP="00CE3239">
            <w:pPr>
              <w:pStyle w:val="afe"/>
            </w:pPr>
            <w:r w:rsidRPr="00CE3239">
              <w:t>415</w:t>
            </w:r>
          </w:p>
        </w:tc>
      </w:tr>
    </w:tbl>
    <w:p w:rsidR="00B70DE0" w:rsidRPr="00CE3239" w:rsidRDefault="00B70DE0" w:rsidP="00CE3239">
      <w:pPr>
        <w:ind w:firstLine="709"/>
      </w:pPr>
    </w:p>
    <w:p w:rsidR="00CE3239" w:rsidRDefault="00903B95" w:rsidP="00CE3239">
      <w:pPr>
        <w:ind w:firstLine="709"/>
      </w:pPr>
      <w:r w:rsidRPr="00CE3239">
        <w:t>Общая сумма обязательств, принятых от 6 к</w:t>
      </w:r>
      <w:r w:rsidR="00B70DE0" w:rsidRPr="00CE3239">
        <w:t>рупнейших коммерческих банков</w:t>
      </w:r>
      <w:r w:rsidR="00CE3239">
        <w:t xml:space="preserve"> (</w:t>
      </w:r>
      <w:r w:rsidRPr="00CE3239">
        <w:t>АБ “Инкомбанк</w:t>
      </w:r>
      <w:r w:rsidR="00CE3239">
        <w:t xml:space="preserve">", </w:t>
      </w:r>
      <w:r w:rsidRPr="00CE3239">
        <w:t>Банк Мен</w:t>
      </w:r>
      <w:r w:rsidR="00B70DE0" w:rsidRPr="00CE3239">
        <w:t>атеп, Мосбизнесбанк, КБ “Мост-б</w:t>
      </w:r>
      <w:r w:rsidRPr="00CE3239">
        <w:t>анк</w:t>
      </w:r>
      <w:r w:rsidR="00CE3239">
        <w:t xml:space="preserve">", </w:t>
      </w:r>
      <w:r w:rsidRPr="00CE3239">
        <w:t>Промс</w:t>
      </w:r>
      <w:r w:rsidR="00B70DE0" w:rsidRPr="00CE3239">
        <w:t>тройбанк России, АКБ “СБС-АГРО”</w:t>
      </w:r>
      <w:r w:rsidR="00CE3239" w:rsidRPr="00CE3239">
        <w:t>),</w:t>
      </w:r>
      <w:r w:rsidRPr="00CE3239">
        <w:t xml:space="preserve"> составила 7,1 млрд</w:t>
      </w:r>
      <w:r w:rsidR="00CE3239" w:rsidRPr="00CE3239">
        <w:t xml:space="preserve">. </w:t>
      </w:r>
      <w:r w:rsidRPr="00CE3239">
        <w:t>руб</w:t>
      </w:r>
      <w:r w:rsidR="00CE3239" w:rsidRPr="00CE3239">
        <w:t xml:space="preserve">. </w:t>
      </w:r>
      <w:r w:rsidRPr="00CE3239">
        <w:t>При этом, учитывая социальный аспект решения этой проблемы, Банк, несмотря на большой объем организационно-технической работы</w:t>
      </w:r>
      <w:r w:rsidR="00CE3239" w:rsidRPr="00CE3239">
        <w:t xml:space="preserve"> </w:t>
      </w:r>
      <w:r w:rsidRPr="00CE3239">
        <w:t>и увеличившуюся нагрузку на работников, обеспечил своевре</w:t>
      </w:r>
      <w:r w:rsidR="00B70DE0" w:rsidRPr="00CE3239">
        <w:t>менное начало и бесперебойное об</w:t>
      </w:r>
      <w:r w:rsidRPr="00CE3239">
        <w:t>служивание бывших вкладчиков указанных коммерческих банков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Сбербанк проводит гибкую процентную и тарифную политику, учитывающую привлекательность услуги для клиента и рентабельность для банка</w:t>
      </w:r>
      <w:r w:rsidR="00CE3239" w:rsidRPr="00CE3239">
        <w:t xml:space="preserve">. </w:t>
      </w:r>
      <w:r w:rsidRPr="00CE3239">
        <w:t>При этом тарифы на услуги физических лиц устанавливаются централизованно Сбербанком России</w:t>
      </w:r>
      <w:r w:rsidR="00CE3239" w:rsidRPr="00CE3239">
        <w:t xml:space="preserve"> </w:t>
      </w:r>
      <w:r w:rsidRPr="00CE3239">
        <w:t xml:space="preserve">и являются достаточно низкими, а на услуги для юридических лиц территориальные банки устанавливают тарифы самостоятельно, исходя из </w:t>
      </w:r>
      <w:r w:rsidR="00B70DE0" w:rsidRPr="00CE3239">
        <w:t>конъюнктуры</w:t>
      </w:r>
      <w:r w:rsidRPr="00CE3239">
        <w:t xml:space="preserve"> рынка, особенностей региона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Благодаря использованию современной техники и системы связи Сбербанк осуществляет качественную обработку потока финансовых, платежных документов</w:t>
      </w:r>
      <w:r w:rsidR="00CE3239" w:rsidRPr="00CE3239">
        <w:t xml:space="preserve">. </w:t>
      </w:r>
      <w:r w:rsidRPr="00CE3239">
        <w:t>Расчеты между территориальными банками осуществляются через Главный клиринговый центр, а расчеты между отделениями осуществляют клиринговые центры территориальных банков</w:t>
      </w:r>
      <w:r w:rsidR="00CE3239" w:rsidRPr="00CE3239">
        <w:t xml:space="preserve">. </w:t>
      </w:r>
      <w:r w:rsidRPr="00CE3239">
        <w:t>Сбербанком РФ установлены корреспондентские отношения с 42 российскими и зарубежными банками</w:t>
      </w:r>
      <w:r w:rsidR="00CE3239" w:rsidRPr="00CE3239">
        <w:t xml:space="preserve">. </w:t>
      </w:r>
      <w:r w:rsidRPr="00CE3239">
        <w:t>Более чем с 50 зарубежными и российскими банками установлены корреспондентские отношения</w:t>
      </w:r>
      <w:r w:rsidR="00CE3239" w:rsidRPr="00CE3239">
        <w:t xml:space="preserve"> </w:t>
      </w:r>
      <w:r w:rsidRPr="00CE3239">
        <w:t>без открытия счетов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 xml:space="preserve">В условиях длительного и сложного перехода России к рыночной экономике, одной из актуальных проблем государства было, есть и остается </w:t>
      </w:r>
      <w:r w:rsidR="00CE3239">
        <w:t>-</w:t>
      </w:r>
      <w:r w:rsidRPr="00CE3239">
        <w:t xml:space="preserve"> подъем реального сектора экономики</w:t>
      </w:r>
      <w:r w:rsidR="00CE3239" w:rsidRPr="00CE3239">
        <w:t xml:space="preserve">. </w:t>
      </w:r>
      <w:r w:rsidRPr="00CE3239">
        <w:t>Главными субъектами рыночной экономики являются предприятия-товаропроизводители</w:t>
      </w:r>
      <w:r w:rsidR="00CE3239" w:rsidRPr="00CE3239">
        <w:t xml:space="preserve"> </w:t>
      </w:r>
      <w:r w:rsidRPr="00CE3239">
        <w:t>и предприятия-покупатели товаров</w:t>
      </w:r>
      <w:r w:rsidR="00CE3239" w:rsidRPr="00CE3239">
        <w:t xml:space="preserve">. </w:t>
      </w:r>
      <w:r w:rsidRPr="00CE3239">
        <w:t>Состояние экономики непосредственно отражается на деятельности банков, одной из ключевых функций которых является кредитование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Сберегательный банк РФ занимает ведущие позиции по общей сумме вложений в экономику России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Расширяя спектр предоставляемых клиентам</w:t>
      </w:r>
      <w:r w:rsidR="00CE3239" w:rsidRPr="00CE3239">
        <w:t xml:space="preserve"> </w:t>
      </w:r>
      <w:r w:rsidRPr="00CE3239">
        <w:t>услуг на основе использования современных банковских технологий, Банк осуществлял кредитование предприятий и организаций всех сфер экономики по следующим направлениям</w:t>
      </w:r>
      <w:r w:rsidR="00CE3239" w:rsidRPr="00CE3239">
        <w:t>:</w:t>
      </w:r>
    </w:p>
    <w:p w:rsidR="00CE3239" w:rsidRDefault="00903B95" w:rsidP="00CE3239">
      <w:pPr>
        <w:ind w:firstLine="709"/>
      </w:pPr>
      <w:r w:rsidRPr="00CE3239">
        <w:t>коммерческие и производственные программы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внешнеторговые операции, в том числе с использованием аккредитивной формы расчетов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инвестиционное кредитование на цели технического перевооружения, модернизация и расширения производства производства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кредитование предприятий золотодобывающей отрасли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проектное финансирование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предэкспортное финансирование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синдицирование кредитование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лизинговое финансирование через дочерние компании Банка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Значительное увеличение объема ссудной задолженности Банка</w:t>
      </w:r>
      <w:r w:rsidR="00CE3239">
        <w:t xml:space="preserve"> (</w:t>
      </w:r>
      <w:r w:rsidRPr="00CE3239">
        <w:t>почти в 3 раза</w:t>
      </w:r>
      <w:r w:rsidR="00CE3239" w:rsidRPr="00CE3239">
        <w:t xml:space="preserve">) </w:t>
      </w:r>
      <w:r w:rsidRPr="00CE3239">
        <w:t>за последние два года и выполнение требований Банка России по формированию в 2005 г</w:t>
      </w:r>
      <w:r w:rsidR="00CE3239" w:rsidRPr="00CE3239">
        <w:t xml:space="preserve">. </w:t>
      </w:r>
      <w:r w:rsidRPr="00CE3239">
        <w:t>резерва на возможные потери по ссудам в размере 100% от расчетного против 75% от расчетного в 2004 г</w:t>
      </w:r>
      <w:r w:rsidR="00CE3239" w:rsidRPr="00CE3239">
        <w:t xml:space="preserve">. </w:t>
      </w:r>
      <w:r w:rsidRPr="00CE3239">
        <w:t>и 40% в 2003 году обусловил рост в 2,3 раза расходов по формированию резерва на возможные потери по ссудам</w:t>
      </w:r>
      <w:r w:rsidR="00CE3239" w:rsidRPr="00CE3239">
        <w:t xml:space="preserve">. </w:t>
      </w:r>
      <w:r w:rsidRPr="00CE3239">
        <w:t>При этом в результате улучшения качества кредитного портфеля Банка объем расходов по формированию резерва на возможные потери по ссудам с учетом доходов от его восстановления остался на уровне 2004 года</w:t>
      </w:r>
      <w:r w:rsidR="00CE3239" w:rsidRPr="00CE3239">
        <w:t>.</w:t>
      </w:r>
    </w:p>
    <w:p w:rsidR="00CE3239" w:rsidRDefault="00CE3239" w:rsidP="00CE3239">
      <w:pPr>
        <w:ind w:firstLine="709"/>
      </w:pPr>
      <w:bookmarkStart w:id="10" w:name="_Toc137217797"/>
    </w:p>
    <w:p w:rsidR="00CE3239" w:rsidRPr="00CE3239" w:rsidRDefault="00CE3239" w:rsidP="00CE3239">
      <w:pPr>
        <w:pStyle w:val="2"/>
      </w:pPr>
      <w:bookmarkStart w:id="11" w:name="_Toc275614963"/>
      <w:r>
        <w:t xml:space="preserve">1.2 </w:t>
      </w:r>
      <w:r w:rsidR="00903B95" w:rsidRPr="00CE3239">
        <w:t>Операции коммерческого банка</w:t>
      </w:r>
      <w:bookmarkEnd w:id="10"/>
      <w:bookmarkEnd w:id="11"/>
    </w:p>
    <w:p w:rsidR="00CE3239" w:rsidRDefault="00CE3239" w:rsidP="00CE3239">
      <w:pPr>
        <w:ind w:firstLine="709"/>
      </w:pPr>
    </w:p>
    <w:p w:rsidR="00CE3239" w:rsidRDefault="00903B95" w:rsidP="00CE3239">
      <w:pPr>
        <w:ind w:firstLine="709"/>
      </w:pPr>
      <w:r w:rsidRPr="00CE3239">
        <w:t>В целях удовлетворения потребности своих клиентов в современных кредитных продуктах Банк предлагает различные виды кредитов, включая овердрафтные, вексельные кредиты, кредитные линии на выгодных для клиентов условиях</w:t>
      </w:r>
      <w:r w:rsidR="00CE3239" w:rsidRPr="00CE3239">
        <w:t xml:space="preserve">; </w:t>
      </w:r>
      <w:r w:rsidRPr="00CE3239">
        <w:t xml:space="preserve">предоставлял все виды банковских гарантий, в том числе гарантии надлежащего исполнения контракта, возврата аванса таможенные и </w:t>
      </w:r>
      <w:r w:rsidR="00CE3239">
        <w:t>т.д.</w:t>
      </w:r>
    </w:p>
    <w:p w:rsidR="00CE3239" w:rsidRDefault="00903B95" w:rsidP="00CE3239">
      <w:pPr>
        <w:ind w:firstLine="709"/>
      </w:pPr>
      <w:r w:rsidRPr="00CE3239">
        <w:t>Наряду с кредитными вложениями в реальный сектор экономики, расширение операций по кредитованию физических лиц так же остается не менее важной задачей для учреждений Сбербанка РФ</w:t>
      </w:r>
      <w:r w:rsidR="00CE3239" w:rsidRPr="00CE3239">
        <w:t xml:space="preserve">. </w:t>
      </w:r>
      <w:r w:rsidRPr="00CE3239">
        <w:t>По данным годового отчета за 2005 г</w:t>
      </w:r>
      <w:r w:rsidR="00CE3239" w:rsidRPr="00CE3239">
        <w:t xml:space="preserve">. </w:t>
      </w:r>
      <w:r w:rsidR="00CE3239">
        <w:t>-</w:t>
      </w:r>
      <w:r w:rsidRPr="00CE3239">
        <w:t xml:space="preserve"> кредиты населению составили 25% от общего объема кредитов, выданных коммерческими банками физическим лицам</w:t>
      </w:r>
      <w:r w:rsidR="00CE3239" w:rsidRPr="00CE3239">
        <w:t>.</w:t>
      </w:r>
    </w:p>
    <w:p w:rsidR="00CE3239" w:rsidRDefault="00903B95" w:rsidP="00CE3239">
      <w:pPr>
        <w:ind w:firstLine="709"/>
      </w:pPr>
      <w:bookmarkStart w:id="12" w:name="_Toc134494911"/>
      <w:bookmarkStart w:id="13" w:name="_Toc134495504"/>
      <w:bookmarkStart w:id="14" w:name="_Toc137217798"/>
      <w:r w:rsidRPr="00CE3239">
        <w:t>Анализируя данные о выдаче кредитов за 2003-2005 гг</w:t>
      </w:r>
      <w:r w:rsidR="00CE3239" w:rsidRPr="00CE3239">
        <w:t xml:space="preserve">. </w:t>
      </w:r>
      <w:r w:rsidRPr="00CE3239">
        <w:t>четко видна тенденция к наращиванию кредитного портфеля банка</w:t>
      </w:r>
      <w:r w:rsidR="00CE3239">
        <w:t xml:space="preserve"> (</w:t>
      </w:r>
      <w:r w:rsidRPr="00CE3239">
        <w:t xml:space="preserve">информация </w:t>
      </w:r>
      <w:r w:rsidR="00B70DE0" w:rsidRPr="00CE3239">
        <w:t>предложена в таблице 2</w:t>
      </w:r>
      <w:r w:rsidR="00CE3239" w:rsidRPr="00CE3239">
        <w:t xml:space="preserve"> - </w:t>
      </w:r>
      <w:r w:rsidRPr="00CE3239">
        <w:t>сведения об объемах выдаваемых кредитов и величине кредитного портфеля за 1998-2000 г</w:t>
      </w:r>
      <w:r w:rsidR="00CE3239" w:rsidRPr="00CE3239">
        <w:t xml:space="preserve">. </w:t>
      </w:r>
      <w:r w:rsidRPr="00CE3239">
        <w:t>учреждениями Сбербанка РФ</w:t>
      </w:r>
      <w:r w:rsidR="00CE3239" w:rsidRPr="00CE3239">
        <w:t>)</w:t>
      </w:r>
      <w:bookmarkEnd w:id="12"/>
      <w:bookmarkEnd w:id="13"/>
      <w:r w:rsidR="00CE3239" w:rsidRPr="00CE3239">
        <w:t xml:space="preserve"> [</w:t>
      </w:r>
      <w:r w:rsidR="003E446B" w:rsidRPr="00CE3239">
        <w:t>13, 117</w:t>
      </w:r>
      <w:r w:rsidR="00CE3239" w:rsidRPr="00CE3239">
        <w:t>]</w:t>
      </w:r>
      <w:bookmarkEnd w:id="14"/>
    </w:p>
    <w:p w:rsidR="00CE3239" w:rsidRDefault="00CE3239" w:rsidP="00CE3239">
      <w:pPr>
        <w:ind w:firstLine="709"/>
      </w:pPr>
    </w:p>
    <w:p w:rsidR="00903B95" w:rsidRPr="00CE3239" w:rsidRDefault="00B70DE0" w:rsidP="00CE3239">
      <w:pPr>
        <w:ind w:firstLine="709"/>
      </w:pPr>
      <w:r w:rsidRPr="00CE3239">
        <w:t>Таблица 2</w:t>
      </w:r>
    </w:p>
    <w:p w:rsidR="00903B95" w:rsidRPr="00CE3239" w:rsidRDefault="00903B95" w:rsidP="00CE3239">
      <w:pPr>
        <w:ind w:left="708" w:firstLine="1"/>
      </w:pPr>
      <w:bookmarkStart w:id="15" w:name="_Toc134494912"/>
      <w:bookmarkStart w:id="16" w:name="_Toc134495505"/>
      <w:bookmarkStart w:id="17" w:name="_Toc137217799"/>
      <w:r w:rsidRPr="00CE3239">
        <w:t>Сведения об объемах выдаваемых кредитов и величине кредитного портфеля</w:t>
      </w:r>
      <w:bookmarkEnd w:id="15"/>
      <w:bookmarkEnd w:id="16"/>
      <w:bookmarkEnd w:id="17"/>
      <w:r w:rsidR="00CE3239">
        <w:t xml:space="preserve"> </w:t>
      </w:r>
      <w:r w:rsidRPr="00CE3239">
        <w:t>за 2003-2005 г</w:t>
      </w:r>
      <w:r w:rsidR="00CE3239" w:rsidRPr="00CE3239">
        <w:t xml:space="preserve">. </w:t>
      </w:r>
      <w:r w:rsidRPr="00CE3239">
        <w:t>учреждениями Сбербанка РФ</w:t>
      </w:r>
    </w:p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1208"/>
        <w:gridCol w:w="1260"/>
        <w:gridCol w:w="1440"/>
      </w:tblGrid>
      <w:tr w:rsidR="00903B95" w:rsidRPr="00CE3239" w:rsidTr="00B061C6">
        <w:trPr>
          <w:jc w:val="center"/>
        </w:trPr>
        <w:tc>
          <w:tcPr>
            <w:tcW w:w="4137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Направление кредитования</w:t>
            </w:r>
          </w:p>
        </w:tc>
        <w:tc>
          <w:tcPr>
            <w:tcW w:w="1208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2003 год</w:t>
            </w:r>
          </w:p>
        </w:tc>
        <w:tc>
          <w:tcPr>
            <w:tcW w:w="1260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2004 год</w:t>
            </w:r>
          </w:p>
        </w:tc>
        <w:tc>
          <w:tcPr>
            <w:tcW w:w="1440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2005 год</w:t>
            </w:r>
          </w:p>
        </w:tc>
      </w:tr>
      <w:tr w:rsidR="00903B95" w:rsidRPr="00CE3239" w:rsidTr="00B061C6">
        <w:trPr>
          <w:jc w:val="center"/>
        </w:trPr>
        <w:tc>
          <w:tcPr>
            <w:tcW w:w="4137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Юридические лица</w:t>
            </w:r>
          </w:p>
        </w:tc>
        <w:tc>
          <w:tcPr>
            <w:tcW w:w="1208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78560</w:t>
            </w:r>
          </w:p>
        </w:tc>
        <w:tc>
          <w:tcPr>
            <w:tcW w:w="1260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259855</w:t>
            </w:r>
          </w:p>
        </w:tc>
        <w:tc>
          <w:tcPr>
            <w:tcW w:w="1440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520634</w:t>
            </w:r>
          </w:p>
        </w:tc>
      </w:tr>
      <w:tr w:rsidR="00903B95" w:rsidRPr="00CE3239" w:rsidTr="00B061C6">
        <w:trPr>
          <w:jc w:val="center"/>
        </w:trPr>
        <w:tc>
          <w:tcPr>
            <w:tcW w:w="4137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Физические лица</w:t>
            </w:r>
          </w:p>
        </w:tc>
        <w:tc>
          <w:tcPr>
            <w:tcW w:w="1208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11840</w:t>
            </w:r>
          </w:p>
        </w:tc>
        <w:tc>
          <w:tcPr>
            <w:tcW w:w="1260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26345</w:t>
            </w:r>
          </w:p>
        </w:tc>
        <w:tc>
          <w:tcPr>
            <w:tcW w:w="1440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75462</w:t>
            </w:r>
          </w:p>
        </w:tc>
      </w:tr>
      <w:tr w:rsidR="00903B95" w:rsidRPr="00CE3239" w:rsidTr="00B061C6">
        <w:trPr>
          <w:jc w:val="center"/>
        </w:trPr>
        <w:tc>
          <w:tcPr>
            <w:tcW w:w="4137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Величина кредитного портфеля</w:t>
            </w:r>
          </w:p>
        </w:tc>
        <w:tc>
          <w:tcPr>
            <w:tcW w:w="1208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55200</w:t>
            </w:r>
          </w:p>
        </w:tc>
        <w:tc>
          <w:tcPr>
            <w:tcW w:w="1260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105860</w:t>
            </w:r>
          </w:p>
        </w:tc>
        <w:tc>
          <w:tcPr>
            <w:tcW w:w="1440" w:type="dxa"/>
            <w:shd w:val="clear" w:color="auto" w:fill="auto"/>
          </w:tcPr>
          <w:p w:rsidR="00903B95" w:rsidRPr="00CE3239" w:rsidRDefault="00903B95" w:rsidP="00CE3239">
            <w:pPr>
              <w:pStyle w:val="afe"/>
            </w:pPr>
            <w:r w:rsidRPr="00CE3239">
              <w:t>256841</w:t>
            </w:r>
          </w:p>
        </w:tc>
      </w:tr>
    </w:tbl>
    <w:p w:rsidR="00903B95" w:rsidRPr="00CE3239" w:rsidRDefault="00903B95" w:rsidP="00CE3239">
      <w:pPr>
        <w:ind w:firstLine="709"/>
      </w:pPr>
      <w:bookmarkStart w:id="18" w:name="_Toc514336831"/>
      <w:bookmarkStart w:id="19" w:name="_Toc134494913"/>
    </w:p>
    <w:p w:rsidR="00CE3239" w:rsidRPr="00CE3239" w:rsidRDefault="00CE3239" w:rsidP="00CE3239">
      <w:pPr>
        <w:pStyle w:val="2"/>
      </w:pPr>
      <w:bookmarkStart w:id="20" w:name="_Toc137217800"/>
      <w:bookmarkStart w:id="21" w:name="_Toc275614964"/>
      <w:r>
        <w:t xml:space="preserve">1.3 </w:t>
      </w:r>
      <w:r w:rsidR="00903B95" w:rsidRPr="00CE3239">
        <w:t>Экономическая сущность кредита</w:t>
      </w:r>
      <w:r w:rsidRPr="00CE3239">
        <w:t xml:space="preserve">. </w:t>
      </w:r>
      <w:r w:rsidR="00903B95" w:rsidRPr="00CE3239">
        <w:t>Законы и принципы банковского кредитования клиентов</w:t>
      </w:r>
      <w:bookmarkEnd w:id="18"/>
      <w:bookmarkEnd w:id="19"/>
      <w:bookmarkEnd w:id="20"/>
      <w:bookmarkEnd w:id="21"/>
    </w:p>
    <w:p w:rsidR="00CE3239" w:rsidRDefault="00CE3239" w:rsidP="00CE3239">
      <w:pPr>
        <w:ind w:firstLine="709"/>
      </w:pPr>
    </w:p>
    <w:p w:rsidR="00CE3239" w:rsidRDefault="00903B95" w:rsidP="00CE3239">
      <w:pPr>
        <w:ind w:firstLine="709"/>
      </w:pPr>
      <w:r w:rsidRPr="00CE3239">
        <w:t>Кредит является самостоятельной экономической категорией рыночной экономики</w:t>
      </w:r>
      <w:r w:rsidR="00CE3239" w:rsidRPr="00CE3239">
        <w:t xml:space="preserve">. </w:t>
      </w:r>
      <w:r w:rsidRPr="00CE3239">
        <w:t xml:space="preserve">Сущность кредита </w:t>
      </w:r>
      <w:r w:rsidR="00CE3239">
        <w:t>-</w:t>
      </w:r>
      <w:r w:rsidRPr="00CE3239">
        <w:t xml:space="preserve"> аккумуляция и распределение временно свободных денежных средств общества</w:t>
      </w:r>
      <w:r w:rsidR="00CE3239" w:rsidRPr="00CE3239">
        <w:t xml:space="preserve">. </w:t>
      </w:r>
      <w:r w:rsidRPr="00CE3239">
        <w:t>Кредит может функционировать во внутреннем и внешнем экономических оборотах, в денежной и товарной формах</w:t>
      </w:r>
      <w:r w:rsidR="00CE3239" w:rsidRPr="00CE3239">
        <w:t xml:space="preserve">. </w:t>
      </w:r>
      <w:r w:rsidRPr="00CE3239">
        <w:t>Однако, независимо от потребностей, которые обслуживает кредит, его суть не меняется, кредит продолжает выражать характерные для него черты, такие как</w:t>
      </w:r>
      <w:r w:rsidR="00CE3239" w:rsidRPr="00CE3239">
        <w:t>:</w:t>
      </w:r>
    </w:p>
    <w:p w:rsidR="00CE3239" w:rsidRDefault="00903B95" w:rsidP="00CE3239">
      <w:pPr>
        <w:ind w:firstLine="709"/>
      </w:pPr>
      <w:r w:rsidRPr="00CE3239">
        <w:t>взаимоотношения между кредитором и заемщиком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возвратное движение стоимости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движение платежных средств на началах возвратности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движение ссуженной стоимости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движение ссудного капитала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размещение и использование ресурсов на началах возвратности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предоставление настоящих денег взамен будущих денег и др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Сущность кредита, как экономической категории, можно охарактеризовать как передачу кредитором ссуженной стоимости заемщику для использования на началах возвратности и в интересах общественных потребностей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Представление о кредите не может быть полным без раскрытия законов его движения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Кредит тесно взаимодействует как с экономикой в целом, так и с отдельными ее секторами</w:t>
      </w:r>
      <w:r w:rsidR="00CE3239" w:rsidRPr="00CE3239">
        <w:t xml:space="preserve">. </w:t>
      </w:r>
      <w:r w:rsidRPr="00CE3239">
        <w:t>Соприкасаясь с другими элементами производственных отношений, кредит тем не менее не “растворяет</w:t>
      </w:r>
      <w:r w:rsidR="00CE3239">
        <w:t xml:space="preserve">" </w:t>
      </w:r>
      <w:r w:rsidRPr="00CE3239">
        <w:t>в них свою сущность</w:t>
      </w:r>
      <w:r w:rsidR="00CE3239" w:rsidRPr="00CE3239">
        <w:t xml:space="preserve">. </w:t>
      </w:r>
      <w:r w:rsidRPr="00CE3239">
        <w:t>Будучи зависимым</w:t>
      </w:r>
      <w:r w:rsidR="00CE3239" w:rsidRPr="00CE3239">
        <w:t xml:space="preserve"> </w:t>
      </w:r>
      <w:r w:rsidRPr="00CE3239">
        <w:t>от этих отношений, он сохраняет свою относительную самостоятельность, Законы кредита в общем виде можно определить как такие отношения, которые выражают как единство зависимости кредита и его относительной самостоятельности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Закон выражает такие связи, которые относятся именно к кредиту и одновременно являются неизбежными только для кредита</w:t>
      </w:r>
      <w:r w:rsidR="00CE3239" w:rsidRPr="00CE3239">
        <w:t xml:space="preserve">. </w:t>
      </w:r>
      <w:r w:rsidRPr="00CE3239">
        <w:t xml:space="preserve">Законы кредита </w:t>
      </w:r>
      <w:r w:rsidR="00CE3239">
        <w:t>-</w:t>
      </w:r>
      <w:r w:rsidRPr="00CE3239">
        <w:t xml:space="preserve"> прежде всего экономические законы, где стоимость, облаченная в особую форму, продолжает свое движение, не теряя при этом своих глубинных свойств</w:t>
      </w:r>
      <w:r w:rsidR="00CE3239" w:rsidRPr="00CE3239">
        <w:t xml:space="preserve">. </w:t>
      </w:r>
      <w:r w:rsidRPr="00CE3239">
        <w:t>Это означает, что</w:t>
      </w:r>
      <w:r w:rsidR="00CE3239" w:rsidRPr="00CE3239">
        <w:t>:</w:t>
      </w:r>
    </w:p>
    <w:p w:rsidR="00CE3239" w:rsidRDefault="00903B95" w:rsidP="00CE3239">
      <w:pPr>
        <w:ind w:firstLine="709"/>
      </w:pPr>
      <w:r w:rsidRPr="00CE3239">
        <w:t>кредит как объективная реальность совершает свое движение во времени и пространстве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ему свойственны противоречия, причинная обусловленность, определенные тенденции, закономерности, структура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его существование неразрывно связано с другими экономическим образованиями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он составляет лишь элемент общей системы экономических отношений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Законы кредита конкретны</w:t>
      </w:r>
      <w:r w:rsidR="00CE3239" w:rsidRPr="00CE3239">
        <w:t xml:space="preserve">. </w:t>
      </w:r>
      <w:r w:rsidRPr="00CE3239">
        <w:t xml:space="preserve">Затрагивая особые стороны движения кредита, они определяют направления его движения, связи со смежными экономическими категориями, зависимости от конкретных материальных процессов и </w:t>
      </w:r>
      <w:r w:rsidR="00CE3239">
        <w:t>т.д.</w:t>
      </w:r>
    </w:p>
    <w:p w:rsidR="00CE3239" w:rsidRDefault="00903B95" w:rsidP="00CE3239">
      <w:pPr>
        <w:ind w:firstLine="709"/>
      </w:pPr>
      <w:r w:rsidRPr="00CE3239">
        <w:t>Законы кредита проявляются прежде всего как законы его движения</w:t>
      </w:r>
      <w:r w:rsidR="00CE3239" w:rsidRPr="00CE3239">
        <w:t xml:space="preserve">. </w:t>
      </w:r>
      <w:r w:rsidRPr="00CE3239">
        <w:t>Кредит в качестве отношений между кредитором и заёмщиком нельзя представить без движения его ссудной стоимости, без ее пространственного перехода от одного субъекта к другому, без временного функционирования в кругообороте средств заемщика</w:t>
      </w:r>
      <w:r w:rsidR="00CE3239" w:rsidRPr="00CE3239">
        <w:t xml:space="preserve">. </w:t>
      </w:r>
      <w:r w:rsidRPr="00CE3239">
        <w:t>Движение составляет важнейшую характеристику кредита как стоимостного образования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 связи с этим в перечне законов кредита следует особенно выделить закон, выражающий особенности движения ссуженной стоимости, закон</w:t>
      </w:r>
      <w:r w:rsidR="00CE3239" w:rsidRPr="00CE3239">
        <w:t xml:space="preserve"> </w:t>
      </w:r>
      <w:r w:rsidRPr="00CE3239">
        <w:t>возвратности кредита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Закон возвратности кредита отражает возвращение ссуженной стоимости к кредитору, к своему исходному пункту</w:t>
      </w:r>
      <w:r w:rsidR="00CE3239" w:rsidRPr="00CE3239">
        <w:t xml:space="preserve">. </w:t>
      </w:r>
      <w:r w:rsidRPr="00CE3239">
        <w:t>В процессе возврата от заемщика к кредитору передается именно та ссуженная стоимость, которая ранее была передана во временное пользование</w:t>
      </w:r>
      <w:r w:rsidR="00CE3239" w:rsidRPr="00CE3239">
        <w:t xml:space="preserve">. </w:t>
      </w:r>
      <w:r w:rsidRPr="00CE3239">
        <w:t>Важно здесь и то, что возвратность в квадрате, поскольку средства возвращаются не только к заемщику, совершив свой кругооборот, но от него к юридической исходной точке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Закон сохранения ссуженной стоимости определяет, что средства, предоставляемые во временное пользование, возвратившись к кредитору, не теряют не только своих потребительских свойств, но и своей стоимости</w:t>
      </w:r>
      <w:r w:rsidR="00CE3239" w:rsidRPr="00CE3239">
        <w:t xml:space="preserve">; </w:t>
      </w:r>
      <w:r w:rsidRPr="00CE3239">
        <w:t>ссуженная стоимость, возвратившись от заемщика, предстает в своем первозданном равноценном виде, готовым вступить в новый оборот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Существенное значение для кредита имеет время, составляющее атрибут движения стоимости</w:t>
      </w:r>
      <w:r w:rsidR="00CE3239" w:rsidRPr="00CE3239">
        <w:t xml:space="preserve">. </w:t>
      </w:r>
      <w:r w:rsidRPr="00CE3239">
        <w:t>Оно во многом связано с теми потребностями, которые возникают у субъектов рынка</w:t>
      </w:r>
      <w:r w:rsidR="00CE3239" w:rsidRPr="00CE3239">
        <w:t xml:space="preserve">. </w:t>
      </w:r>
      <w:r w:rsidRPr="00CE3239">
        <w:t>Временной характер функционирования кредита становится атрибутом отношений не отдельных его частей, а законом кредита, воспроизводящим зависимость кредита от продолжительности высвобождения ссуженной стоимости и ее использования в кругообороте средств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Знание и учет законов кредита выступают наиболее важной задачей государства и банков в регулировании экономики страны</w:t>
      </w:r>
      <w:r w:rsidR="00CE3239" w:rsidRPr="00CE3239">
        <w:t xml:space="preserve">. </w:t>
      </w:r>
      <w:r w:rsidRPr="00CE3239">
        <w:t>Нарушение законов движения может отрицательно повлиять на денежный оборот, снизить роль кредита в народном хозяйстве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Отход от требований возвратности кредита дестабилизируют денежное обращение, приводит к банкротству банков, обостряет социальные противоречия, вызывая недовольство вкладчиков тех банков, которые объявили о своей несостоятельности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Отсутствие дисбаланса между ресурсами, вовлекаемыми в процесс кредитования, увеличивает денежную массу, приводит к снижению покупательской способности денежной единицы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Нарушение сохранения ссуженной стоимости приводит к девальвации ресурсов кредитора, снижению размера реальных стоимостей, предоставляемых в порядке помощи народному хозяйству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Поскольку ключевым вопросом</w:t>
      </w:r>
      <w:r w:rsidR="00CE3239" w:rsidRPr="00CE3239">
        <w:t xml:space="preserve"> </w:t>
      </w:r>
      <w:r w:rsidRPr="00CE3239">
        <w:t>данной дипломной работы являются кредиты, предоставляемые Сберегательным банком</w:t>
      </w:r>
      <w:r w:rsidR="00CE3239" w:rsidRPr="00CE3239">
        <w:t xml:space="preserve"> </w:t>
      </w:r>
      <w:r w:rsidRPr="00CE3239">
        <w:t>РФ физическим лицам, рассмотрим подробнее виды таких кредитов, которые действуют на основании вышеописанных законов кредитования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Основными видами предоставляемых населению ссуд</w:t>
      </w:r>
      <w:r w:rsidR="00CE3239" w:rsidRPr="00CE3239">
        <w:t xml:space="preserve"> </w:t>
      </w:r>
      <w:r w:rsidRPr="00CE3239">
        <w:t>являются долгосрочные и краткосрочные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До 1997 года долгосрочное кредитование имело широкий спектр</w:t>
      </w:r>
      <w:r w:rsidR="00CE3239" w:rsidRPr="00CE3239">
        <w:t xml:space="preserve">; </w:t>
      </w:r>
      <w:r w:rsidRPr="00CE3239">
        <w:t>выдавались долгосрочные кредиты</w:t>
      </w:r>
      <w:r w:rsidR="00CE3239" w:rsidRPr="00CE3239">
        <w:t>:</w:t>
      </w:r>
    </w:p>
    <w:p w:rsidR="00CE3239" w:rsidRDefault="00903B95" w:rsidP="00CE3239">
      <w:pPr>
        <w:ind w:firstLine="709"/>
      </w:pPr>
      <w:r w:rsidRPr="00CE3239">
        <w:t>на строительство садовых домиков и благоустройство садовых участков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на капитальный ремонт и покупку дома в сельской местности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на строительство и капитальный ремонт домов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на покупку квартир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на покупку крупного рогатого скота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на строительство надворных построек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В настоящее время долгосрочное кредитование осуществляется только на приобретение, строительство и реконструкцию объектов недвижимости на срок до 10 лет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 обеспечение по данному виду кредита банк оформляет залог объектов недвижимости, поручительства граждан РФ, имеющих постоянный источник дохода, заклад ценных бумаг, эмитентом которых является Сберегательный банк России</w:t>
      </w:r>
      <w:r w:rsidR="00CE3239">
        <w:t xml:space="preserve"> (</w:t>
      </w:r>
      <w:r w:rsidRPr="00CE3239">
        <w:t>акции, сертификаты, простые процентные и дисконтные</w:t>
      </w:r>
      <w:r w:rsidR="00CE3239" w:rsidRPr="00CE3239">
        <w:t xml:space="preserve"> </w:t>
      </w:r>
      <w:r w:rsidRPr="00CE3239">
        <w:t>рублевые</w:t>
      </w:r>
      <w:r w:rsidR="00CE3239">
        <w:t xml:space="preserve"> (</w:t>
      </w:r>
      <w:r w:rsidRPr="00CE3239">
        <w:t>валютные</w:t>
      </w:r>
      <w:r w:rsidR="00CE3239" w:rsidRPr="00CE3239">
        <w:t xml:space="preserve">) </w:t>
      </w:r>
      <w:r w:rsidRPr="00CE3239">
        <w:t>векселя</w:t>
      </w:r>
      <w:r w:rsidR="00CE3239" w:rsidRPr="00CE3239">
        <w:t>).</w:t>
      </w:r>
    </w:p>
    <w:p w:rsidR="00CE3239" w:rsidRDefault="00903B95" w:rsidP="00CE3239">
      <w:pPr>
        <w:ind w:firstLine="709"/>
      </w:pPr>
      <w:r w:rsidRPr="00CE3239">
        <w:t>Рассмотренная нами классификация банковских ссуд, ее критерии неизбежно взаимосвязаны с принципами кредитования</w:t>
      </w:r>
      <w:r w:rsidR="00CE3239" w:rsidRPr="00CE3239">
        <w:t xml:space="preserve">. </w:t>
      </w:r>
      <w:r w:rsidRPr="00CE3239">
        <w:t>Непременным требованием современной системы кредитования является требование целевого характера кредита, полноты и срочности возврата ссуд, их обеспеченности</w:t>
      </w:r>
      <w:r w:rsidR="00CE3239" w:rsidRPr="00CE3239">
        <w:t xml:space="preserve">. </w:t>
      </w:r>
      <w:r w:rsidRPr="00CE3239">
        <w:t>К общеэкономическим принципам кредитования относится принцип дифференцированности, который выражает неодинаковый подход банка как субъекта, объекта, так и к обеспечению ссуд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 современных условиях особое значение приобретают принципы рационального кредитования, требующие надежной оценки не только объекта, субъекта</w:t>
      </w:r>
      <w:r w:rsidR="00CE3239" w:rsidRPr="00CE3239">
        <w:t xml:space="preserve"> </w:t>
      </w:r>
      <w:r w:rsidRPr="00CE3239">
        <w:t>и качества обеспечения, но и уровня маржи, доходности кредитных операций, снижение риска</w:t>
      </w:r>
      <w:r w:rsidR="00CE3239" w:rsidRPr="00CE3239">
        <w:t xml:space="preserve">. </w:t>
      </w:r>
      <w:r w:rsidRPr="00CE3239">
        <w:t>Важным становится и соблюдение технологии кредитования, правил выдачи и погашения ссуд, текущего наблюдения и анализа кредитных операций</w:t>
      </w:r>
      <w:r w:rsidR="00CE3239" w:rsidRPr="00CE3239">
        <w:t xml:space="preserve"> [</w:t>
      </w:r>
      <w:r w:rsidR="003E446B" w:rsidRPr="00CE3239">
        <w:t>12, 152</w:t>
      </w:r>
      <w:r w:rsidR="00CE3239" w:rsidRPr="00CE3239">
        <w:t>]</w:t>
      </w:r>
    </w:p>
    <w:p w:rsidR="00CE3239" w:rsidRPr="00CE3239" w:rsidRDefault="00CE3239" w:rsidP="00CE3239">
      <w:pPr>
        <w:pStyle w:val="2"/>
        <w:rPr>
          <w:kern w:val="32"/>
        </w:rPr>
      </w:pPr>
      <w:bookmarkStart w:id="22" w:name="_Toc134494914"/>
      <w:bookmarkStart w:id="23" w:name="_Toc137217801"/>
      <w:r>
        <w:rPr>
          <w:kern w:val="32"/>
        </w:rPr>
        <w:br w:type="page"/>
      </w:r>
      <w:bookmarkStart w:id="24" w:name="_Toc275614965"/>
      <w:r w:rsidR="00903B95" w:rsidRPr="00CE3239">
        <w:rPr>
          <w:kern w:val="32"/>
        </w:rPr>
        <w:t>2</w:t>
      </w:r>
      <w:r w:rsidRPr="00CE3239">
        <w:rPr>
          <w:kern w:val="32"/>
        </w:rPr>
        <w:t xml:space="preserve">. </w:t>
      </w:r>
      <w:bookmarkEnd w:id="22"/>
      <w:r w:rsidR="00520F27" w:rsidRPr="00CE3239">
        <w:rPr>
          <w:kern w:val="32"/>
        </w:rPr>
        <w:t>Перспективы развития системы кредитования российскими коммерческими банками</w:t>
      </w:r>
      <w:bookmarkEnd w:id="23"/>
      <w:bookmarkEnd w:id="24"/>
    </w:p>
    <w:p w:rsidR="00CE3239" w:rsidRDefault="00CE3239" w:rsidP="00CE3239">
      <w:pPr>
        <w:ind w:firstLine="709"/>
      </w:pPr>
      <w:bookmarkStart w:id="25" w:name="_Toc137217802"/>
    </w:p>
    <w:p w:rsidR="00CE3239" w:rsidRDefault="00713D89" w:rsidP="00CE3239">
      <w:pPr>
        <w:ind w:firstLine="709"/>
      </w:pPr>
      <w:r w:rsidRPr="00CE3239">
        <w:t>Кредитная политика, проводимая современными коммерческими банками, находится под влиянием многих факторов, определяемых особенностями экономической и политической ситуации в России</w:t>
      </w:r>
      <w:r w:rsidR="00CE3239" w:rsidRPr="00CE3239">
        <w:t xml:space="preserve">. </w:t>
      </w:r>
      <w:r w:rsidRPr="00CE3239">
        <w:t>Под влиянием этих же факторов складываются и особенности механизма кредитования и выстраивания кредитных отношений банков и торговых организаций, которые со временем и изменением экономических условий развиваются и приобретают новые особенности</w:t>
      </w:r>
      <w:r w:rsidR="00CE3239" w:rsidRPr="00CE3239">
        <w:t>.</w:t>
      </w:r>
      <w:bookmarkEnd w:id="25"/>
    </w:p>
    <w:p w:rsidR="00CE3239" w:rsidRDefault="00713D89" w:rsidP="00CE3239">
      <w:pPr>
        <w:ind w:firstLine="709"/>
      </w:pPr>
      <w:bookmarkStart w:id="26" w:name="_Toc137217803"/>
      <w:r w:rsidRPr="00CE3239">
        <w:t>Перспективы развития ныне действующего механизма кредитования торговых организаций целесообразно</w:t>
      </w:r>
      <w:r w:rsidR="00CE3239" w:rsidRPr="00CE3239">
        <w:t xml:space="preserve"> </w:t>
      </w:r>
      <w:r w:rsidRPr="00CE3239">
        <w:t>рассмотреть на основе анализа теоретических основ его функционирования и зарубежного опыта его использования, путем их сопоставления с действующей практикой организации и применения этого механизма российскими коммерческими банками</w:t>
      </w:r>
      <w:r w:rsidR="00CE3239" w:rsidRPr="00CE3239">
        <w:t>.</w:t>
      </w:r>
      <w:bookmarkEnd w:id="26"/>
    </w:p>
    <w:p w:rsidR="00CE3239" w:rsidRDefault="00713D89" w:rsidP="00CE3239">
      <w:pPr>
        <w:ind w:firstLine="709"/>
      </w:pPr>
      <w:bookmarkStart w:id="27" w:name="_Toc137217804"/>
      <w:r w:rsidRPr="00CE3239">
        <w:t>Важной задачей каждого коммерческого банка является соблюдение определенных требований при формировании состава клиентуры</w:t>
      </w:r>
      <w:r w:rsidR="00CE3239" w:rsidRPr="00CE3239">
        <w:t xml:space="preserve">. </w:t>
      </w:r>
      <w:r w:rsidRPr="00CE3239">
        <w:t>От обоснованного, целесообразного подбора клиентуры и правильных взаимоотношений с ней во многом зависит рентабельность работы банка в целом и прибыльность его кредитных операций в частности, а конкретно</w:t>
      </w:r>
      <w:r w:rsidR="00CE3239" w:rsidRPr="00CE3239">
        <w:t xml:space="preserve"> - </w:t>
      </w:r>
      <w:r w:rsidRPr="00CE3239">
        <w:t>уменьшение риска невозврата предоставленных в кредит денежных средств</w:t>
      </w:r>
      <w:r w:rsidR="00CE3239" w:rsidRPr="00CE3239">
        <w:t xml:space="preserve">. </w:t>
      </w:r>
      <w:r w:rsidRPr="00CE3239">
        <w:t>Подтверждает это и все возрастающая роль заемщика как элемента механизма банковского кредитования, поэтому совершенствованию оценки данного фактора кредитного риска необходимо уделять максимальное внимание на этапе предварительного рассмотрения кредитной заявки</w:t>
      </w:r>
      <w:bookmarkEnd w:id="27"/>
      <w:r w:rsidR="00CE3239" w:rsidRPr="00CE3239">
        <w:t>.</w:t>
      </w:r>
    </w:p>
    <w:p w:rsidR="00CE3239" w:rsidRDefault="00713D89" w:rsidP="00CE3239">
      <w:pPr>
        <w:ind w:firstLine="709"/>
      </w:pPr>
      <w:bookmarkStart w:id="28" w:name="_Toc137217805"/>
      <w:r w:rsidRPr="00CE3239">
        <w:t>Значение успешного решения этой задачи возрастает в связи с тем, что существуют ограничения в стремлении каждого современного банка к расширению клиентуры как предпосылки увеличения кредитных вложений и роста прибыли банка</w:t>
      </w:r>
      <w:r w:rsidR="00CE3239" w:rsidRPr="00CE3239">
        <w:t xml:space="preserve">. </w:t>
      </w:r>
      <w:r w:rsidRPr="00CE3239">
        <w:t>Ограничения эти обусловлены необходимостью соблюдения нормативов достаточности собственного капитала, что сдерживает в целом возможности увеличения кредитных вложений, и соблюдения предельного размера риска в отношении отдельных заемщиков</w:t>
      </w:r>
      <w:r w:rsidR="00CE3239" w:rsidRPr="00CE3239">
        <w:t xml:space="preserve">. </w:t>
      </w:r>
      <w:r w:rsidRPr="00CE3239">
        <w:t>Кроме того, расширение клиентуры ограничивается наличием все более растущей конкуренции на банковском рынке</w:t>
      </w:r>
      <w:r w:rsidR="00CE3239" w:rsidRPr="00CE3239">
        <w:t>.</w:t>
      </w:r>
      <w:bookmarkEnd w:id="28"/>
    </w:p>
    <w:p w:rsidR="00CE3239" w:rsidRDefault="00713D89" w:rsidP="00CE3239">
      <w:pPr>
        <w:ind w:firstLine="709"/>
      </w:pPr>
      <w:bookmarkStart w:id="29" w:name="_Toc137217806"/>
      <w:r w:rsidRPr="00CE3239">
        <w:t>Все это побуждает банки к оптимизации состава своих клиентов, в том числе и среди торговых организаций, а для этого необходимо иметь четкие критерии и разработанную методику для определения финансового состояния и кредитоспособности торговой организации</w:t>
      </w:r>
      <w:r w:rsidR="00CE3239" w:rsidRPr="00CE3239">
        <w:t xml:space="preserve"> - </w:t>
      </w:r>
      <w:r w:rsidRPr="00CE3239">
        <w:t>заемщика</w:t>
      </w:r>
      <w:r w:rsidR="00CE3239" w:rsidRPr="00CE3239">
        <w:t>.</w:t>
      </w:r>
      <w:bookmarkEnd w:id="29"/>
    </w:p>
    <w:p w:rsidR="00CE3239" w:rsidRDefault="00713D89" w:rsidP="00CE3239">
      <w:pPr>
        <w:ind w:firstLine="709"/>
      </w:pPr>
      <w:bookmarkStart w:id="30" w:name="_Toc137217807"/>
      <w:r w:rsidRPr="00CE3239">
        <w:t>Традиционно, для того чтобы оценить финансовое положение предприятия той или иной отрасли, сопоставляют соответствующие показатели с нормативными или критическими</w:t>
      </w:r>
      <w:r w:rsidR="00CE3239" w:rsidRPr="00CE3239">
        <w:t>.</w:t>
      </w:r>
      <w:bookmarkEnd w:id="30"/>
    </w:p>
    <w:p w:rsidR="00CE3239" w:rsidRDefault="00713D89" w:rsidP="00CE3239">
      <w:pPr>
        <w:ind w:firstLine="709"/>
      </w:pPr>
      <w:bookmarkStart w:id="31" w:name="_Toc137217808"/>
      <w:r w:rsidRPr="00CE3239">
        <w:t>На Западе анализу состояния фирм уделяется главное внимание, и с этой целью при рассмотрении значений коэффициентов конкретной фирмы рекомендуется сравнивать их с ее же более ранними показателями и со средними показателями для отрасли, к которой фирма</w:t>
      </w:r>
      <w:r w:rsidR="00CE3239" w:rsidRPr="00CE3239">
        <w:t xml:space="preserve"> </w:t>
      </w:r>
      <w:r w:rsidRPr="00CE3239">
        <w:t>относится</w:t>
      </w:r>
      <w:r w:rsidR="00CE3239" w:rsidRPr="00CE3239">
        <w:t xml:space="preserve">. </w:t>
      </w:r>
      <w:r w:rsidRPr="00CE3239">
        <w:t>Так, фирма Dun and Brand-street ежегодно готовит сборник</w:t>
      </w:r>
      <w:r w:rsidR="00CE3239">
        <w:t xml:space="preserve"> "</w:t>
      </w:r>
      <w:r w:rsidRPr="00CE3239">
        <w:t>Industry and Key Business Rations</w:t>
      </w:r>
      <w:r w:rsidR="00CE3239">
        <w:t xml:space="preserve">", </w:t>
      </w:r>
      <w:r w:rsidRPr="00CE3239">
        <w:t>содержащий балансовые показатели и рассчитанные на их основе коэффициенты по 800 отраслям экономики США</w:t>
      </w:r>
      <w:r w:rsidR="00CE3239">
        <w:t xml:space="preserve"> (</w:t>
      </w:r>
      <w:r w:rsidRPr="00CE3239">
        <w:t>определены Стандартным промышленным классификатором</w:t>
      </w:r>
      <w:r w:rsidR="00CE3239" w:rsidRPr="00CE3239">
        <w:t xml:space="preserve">). </w:t>
      </w:r>
      <w:r w:rsidRPr="00CE3239">
        <w:t>Аналогичные сборники издаются фирмой и по другим странам</w:t>
      </w:r>
      <w:r w:rsidR="00CE3239" w:rsidRPr="00CE3239">
        <w:t>.</w:t>
      </w:r>
      <w:bookmarkEnd w:id="31"/>
    </w:p>
    <w:p w:rsidR="00CE3239" w:rsidRDefault="00713D89" w:rsidP="00CE3239">
      <w:pPr>
        <w:ind w:firstLine="709"/>
      </w:pPr>
      <w:bookmarkStart w:id="32" w:name="_Toc137217809"/>
      <w:r w:rsidRPr="00CE3239">
        <w:t>При финансовом анализе российских</w:t>
      </w:r>
      <w:r w:rsidR="00B70DE0" w:rsidRPr="00CE3239">
        <w:t xml:space="preserve"> торговых организаций реализовы</w:t>
      </w:r>
      <w:r w:rsidRPr="00CE3239">
        <w:t>вать эти рекомендации затруднительно</w:t>
      </w:r>
      <w:r w:rsidR="00CE3239" w:rsidRPr="00CE3239">
        <w:t xml:space="preserve">. </w:t>
      </w:r>
      <w:r w:rsidRPr="00CE3239">
        <w:t>Сравнение же со своими более ранними показателями зачастую нереально из-за постоянных изменений правил налогового законодательства, нормативных актов, регулирующих деятельность организаций</w:t>
      </w:r>
      <w:r w:rsidR="00CE3239" w:rsidRPr="00CE3239">
        <w:t xml:space="preserve">; </w:t>
      </w:r>
      <w:r w:rsidRPr="00CE3239">
        <w:t>а сравнение показателей анализируемой организации с нормативными значениями для торговли вообще невозможно в связи с отсутствием такой инфор</w:t>
      </w:r>
      <w:bookmarkStart w:id="33" w:name="_Toc137217810"/>
      <w:bookmarkEnd w:id="32"/>
      <w:r w:rsidR="00B70DE0" w:rsidRPr="00CE3239">
        <w:t>мации</w:t>
      </w:r>
      <w:bookmarkEnd w:id="33"/>
      <w:r w:rsidR="00CE3239" w:rsidRPr="00CE3239">
        <w:t xml:space="preserve">. </w:t>
      </w:r>
      <w:bookmarkStart w:id="34" w:name="_Toc137217812"/>
      <w:r w:rsidR="00B70DE0" w:rsidRPr="00CE3239">
        <w:t>Как</w:t>
      </w:r>
      <w:r w:rsidRPr="00CE3239">
        <w:t xml:space="preserve"> это известно, большинство заемщиков банков являются торговыми организациями, но далеко не все они являются первоклассными заемщиками</w:t>
      </w:r>
      <w:r w:rsidR="00CE3239" w:rsidRPr="00CE3239">
        <w:t xml:space="preserve">. </w:t>
      </w:r>
      <w:r w:rsidRPr="00CE3239">
        <w:t>Поэтому в целях определения перспектив и путей совершенствования торговых организаций, как одного из элементов механизма банковского кредитования, банкам необходимо предложить эффективную систему оценки и распознавания торговых организаций в части их кредитоспособности и финансового состояния</w:t>
      </w:r>
      <w:r w:rsidR="00CE3239" w:rsidRPr="00CE3239">
        <w:t xml:space="preserve">. </w:t>
      </w:r>
      <w:r w:rsidRPr="00CE3239">
        <w:t>Именно для торговых предприятий можно предложить следующую систему</w:t>
      </w:r>
      <w:r w:rsidR="00CE3239" w:rsidRPr="00CE3239">
        <w:t>.</w:t>
      </w:r>
      <w:bookmarkEnd w:id="34"/>
    </w:p>
    <w:p w:rsidR="00CE3239" w:rsidRDefault="00713D89" w:rsidP="00CE3239">
      <w:pPr>
        <w:ind w:firstLine="709"/>
      </w:pPr>
      <w:bookmarkStart w:id="35" w:name="_Toc137217813"/>
      <w:r w:rsidRPr="00CE3239">
        <w:t>Деятельность предприятия включает две взаимосвязанные стороны</w:t>
      </w:r>
      <w:r w:rsidR="00CE3239" w:rsidRPr="00CE3239">
        <w:t xml:space="preserve">: </w:t>
      </w:r>
      <w:r w:rsidRPr="00CE3239">
        <w:t>хозяйственную и финансовую</w:t>
      </w:r>
      <w:r w:rsidR="00CE3239" w:rsidRPr="00CE3239">
        <w:t xml:space="preserve">. </w:t>
      </w:r>
      <w:r w:rsidRPr="00CE3239">
        <w:t>Результат хозяйственной деятельности торговой организации оценивается с помощью такого показателя, как товарооборот</w:t>
      </w:r>
      <w:r w:rsidR="00CE3239" w:rsidRPr="00CE3239">
        <w:t xml:space="preserve">, </w:t>
      </w:r>
      <w:r w:rsidRPr="00CE3239">
        <w:t>результат</w:t>
      </w:r>
      <w:r w:rsidR="00CE3239" w:rsidRPr="00CE3239">
        <w:t xml:space="preserve"> </w:t>
      </w:r>
      <w:r w:rsidRPr="00CE3239">
        <w:t>финансовой деятельности</w:t>
      </w:r>
      <w:r w:rsidR="00CE3239" w:rsidRPr="00CE3239">
        <w:t xml:space="preserve"> - </w:t>
      </w:r>
      <w:r w:rsidRPr="00CE3239">
        <w:t>с помощью показателя прибыли</w:t>
      </w:r>
      <w:r w:rsidR="00CE3239">
        <w:t xml:space="preserve"> (</w:t>
      </w:r>
      <w:r w:rsidRPr="00CE3239">
        <w:t>убытка</w:t>
      </w:r>
      <w:r w:rsidR="00CE3239" w:rsidRPr="00CE3239">
        <w:t xml:space="preserve">). </w:t>
      </w:r>
      <w:r w:rsidRPr="00CE3239">
        <w:t>Каждый из них формируется под влиянием ряда факторов</w:t>
      </w:r>
      <w:r w:rsidR="00CE3239" w:rsidRPr="00CE3239">
        <w:t xml:space="preserve">. </w:t>
      </w:r>
      <w:r w:rsidRPr="00CE3239">
        <w:t>На товарооборот, в частности, влияют товарные запасы, трудовые ресурсы и материально-техническая база</w:t>
      </w:r>
      <w:r w:rsidR="00CE3239" w:rsidRPr="00CE3239">
        <w:t xml:space="preserve">. </w:t>
      </w:r>
      <w:r w:rsidRPr="00CE3239">
        <w:t>Каждый из указанных видов ресурсов характеризуется количественными</w:t>
      </w:r>
      <w:r w:rsidR="00CE3239">
        <w:t xml:space="preserve"> (</w:t>
      </w:r>
      <w:r w:rsidRPr="00CE3239">
        <w:t>экстенсивными</w:t>
      </w:r>
      <w:r w:rsidR="00CE3239" w:rsidRPr="00CE3239">
        <w:t xml:space="preserve">) </w:t>
      </w:r>
      <w:r w:rsidRPr="00CE3239">
        <w:t>и качественными</w:t>
      </w:r>
      <w:r w:rsidR="00CE3239">
        <w:t xml:space="preserve"> (</w:t>
      </w:r>
      <w:r w:rsidRPr="00CE3239">
        <w:t>интенсивными</w:t>
      </w:r>
      <w:r w:rsidR="00CE3239" w:rsidRPr="00CE3239">
        <w:t xml:space="preserve">) </w:t>
      </w:r>
      <w:r w:rsidRPr="00CE3239">
        <w:t>показателями</w:t>
      </w:r>
      <w:bookmarkEnd w:id="35"/>
      <w:r w:rsidR="00CE3239" w:rsidRPr="00CE3239">
        <w:t>.</w:t>
      </w:r>
    </w:p>
    <w:p w:rsidR="00CE3239" w:rsidRDefault="00713D89" w:rsidP="00CE3239">
      <w:pPr>
        <w:ind w:firstLine="709"/>
      </w:pPr>
      <w:bookmarkStart w:id="36" w:name="_Toc137217814"/>
      <w:r w:rsidRPr="00CE3239">
        <w:t>Торговые организации стремятся сегодня использовать кредитные ресурсы для расширения масштабов деятельности</w:t>
      </w:r>
      <w:r w:rsidR="00CE3239" w:rsidRPr="00CE3239">
        <w:t xml:space="preserve">. </w:t>
      </w:r>
      <w:r w:rsidRPr="00CE3239">
        <w:t>Это будет эффективно исключительно в случае, если, во-первых, уровень рентабельности организации выше процентной ставки за пользование кредитом и, во-вторых, если торговая организация сможет эффективно использовать дополнительные кредитные ресурсы, получив адекватную дополнительную прибыль</w:t>
      </w:r>
      <w:bookmarkEnd w:id="36"/>
      <w:r w:rsidR="00CE3239" w:rsidRPr="00CE3239">
        <w:t>.</w:t>
      </w:r>
    </w:p>
    <w:p w:rsidR="00CE3239" w:rsidRDefault="00713D89" w:rsidP="00CE3239">
      <w:pPr>
        <w:ind w:firstLine="709"/>
      </w:pPr>
      <w:bookmarkStart w:id="37" w:name="_Toc137217815"/>
      <w:r w:rsidRPr="00CE3239">
        <w:t>При разработке собственной методики для обеспечения возможности использования ее на практике важное значение имеют выбор исходных количественных признаков</w:t>
      </w:r>
      <w:r w:rsidR="00CE3239">
        <w:t xml:space="preserve"> (</w:t>
      </w:r>
      <w:r w:rsidRPr="00CE3239">
        <w:t>показателей</w:t>
      </w:r>
      <w:r w:rsidR="00CE3239" w:rsidRPr="00CE3239">
        <w:t xml:space="preserve">) </w:t>
      </w:r>
      <w:r w:rsidRPr="00CE3239">
        <w:t>и упорядочение их совокупности</w:t>
      </w:r>
      <w:r w:rsidR="00CE3239" w:rsidRPr="00CE3239">
        <w:t xml:space="preserve">. </w:t>
      </w:r>
      <w:r w:rsidRPr="00CE3239">
        <w:t>Ключевым является вопрос</w:t>
      </w:r>
      <w:r w:rsidR="00CE3239" w:rsidRPr="00CE3239">
        <w:t xml:space="preserve"> - </w:t>
      </w:r>
      <w:r w:rsidRPr="00CE3239">
        <w:t>какой должна быть логика построения исходной матрицы, или как упорядочить исходные признаки</w:t>
      </w:r>
      <w:r w:rsidR="00CE3239" w:rsidRPr="00CE3239">
        <w:t xml:space="preserve">. </w:t>
      </w:r>
      <w:r w:rsidRPr="00CE3239">
        <w:t>От того, насколько правильно произведены выбор и упорядочение исходных признаков, зависит достоверность выводов, сделанных в процессе анализа, а также значение обобщающего</w:t>
      </w:r>
      <w:r w:rsidR="00CE3239">
        <w:t xml:space="preserve"> (</w:t>
      </w:r>
      <w:r w:rsidRPr="00CE3239">
        <w:t>синтетического</w:t>
      </w:r>
      <w:r w:rsidR="00CE3239" w:rsidRPr="00CE3239">
        <w:t xml:space="preserve">) </w:t>
      </w:r>
      <w:r w:rsidRPr="00CE3239">
        <w:t>показателя эффективности</w:t>
      </w:r>
      <w:r w:rsidR="00CE3239" w:rsidRPr="00CE3239">
        <w:t>.</w:t>
      </w:r>
      <w:bookmarkEnd w:id="37"/>
    </w:p>
    <w:p w:rsidR="00CE3239" w:rsidRDefault="00713D89" w:rsidP="00CE3239">
      <w:pPr>
        <w:ind w:firstLine="709"/>
      </w:pPr>
      <w:bookmarkStart w:id="38" w:name="_Toc137217816"/>
      <w:r w:rsidRPr="00CE3239">
        <w:t>Совокупность исходных признаков может варьироваться в зависимости от уровня управления организацией и цели исследования</w:t>
      </w:r>
      <w:r w:rsidR="00CE3239" w:rsidRPr="00CE3239">
        <w:t xml:space="preserve">. </w:t>
      </w:r>
      <w:r w:rsidRPr="00CE3239">
        <w:t>Поскольку в нашем случае целью является оценка кредитоспособности заемщика на основе</w:t>
      </w:r>
      <w:r w:rsidR="00CE3239" w:rsidRPr="00CE3239">
        <w:t xml:space="preserve"> </w:t>
      </w:r>
      <w:r w:rsidRPr="00CE3239">
        <w:t>обобщающей оценки эффективности всей его деятельности, то в совокупность исходных признаков следует включить все основные показатели, характеризующие ресурсы, затраты и конечные результаты деятельности</w:t>
      </w:r>
      <w:r w:rsidR="00CE3239" w:rsidRPr="00CE3239">
        <w:t>.</w:t>
      </w:r>
      <w:bookmarkEnd w:id="38"/>
    </w:p>
    <w:p w:rsidR="00CE3239" w:rsidRDefault="00713D89" w:rsidP="00CE3239">
      <w:pPr>
        <w:ind w:firstLine="709"/>
      </w:pPr>
      <w:bookmarkStart w:id="39" w:name="_Toc137217817"/>
      <w:r w:rsidRPr="00CE3239">
        <w:t>Характерно, отмечает проф</w:t>
      </w:r>
      <w:r w:rsidR="00CE3239">
        <w:t>.</w:t>
      </w:r>
      <w:r w:rsidR="00E96754">
        <w:t xml:space="preserve"> </w:t>
      </w:r>
      <w:r w:rsidR="00CE3239">
        <w:t xml:space="preserve">У.И. </w:t>
      </w:r>
      <w:r w:rsidRPr="00CE3239">
        <w:t>Мересте, что при вполне бездиспропорционном повышении эффективности более конечные исходные параметры должны расти быстрее, чем менее конечные</w:t>
      </w:r>
      <w:r w:rsidR="00CE3239" w:rsidRPr="00CE3239">
        <w:t xml:space="preserve">. </w:t>
      </w:r>
      <w:r w:rsidRPr="00CE3239">
        <w:t>В этой связи важное значение приобретают классификация исходных признаков и отнесение их к ресурсам</w:t>
      </w:r>
      <w:r w:rsidR="00CE3239">
        <w:t xml:space="preserve"> (</w:t>
      </w:r>
      <w:r w:rsidRPr="00CE3239">
        <w:t>рабочая сила, основные средства, торговая площадь</w:t>
      </w:r>
      <w:r w:rsidR="00CE3239" w:rsidRPr="00CE3239">
        <w:t>),</w:t>
      </w:r>
      <w:r w:rsidRPr="00CE3239">
        <w:t xml:space="preserve"> к затратам</w:t>
      </w:r>
      <w:r w:rsidR="00CE3239">
        <w:t xml:space="preserve"> (</w:t>
      </w:r>
      <w:r w:rsidRPr="00CE3239">
        <w:t>издержки обращения, рабочее время, заработная плата</w:t>
      </w:r>
      <w:r w:rsidR="00CE3239" w:rsidRPr="00CE3239">
        <w:t xml:space="preserve">) </w:t>
      </w:r>
      <w:r w:rsidRPr="00CE3239">
        <w:t>и конечным результатам</w:t>
      </w:r>
      <w:r w:rsidR="00CE3239">
        <w:t xml:space="preserve"> (</w:t>
      </w:r>
      <w:r w:rsidRPr="00CE3239">
        <w:t>прибыль, товарооборот</w:t>
      </w:r>
      <w:r w:rsidR="00CE3239" w:rsidRPr="00CE3239">
        <w:t xml:space="preserve">). </w:t>
      </w:r>
      <w:r w:rsidRPr="00CE3239">
        <w:t>Ресурсы всегда связаны с определенным моментом времени</w:t>
      </w:r>
      <w:r w:rsidR="00CE3239">
        <w:t xml:space="preserve"> (</w:t>
      </w:r>
      <w:r w:rsidRPr="00CE3239">
        <w:t>например, началом или концом месяца, квартала, года</w:t>
      </w:r>
      <w:r w:rsidR="00CE3239" w:rsidRPr="00CE3239">
        <w:t xml:space="preserve">). </w:t>
      </w:r>
      <w:r w:rsidRPr="00CE3239">
        <w:t>На основании данных, характеризующих ресурсы, можно построить моментный ряд</w:t>
      </w:r>
      <w:r w:rsidR="00CE3239" w:rsidRPr="00CE3239">
        <w:t xml:space="preserve">. </w:t>
      </w:r>
      <w:r w:rsidRPr="00CE3239">
        <w:t>Затраты всегда связаны с некоторым интервалом</w:t>
      </w:r>
      <w:r w:rsidR="00CE3239">
        <w:t xml:space="preserve"> (</w:t>
      </w:r>
      <w:r w:rsidRPr="00CE3239">
        <w:t>периодом</w:t>
      </w:r>
      <w:r w:rsidR="00CE3239" w:rsidRPr="00CE3239">
        <w:t xml:space="preserve">) </w:t>
      </w:r>
      <w:r w:rsidRPr="00CE3239">
        <w:t>времени, и из данных, характеризующих затраты, можно составить интервальный ряд</w:t>
      </w:r>
      <w:r w:rsidR="00CE3239" w:rsidRPr="00CE3239">
        <w:t xml:space="preserve">. </w:t>
      </w:r>
      <w:r w:rsidRPr="00CE3239">
        <w:t>Затраты возникают в ходе целенаправленного потребления ресурсов</w:t>
      </w:r>
      <w:r w:rsidR="00CE3239" w:rsidRPr="00CE3239">
        <w:t xml:space="preserve">. </w:t>
      </w:r>
      <w:r w:rsidRPr="00CE3239">
        <w:t>Можно сказать, что ресурсы трансформируются через затраты в конечные результаты деятельности</w:t>
      </w:r>
      <w:r w:rsidR="00CE3239" w:rsidRPr="00CE3239">
        <w:t xml:space="preserve">. </w:t>
      </w:r>
      <w:r w:rsidRPr="00CE3239">
        <w:t>Следовательно, располагаясь между ресурсами и конечными результатами, затраты находятся значительно ближе к конечным результатам, чем ресурсы</w:t>
      </w:r>
      <w:r w:rsidR="00CE3239" w:rsidRPr="00CE3239">
        <w:t>.</w:t>
      </w:r>
      <w:bookmarkEnd w:id="39"/>
    </w:p>
    <w:p w:rsidR="00CE3239" w:rsidRDefault="00713D89" w:rsidP="00CE3239">
      <w:pPr>
        <w:ind w:firstLine="709"/>
      </w:pPr>
      <w:bookmarkStart w:id="40" w:name="_Toc137217818"/>
      <w:r w:rsidRPr="00CE3239">
        <w:t>Исходя из того, значения каких показателей должны расти быстрее с увеличением общей эффективности, при группировке и упорядочении исходных признаков можно использовать следующую схему</w:t>
      </w:r>
      <w:r w:rsidR="00CE3239">
        <w:t xml:space="preserve"> (</w:t>
      </w:r>
      <w:r w:rsidRPr="00CE3239">
        <w:t>стрелка указывает на увеличение темпа роста</w:t>
      </w:r>
      <w:r w:rsidR="00CE3239" w:rsidRPr="00CE3239">
        <w:t>):</w:t>
      </w:r>
      <w:bookmarkEnd w:id="40"/>
    </w:p>
    <w:p w:rsidR="00CE3239" w:rsidRDefault="00CE3239" w:rsidP="00CE3239">
      <w:pPr>
        <w:ind w:firstLine="709"/>
      </w:pPr>
    </w:p>
    <w:p w:rsidR="00713D89" w:rsidRPr="00CE3239" w:rsidRDefault="002359E2" w:rsidP="00CE3239">
      <w:pPr>
        <w:ind w:firstLine="709"/>
      </w:pPr>
      <w:bookmarkStart w:id="41" w:name="_Toc137217819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4pt">
            <v:imagedata r:id="rId7" o:title=""/>
          </v:shape>
        </w:pict>
      </w:r>
      <w:bookmarkEnd w:id="41"/>
    </w:p>
    <w:p w:rsidR="00CE3239" w:rsidRDefault="00CE3239" w:rsidP="00CE3239">
      <w:pPr>
        <w:ind w:firstLine="709"/>
      </w:pPr>
      <w:bookmarkStart w:id="42" w:name="_Toc137217820"/>
    </w:p>
    <w:p w:rsidR="00CE3239" w:rsidRDefault="00713D89" w:rsidP="00CE3239">
      <w:pPr>
        <w:ind w:firstLine="709"/>
      </w:pPr>
      <w:r w:rsidRPr="00CE3239">
        <w:t>Соблюдение указанного принципа</w:t>
      </w:r>
      <w:r w:rsidR="00CE3239">
        <w:t xml:space="preserve"> (</w:t>
      </w:r>
      <w:r w:rsidRPr="00CE3239">
        <w:t>назовем его принципом</w:t>
      </w:r>
      <w:r w:rsidR="00CE3239">
        <w:t xml:space="preserve"> "</w:t>
      </w:r>
      <w:r w:rsidRPr="00CE3239">
        <w:t>РЗР</w:t>
      </w:r>
      <w:r w:rsidR="00CE3239">
        <w:t>"</w:t>
      </w:r>
      <w:r w:rsidR="00CE3239" w:rsidRPr="00CE3239">
        <w:t xml:space="preserve">) </w:t>
      </w:r>
      <w:r w:rsidRPr="00CE3239">
        <w:t>позволит избежать волюнтаризма при ранжировании исходных показателей, наблюдаемого иногда даже у теоретиков рассматриваемого метода анализа</w:t>
      </w:r>
      <w:r w:rsidR="00CE3239" w:rsidRPr="00CE3239">
        <w:t>.</w:t>
      </w:r>
      <w:bookmarkEnd w:id="42"/>
    </w:p>
    <w:p w:rsidR="00CE3239" w:rsidRDefault="00713D89" w:rsidP="00CE3239">
      <w:pPr>
        <w:ind w:firstLine="709"/>
      </w:pPr>
      <w:bookmarkStart w:id="43" w:name="_Toc137217821"/>
      <w:r w:rsidRPr="00CE3239">
        <w:t>Определив исходные признаки и их взаимосвязь, можно начинать создание самой методики построения исходной матричной модели торговой организации</w:t>
      </w:r>
      <w:r w:rsidR="00CE3239" w:rsidRPr="00CE3239">
        <w:t xml:space="preserve"> </w:t>
      </w:r>
      <w:r w:rsidRPr="00CE3239">
        <w:t>на примере пяти показателей</w:t>
      </w:r>
      <w:r w:rsidR="00CE3239">
        <w:t xml:space="preserve"> (</w:t>
      </w:r>
      <w:r w:rsidRPr="00CE3239">
        <w:t>прибыль, товарооборот, торговая площадь, среднесписочная численность сотрудников, издержки обращения</w:t>
      </w:r>
      <w:r w:rsidR="00CE3239" w:rsidRPr="00CE3239">
        <w:t xml:space="preserve">). </w:t>
      </w:r>
      <w:r w:rsidRPr="00CE3239">
        <w:t>При этом следует отметить, что включать показатель товарных запасов в исходные признаки не стоит, не смотря на их необходимость для нормального функционирования любой торговой организации</w:t>
      </w:r>
      <w:r w:rsidR="00CE3239" w:rsidRPr="00CE3239">
        <w:t xml:space="preserve">. </w:t>
      </w:r>
      <w:r w:rsidRPr="00CE3239">
        <w:t>Запасы, потенциально обеспечивающие оптовый и розничный товарооборот, фактически не участвуют в обращении, то есть их образование</w:t>
      </w:r>
      <w:r w:rsidR="00CE3239">
        <w:t xml:space="preserve"> (</w:t>
      </w:r>
      <w:r w:rsidRPr="00CE3239">
        <w:t>наращивание</w:t>
      </w:r>
      <w:r w:rsidR="00CE3239" w:rsidRPr="00CE3239">
        <w:t xml:space="preserve">) </w:t>
      </w:r>
      <w:r w:rsidRPr="00CE3239">
        <w:t>означает приостановку товарного обращения</w:t>
      </w:r>
      <w:r w:rsidR="00CE3239" w:rsidRPr="00CE3239">
        <w:t xml:space="preserve">. </w:t>
      </w:r>
      <w:r w:rsidRPr="00CE3239">
        <w:t>Если в течение отчетного периода товарные запасы увеличились, то это указывает на то, что часть товаров была использована для наращивания запасов, а не для увеличения товарооборота</w:t>
      </w:r>
      <w:bookmarkEnd w:id="43"/>
      <w:r w:rsidR="00CE3239" w:rsidRPr="00CE3239">
        <w:t>.</w:t>
      </w:r>
    </w:p>
    <w:p w:rsidR="00CE3239" w:rsidRDefault="00713D89" w:rsidP="00CE3239">
      <w:pPr>
        <w:ind w:firstLine="709"/>
      </w:pPr>
      <w:bookmarkStart w:id="44" w:name="_Toc137217822"/>
      <w:r w:rsidRPr="00CE3239">
        <w:t>При определении взаимного распределения показателей внутри отдельных групп исходим из общетеоретических соображений</w:t>
      </w:r>
      <w:r w:rsidR="00CE3239" w:rsidRPr="00CE3239">
        <w:t xml:space="preserve">. </w:t>
      </w:r>
      <w:r w:rsidRPr="00CE3239">
        <w:t>Поскольку прибыль является конечным финансовым показателем, то ее темп роста должен быть выше, чем темп роста товарооборота</w:t>
      </w:r>
      <w:r w:rsidR="00CE3239" w:rsidRPr="00CE3239">
        <w:t xml:space="preserve">. </w:t>
      </w:r>
      <w:r w:rsidRPr="00CE3239">
        <w:t>В условиях постоянного развития технологий и совершенствования организации труда торговая площадь, обслуживаемая</w:t>
      </w:r>
      <w:r w:rsidR="00CE3239">
        <w:t xml:space="preserve"> (</w:t>
      </w:r>
      <w:r w:rsidRPr="00CE3239">
        <w:t>приходящаяся</w:t>
      </w:r>
      <w:r w:rsidR="00CE3239" w:rsidRPr="00CE3239">
        <w:t xml:space="preserve">) </w:t>
      </w:r>
      <w:r w:rsidRPr="00CE3239">
        <w:t>одним сотрудником, должна увеличиваться</w:t>
      </w:r>
      <w:r w:rsidR="00CE3239" w:rsidRPr="00CE3239">
        <w:t xml:space="preserve">. </w:t>
      </w:r>
    </w:p>
    <w:p w:rsidR="00CE3239" w:rsidRDefault="00713D89" w:rsidP="00CE3239">
      <w:pPr>
        <w:ind w:firstLine="709"/>
      </w:pPr>
      <w:r w:rsidRPr="00CE3239">
        <w:t>Значит, скорость увеличения торговой площади должна превышать скорость увеличения среднесписочной численности сотрудников</w:t>
      </w:r>
      <w:r w:rsidR="00CE3239" w:rsidRPr="00CE3239">
        <w:t>.</w:t>
      </w:r>
      <w:bookmarkEnd w:id="44"/>
    </w:p>
    <w:p w:rsidR="00CE3239" w:rsidRDefault="00713D89" w:rsidP="00CE3239">
      <w:pPr>
        <w:ind w:firstLine="709"/>
      </w:pPr>
      <w:bookmarkStart w:id="45" w:name="_Toc137217823"/>
      <w:r w:rsidRPr="00CE3239">
        <w:t>На основе вышесказанного можно сформулировать необходимое условие эффективности работы торговой организации</w:t>
      </w:r>
      <w:r w:rsidR="00CE3239" w:rsidRPr="00CE3239">
        <w:t xml:space="preserve"> - </w:t>
      </w:r>
      <w:r w:rsidRPr="00CE3239">
        <w:t>заемщика, позволяющее использовать полученные кредитные ресурсы и вернуть кредит и проценты за пользование им</w:t>
      </w:r>
      <w:r w:rsidR="00CE3239" w:rsidRPr="00CE3239">
        <w:t>:</w:t>
      </w:r>
      <w:bookmarkEnd w:id="45"/>
    </w:p>
    <w:p w:rsidR="00CE3239" w:rsidRDefault="00CE3239" w:rsidP="00CE3239">
      <w:pPr>
        <w:ind w:firstLine="709"/>
        <w:rPr>
          <w:b/>
          <w:bCs/>
        </w:rPr>
      </w:pPr>
      <w:bookmarkStart w:id="46" w:name="_Toc137217824"/>
    </w:p>
    <w:p w:rsidR="00CE3239" w:rsidRDefault="00713D89" w:rsidP="00CE3239">
      <w:pPr>
        <w:ind w:firstLine="709"/>
      </w:pPr>
      <w:r w:rsidRPr="00CE3239">
        <w:rPr>
          <w:b/>
          <w:bCs/>
        </w:rPr>
        <w:t>Тп &gt; Тр &gt; Ти &gt; Тс &gt; Тч</w:t>
      </w:r>
      <w:r w:rsidR="00CE3239" w:rsidRPr="00CE3239">
        <w:t>;</w:t>
      </w:r>
      <w:bookmarkEnd w:id="46"/>
    </w:p>
    <w:p w:rsidR="00CE3239" w:rsidRDefault="00CE3239" w:rsidP="00CE3239">
      <w:pPr>
        <w:ind w:firstLine="709"/>
      </w:pPr>
      <w:bookmarkStart w:id="47" w:name="_Toc137217825"/>
    </w:p>
    <w:p w:rsidR="00CE3239" w:rsidRDefault="00713D89" w:rsidP="00CE3239">
      <w:pPr>
        <w:ind w:firstLine="709"/>
      </w:pPr>
      <w:r w:rsidRPr="00CE3239">
        <w:t>где</w:t>
      </w:r>
      <w:r w:rsidR="00CE3239" w:rsidRPr="00CE3239">
        <w:t xml:space="preserve"> </w:t>
      </w:r>
      <w:r w:rsidRPr="00CE3239">
        <w:t>Тп</w:t>
      </w:r>
      <w:r w:rsidR="00CE3239" w:rsidRPr="00CE3239">
        <w:t xml:space="preserve"> - </w:t>
      </w:r>
      <w:r w:rsidRPr="00CE3239">
        <w:t>темп роста прибыли</w:t>
      </w:r>
      <w:r w:rsidR="00CE3239" w:rsidRPr="00CE3239">
        <w:t>;</w:t>
      </w:r>
      <w:bookmarkEnd w:id="47"/>
    </w:p>
    <w:p w:rsidR="00CE3239" w:rsidRDefault="00713D89" w:rsidP="00CE3239">
      <w:pPr>
        <w:ind w:firstLine="709"/>
      </w:pPr>
      <w:bookmarkStart w:id="48" w:name="_Toc137217826"/>
      <w:r w:rsidRPr="00CE3239">
        <w:t>Тр</w:t>
      </w:r>
      <w:r w:rsidR="00CE3239" w:rsidRPr="00CE3239">
        <w:t xml:space="preserve"> - </w:t>
      </w:r>
      <w:r w:rsidRPr="00CE3239">
        <w:t>темп роста товарооборота</w:t>
      </w:r>
      <w:r w:rsidR="00CE3239" w:rsidRPr="00CE3239">
        <w:t>;</w:t>
      </w:r>
      <w:bookmarkEnd w:id="48"/>
    </w:p>
    <w:p w:rsidR="00CE3239" w:rsidRDefault="00713D89" w:rsidP="00CE3239">
      <w:pPr>
        <w:ind w:firstLine="709"/>
      </w:pPr>
      <w:bookmarkStart w:id="49" w:name="_Toc137217827"/>
      <w:r w:rsidRPr="00CE3239">
        <w:t>Ти</w:t>
      </w:r>
      <w:r w:rsidR="00CE3239" w:rsidRPr="00CE3239">
        <w:t xml:space="preserve"> - </w:t>
      </w:r>
      <w:r w:rsidRPr="00CE3239">
        <w:t>темп роста издержек обращения</w:t>
      </w:r>
      <w:r w:rsidR="00CE3239" w:rsidRPr="00CE3239">
        <w:t>;</w:t>
      </w:r>
      <w:bookmarkEnd w:id="49"/>
    </w:p>
    <w:p w:rsidR="00CE3239" w:rsidRDefault="00713D89" w:rsidP="00CE3239">
      <w:pPr>
        <w:ind w:firstLine="709"/>
      </w:pPr>
      <w:bookmarkStart w:id="50" w:name="_Toc137217828"/>
      <w:r w:rsidRPr="00CE3239">
        <w:t>Тс</w:t>
      </w:r>
      <w:r w:rsidR="00CE3239" w:rsidRPr="00CE3239">
        <w:t xml:space="preserve"> - </w:t>
      </w:r>
      <w:r w:rsidRPr="00CE3239">
        <w:t>темп роста торговой площади</w:t>
      </w:r>
      <w:r w:rsidR="00CE3239" w:rsidRPr="00CE3239">
        <w:t>;</w:t>
      </w:r>
      <w:bookmarkEnd w:id="50"/>
    </w:p>
    <w:p w:rsidR="00CE3239" w:rsidRDefault="00713D89" w:rsidP="00CE3239">
      <w:pPr>
        <w:ind w:firstLine="709"/>
      </w:pPr>
      <w:bookmarkStart w:id="51" w:name="_Toc137217829"/>
      <w:r w:rsidRPr="00CE3239">
        <w:t>Тч</w:t>
      </w:r>
      <w:r w:rsidR="00CE3239" w:rsidRPr="00CE3239">
        <w:t xml:space="preserve"> - </w:t>
      </w:r>
      <w:r w:rsidRPr="00CE3239">
        <w:t>темп роста среднесписочной численности сотрудников</w:t>
      </w:r>
      <w:r w:rsidR="00CE3239" w:rsidRPr="00CE3239">
        <w:t>.</w:t>
      </w:r>
      <w:bookmarkEnd w:id="51"/>
    </w:p>
    <w:p w:rsidR="00CE3239" w:rsidRDefault="00713D89" w:rsidP="00CE3239">
      <w:pPr>
        <w:ind w:firstLine="709"/>
      </w:pPr>
      <w:bookmarkStart w:id="52" w:name="_Toc137217830"/>
      <w:r w:rsidRPr="00CE3239">
        <w:t>Можно использовать как прямой, так и косвенный методы анализа денежного потока</w:t>
      </w:r>
      <w:r w:rsidR="00CE3239" w:rsidRPr="00CE3239">
        <w:t xml:space="preserve">. </w:t>
      </w:r>
      <w:r w:rsidRPr="00CE3239">
        <w:t>При прямом анализе выделяют три вида деятельности</w:t>
      </w:r>
      <w:r w:rsidR="00CE3239">
        <w:t>:</w:t>
      </w:r>
    </w:p>
    <w:p w:rsidR="00CE3239" w:rsidRDefault="00CE3239" w:rsidP="00CE3239">
      <w:pPr>
        <w:ind w:firstLine="709"/>
      </w:pPr>
      <w:r>
        <w:t>1)</w:t>
      </w:r>
      <w:r w:rsidRPr="00CE3239">
        <w:t xml:space="preserve"> </w:t>
      </w:r>
      <w:r w:rsidR="00713D89" w:rsidRPr="00CE3239">
        <w:t>текущая, связанная с торговлей и реализацией продукции, товаров, услуг</w:t>
      </w:r>
      <w:r>
        <w:t>;</w:t>
      </w:r>
    </w:p>
    <w:p w:rsidR="00CE3239" w:rsidRDefault="00CE3239" w:rsidP="00CE3239">
      <w:pPr>
        <w:ind w:firstLine="709"/>
      </w:pPr>
      <w:r>
        <w:t>2)</w:t>
      </w:r>
      <w:r w:rsidRPr="00CE3239">
        <w:t xml:space="preserve"> </w:t>
      </w:r>
      <w:r w:rsidR="00713D89" w:rsidRPr="00CE3239">
        <w:t>инвестиционная, включая капитальные вложения, покупку и реализацию основных средств</w:t>
      </w:r>
      <w:r>
        <w:t xml:space="preserve"> (</w:t>
      </w:r>
      <w:r w:rsidR="00713D89" w:rsidRPr="00CE3239">
        <w:t>магазинов, складов</w:t>
      </w:r>
      <w:r w:rsidRPr="00CE3239">
        <w:t>),</w:t>
      </w:r>
      <w:r w:rsidR="00713D89" w:rsidRPr="00CE3239">
        <w:t xml:space="preserve"> оборудования</w:t>
      </w:r>
      <w:r>
        <w:t xml:space="preserve"> (</w:t>
      </w:r>
      <w:r w:rsidR="00713D89" w:rsidRPr="00CE3239">
        <w:t>витрин</w:t>
      </w:r>
      <w:r w:rsidRPr="00CE3239">
        <w:t xml:space="preserve">); </w:t>
      </w:r>
      <w:r w:rsidR="00713D89" w:rsidRPr="00CE3239">
        <w:t>и 3</w:t>
      </w:r>
      <w:r w:rsidRPr="00CE3239">
        <w:t xml:space="preserve">) </w:t>
      </w:r>
      <w:r w:rsidR="00713D89" w:rsidRPr="00CE3239">
        <w:t>финансовая, связанная с операциями с денежными средствами</w:t>
      </w:r>
      <w:r w:rsidRPr="00CE3239">
        <w:t xml:space="preserve">. </w:t>
      </w:r>
      <w:r w:rsidR="00713D89" w:rsidRPr="00CE3239">
        <w:t>Наибольшее значение имеет текущая торговая деятельность, поскольку именно здесь должен быть основной денежный приток, а наличие оттока говорит о серьезных проблемах и высоком кредитном риске</w:t>
      </w:r>
      <w:r w:rsidRPr="00CE3239">
        <w:t xml:space="preserve">. </w:t>
      </w:r>
      <w:r w:rsidR="00713D89" w:rsidRPr="00CE3239">
        <w:t>Эффективность управления в торговых организациях тесно связана со способностью торговой организации управлять своими оборотными средствами</w:t>
      </w:r>
      <w:r w:rsidRPr="00CE3239">
        <w:t>.</w:t>
      </w:r>
      <w:bookmarkEnd w:id="52"/>
    </w:p>
    <w:p w:rsidR="00CE3239" w:rsidRDefault="00713D89" w:rsidP="00CE3239">
      <w:pPr>
        <w:ind w:firstLine="709"/>
      </w:pPr>
      <w:bookmarkStart w:id="53" w:name="_Toc137217831"/>
      <w:r w:rsidRPr="00CE3239">
        <w:t>Общий денежный поток представляет собой чистые денежные средства и складывается из денежных потоков по каждой из выделенных сфер деятельности</w:t>
      </w:r>
      <w:r w:rsidR="00CE3239" w:rsidRPr="00CE3239">
        <w:t xml:space="preserve">. </w:t>
      </w:r>
      <w:r w:rsidRPr="00CE3239">
        <w:t>При анализе косвенным методом изменения движения денежных средств сводятся к изменениям активов и пассивов баланса</w:t>
      </w:r>
      <w:r w:rsidR="00CE3239" w:rsidRPr="00CE3239">
        <w:t xml:space="preserve">. </w:t>
      </w:r>
      <w:r w:rsidRPr="00CE3239">
        <w:t>Все движение средств делят на приток и отток</w:t>
      </w:r>
      <w:r w:rsidR="00CE3239" w:rsidRPr="00CE3239">
        <w:t xml:space="preserve">. </w:t>
      </w:r>
      <w:r w:rsidRPr="00CE3239">
        <w:t>Приток средств состоит из увеличения прибыли, амортизации, кредиторской задолженности, прочих пассивов и высвобождения средств из запасов, дебиторской задолженности, основных средств</w:t>
      </w:r>
      <w:r w:rsidR="00CE3239" w:rsidRPr="00CE3239">
        <w:t xml:space="preserve">. </w:t>
      </w:r>
      <w:r w:rsidRPr="00CE3239">
        <w:t>Отток средств включает в себя уплату налогов, процентов, штрафов, дивидендов, кредитов, вложения в основные фонды, дебиторскую задолженность, запасы, уменьшение прочих пассивов и отток акционерного капитала</w:t>
      </w:r>
      <w:r w:rsidR="00CE3239" w:rsidRPr="00CE3239">
        <w:t xml:space="preserve">. </w:t>
      </w:r>
      <w:r w:rsidRPr="00CE3239">
        <w:t>Разница между притоком и оттоком составляет чистый денежный поток</w:t>
      </w:r>
      <w:r w:rsidR="00CE3239" w:rsidRPr="00CE3239">
        <w:t>.</w:t>
      </w:r>
      <w:bookmarkEnd w:id="53"/>
    </w:p>
    <w:p w:rsidR="00CE3239" w:rsidRDefault="00713D89" w:rsidP="00CE3239">
      <w:pPr>
        <w:ind w:firstLine="709"/>
      </w:pPr>
      <w:bookmarkStart w:id="54" w:name="_Toc137217832"/>
      <w:r w:rsidRPr="00CE3239">
        <w:t>При его расчете необходимо учитывать различное влияние изменений одного и того же вида актива или пассива на величину общего денежного потока и принимать во внимание все изменения по статьям за исследуемый период</w:t>
      </w:r>
      <w:r w:rsidR="00CE3239" w:rsidRPr="00CE3239">
        <w:t xml:space="preserve">. </w:t>
      </w:r>
      <w:r w:rsidRPr="00CE3239">
        <w:t>Для определения влияния сравнивают остатки по статье на начало и конец периода, рассчитывают итоговый прирост или уменьшение и, в зависимости от того</w:t>
      </w:r>
      <w:r w:rsidR="00CE3239" w:rsidRPr="00CE3239">
        <w:t xml:space="preserve">, </w:t>
      </w:r>
      <w:r w:rsidRPr="00CE3239">
        <w:t>какой это элемент</w:t>
      </w:r>
      <w:r w:rsidR="00CE3239" w:rsidRPr="00CE3239">
        <w:t xml:space="preserve">: </w:t>
      </w:r>
      <w:r w:rsidRPr="00CE3239">
        <w:t>оттока или притока, его вычитают или прибавляют при расчете общего чистого потока</w:t>
      </w:r>
      <w:r w:rsidR="00CE3239" w:rsidRPr="00CE3239">
        <w:t xml:space="preserve">. </w:t>
      </w:r>
      <w:r w:rsidRPr="00CE3239">
        <w:t>Иногда целесообразно разделение элементов притока и оттока средств на блоки по сферам управления торговой организацией</w:t>
      </w:r>
      <w:r w:rsidR="00CE3239" w:rsidRPr="00CE3239">
        <w:t xml:space="preserve">. </w:t>
      </w:r>
      <w:r w:rsidRPr="00CE3239">
        <w:t>Среди таких блоков можно выделить управление прибылью, управление налогами, инвестициями и кредитами, управление запасами и расчетами, управление капиталом и управление обязательствами</w:t>
      </w:r>
      <w:r w:rsidR="00CE3239" w:rsidRPr="00CE3239">
        <w:t>.</w:t>
      </w:r>
      <w:bookmarkEnd w:id="54"/>
    </w:p>
    <w:p w:rsidR="00CE3239" w:rsidRDefault="00713D89" w:rsidP="00CE3239">
      <w:pPr>
        <w:ind w:firstLine="709"/>
      </w:pPr>
      <w:bookmarkStart w:id="55" w:name="_Toc137217833"/>
      <w:r w:rsidRPr="00CE3239">
        <w:t>Полученный денежный поток сравнивается с суммой долговых обязательств, и на основе размера его превышения заемщику присваивают балл кредитоспособности</w:t>
      </w:r>
      <w:r w:rsidR="00CE3239" w:rsidRPr="00CE3239">
        <w:t>.</w:t>
      </w:r>
      <w:bookmarkEnd w:id="55"/>
    </w:p>
    <w:p w:rsidR="00CE3239" w:rsidRDefault="00713D89" w:rsidP="00CE3239">
      <w:pPr>
        <w:ind w:firstLine="709"/>
      </w:pPr>
      <w:bookmarkStart w:id="56" w:name="_Toc137217834"/>
      <w:r w:rsidRPr="00CE3239">
        <w:t>В целях упрощения применения описанных выше способов анализа на практике возможно предложить банкам проводить их на основе имеющихся оперативных данных об оборотах денежных средств торговых организаций по их счетам</w:t>
      </w:r>
      <w:r w:rsidR="00CE3239" w:rsidRPr="00CE3239">
        <w:t xml:space="preserve">. </w:t>
      </w:r>
      <w:r w:rsidRPr="00CE3239">
        <w:t>При этом следует учитывать, что при рассмотрении этих данных, в том числе и с помощью показателя оборачиваемости, возникают определенные сложности</w:t>
      </w:r>
      <w:r w:rsidR="00CE3239" w:rsidRPr="00CE3239">
        <w:t xml:space="preserve">. </w:t>
      </w:r>
      <w:r w:rsidRPr="00CE3239">
        <w:t>Расчет показателя денежного потока</w:t>
      </w:r>
      <w:r w:rsidR="00CE3239">
        <w:t xml:space="preserve"> (</w:t>
      </w:r>
      <w:r w:rsidRPr="00CE3239">
        <w:t>оборачиваемости</w:t>
      </w:r>
      <w:r w:rsidR="00CE3239" w:rsidRPr="00CE3239">
        <w:t xml:space="preserve">) </w:t>
      </w:r>
      <w:r w:rsidRPr="00CE3239">
        <w:t>по расчетному и ссудному счету торговой организации следует производить путем деления средней величины остатка за соответствующий период на величину среднедневного оборота</w:t>
      </w:r>
      <w:r w:rsidR="00CE3239" w:rsidRPr="00CE3239">
        <w:t xml:space="preserve">. </w:t>
      </w:r>
      <w:r w:rsidRPr="00CE3239">
        <w:t>При этом величина оборота определяется по данным о его завершении</w:t>
      </w:r>
      <w:r w:rsidR="00CE3239" w:rsidRPr="00CE3239">
        <w:t xml:space="preserve">: </w:t>
      </w:r>
      <w:r w:rsidRPr="00CE3239">
        <w:t>по расчетному счету</w:t>
      </w:r>
      <w:r w:rsidR="00CE3239" w:rsidRPr="00CE3239">
        <w:t xml:space="preserve"> - </w:t>
      </w:r>
      <w:r w:rsidRPr="00CE3239">
        <w:t>это оборот не по поступлению средств</w:t>
      </w:r>
      <w:r w:rsidR="00CE3239">
        <w:t xml:space="preserve"> (</w:t>
      </w:r>
      <w:r w:rsidRPr="00CE3239">
        <w:t>как это обычно сегодня бывает в банках</w:t>
      </w:r>
      <w:r w:rsidR="00CE3239" w:rsidRPr="00CE3239">
        <w:t>),</w:t>
      </w:r>
      <w:r w:rsidRPr="00CE3239">
        <w:t xml:space="preserve"> а по их расходованию, а по ссудному счету</w:t>
      </w:r>
      <w:r w:rsidR="00CE3239" w:rsidRPr="00CE3239">
        <w:t xml:space="preserve"> - </w:t>
      </w:r>
      <w:r w:rsidRPr="00CE3239">
        <w:t>не по предоставлению ссуды, а по ее погашению</w:t>
      </w:r>
      <w:r w:rsidR="00CE3239" w:rsidRPr="00CE3239">
        <w:t xml:space="preserve">. </w:t>
      </w:r>
      <w:r w:rsidRPr="00CE3239">
        <w:t>Показатели оборачиваемости следует рассматривать в динамике, что позволит более обоснованно судить о происходящих изменениях в деятельности заемщиков</w:t>
      </w:r>
      <w:r w:rsidR="00CE3239" w:rsidRPr="00CE3239">
        <w:t>.</w:t>
      </w:r>
      <w:bookmarkEnd w:id="56"/>
    </w:p>
    <w:p w:rsidR="00CE3239" w:rsidRDefault="00713D89" w:rsidP="00CE3239">
      <w:pPr>
        <w:ind w:firstLine="709"/>
      </w:pPr>
      <w:bookmarkStart w:id="57" w:name="_Toc137217835"/>
      <w:r w:rsidRPr="00CE3239">
        <w:t>Нельзя забывать, что в современных условиях использование данных об оборотах по счетам торговой организации при всей их полезности не может дать надежную, исчерпывающую характеристику всех сторон ее деятельности, поскольку, с одной стороны, имеют место расчеты без осуществления денежных оборотов</w:t>
      </w:r>
      <w:r w:rsidR="00CE3239">
        <w:t xml:space="preserve"> (</w:t>
      </w:r>
      <w:r w:rsidRPr="00CE3239">
        <w:t>векселя, бартер, зачеты</w:t>
      </w:r>
      <w:r w:rsidR="00CE3239" w:rsidRPr="00CE3239">
        <w:t>),</w:t>
      </w:r>
      <w:r w:rsidRPr="00CE3239">
        <w:t xml:space="preserve"> а с другой стороны, торговые организации могут иметь счета в других банках, поскольку их количество сегодня не ограничено</w:t>
      </w:r>
      <w:r w:rsidR="00CE3239" w:rsidRPr="00CE3239">
        <w:t xml:space="preserve">. </w:t>
      </w:r>
      <w:r w:rsidRPr="00CE3239">
        <w:t>Поэтому только применение в комплексе указанных методов определения кредитоспособности заемщика позволяет полно оценить торговую организацию, проверить результат, полученный при анализе другим методом, и выявить элементы, не получившие ни в одном из них отражение</w:t>
      </w:r>
      <w:r w:rsidR="00CE3239" w:rsidRPr="00CE3239">
        <w:t xml:space="preserve">. </w:t>
      </w:r>
      <w:r w:rsidRPr="00CE3239">
        <w:t>Дополняя друг друга, анализ финансовых коэффициентов позволяет оценить общее финансовое состояние торговой организации и выяснить потенциальные возможности погашения кредита, то есть кредитоспособность как более долгосрочное понятие, тогда как анализ денежного потока</w:t>
      </w:r>
      <w:r w:rsidR="00CE3239" w:rsidRPr="00CE3239">
        <w:t xml:space="preserve"> - </w:t>
      </w:r>
      <w:r w:rsidRPr="00CE3239">
        <w:t>это анализ реальных денежных средств, как остатка на счетах, в кассе и других, то есть того, чем в данный момент может быть погашен кредит,</w:t>
      </w:r>
      <w:r w:rsidR="00CE3239" w:rsidRPr="00CE3239">
        <w:t xml:space="preserve"> - </w:t>
      </w:r>
      <w:r w:rsidRPr="00CE3239">
        <w:t>иными словами, мгновенной платежеспособности торговой организации</w:t>
      </w:r>
      <w:r w:rsidR="00CE3239" w:rsidRPr="00CE3239">
        <w:t xml:space="preserve">: </w:t>
      </w:r>
      <w:r w:rsidRPr="00CE3239">
        <w:t>возможности погашения кредита в каждый данный момент времени</w:t>
      </w:r>
      <w:r w:rsidR="00CE3239" w:rsidRPr="00CE3239">
        <w:t>.</w:t>
      </w:r>
      <w:bookmarkEnd w:id="57"/>
    </w:p>
    <w:p w:rsidR="00CE3239" w:rsidRDefault="00713D89" w:rsidP="00CE3239">
      <w:pPr>
        <w:ind w:firstLine="709"/>
      </w:pPr>
      <w:bookmarkStart w:id="58" w:name="_Toc137217836"/>
      <w:r w:rsidRPr="00CE3239">
        <w:t>В нынешних российских условиях использование комплексного метода является наиболее</w:t>
      </w:r>
      <w:r w:rsidR="00CE3239" w:rsidRPr="00CE3239">
        <w:t xml:space="preserve"> </w:t>
      </w:r>
      <w:r w:rsidRPr="00CE3239">
        <w:t>актуальным, поскольку ситуации, когда в целом ликвидный заемщик не может на дату погашения кредита расплатиться с кредитором по задолженности в результате неплатежей, встречаются достаточно часто</w:t>
      </w:r>
      <w:r w:rsidR="00CE3239" w:rsidRPr="00CE3239">
        <w:t xml:space="preserve">. </w:t>
      </w:r>
      <w:r w:rsidRPr="00CE3239">
        <w:t>Это особенно касается торговых организаций в силу специфики</w:t>
      </w:r>
      <w:r w:rsidR="00CE3239" w:rsidRPr="00CE3239">
        <w:t xml:space="preserve"> </w:t>
      </w:r>
      <w:r w:rsidRPr="00CE3239">
        <w:t>торгового бизнеса и непосредственной их зависимости от вероятности поступления средств от контрагентов</w:t>
      </w:r>
      <w:r w:rsidR="00CE3239" w:rsidRPr="00CE3239">
        <w:t>.</w:t>
      </w:r>
      <w:bookmarkEnd w:id="58"/>
    </w:p>
    <w:p w:rsidR="00CE3239" w:rsidRDefault="00713D89" w:rsidP="00CE3239">
      <w:pPr>
        <w:ind w:firstLine="709"/>
      </w:pPr>
      <w:bookmarkStart w:id="59" w:name="_Toc137217837"/>
      <w:r w:rsidRPr="00CE3239">
        <w:t>Однако выполнение кредитных обязательств зависит не только от возможностей торговой организации погасить кредит, но и от ее желания отвечать по своим финансовым обязательствам</w:t>
      </w:r>
      <w:r w:rsidR="00CE3239" w:rsidRPr="00CE3239">
        <w:t xml:space="preserve">. </w:t>
      </w:r>
      <w:r w:rsidRPr="00CE3239">
        <w:t>Нежелание компании платить по долгам обычно создает ряд операционных рисков в связи с возможностью различных юридических ухищрений и может привести к невозврату задолженности в целом кредитоспособной торговой организацией</w:t>
      </w:r>
      <w:r w:rsidR="00CE3239" w:rsidRPr="00CE3239">
        <w:t xml:space="preserve">. </w:t>
      </w:r>
      <w:r w:rsidRPr="00CE3239">
        <w:t>То есть при слабости правовой системы возврат кредита зависит исключительно от добросовестности заемщика</w:t>
      </w:r>
      <w:r w:rsidR="00CE3239" w:rsidRPr="00CE3239">
        <w:t xml:space="preserve">. </w:t>
      </w:r>
      <w:r w:rsidRPr="00CE3239">
        <w:t>Поэтому оценке делового риска банкам необходимо уделять не меньше внимания, чем анализу кредитоспособности на основе коэффициентов и денежных потоков</w:t>
      </w:r>
      <w:r w:rsidR="00CE3239" w:rsidRPr="00CE3239">
        <w:t xml:space="preserve">. </w:t>
      </w:r>
      <w:r w:rsidRPr="00CE3239">
        <w:t>Тем более что финансовая отчетность часто носит сегодня необъективный характер</w:t>
      </w:r>
      <w:r w:rsidR="00CE3239" w:rsidRPr="00CE3239">
        <w:t>.</w:t>
      </w:r>
      <w:bookmarkEnd w:id="59"/>
    </w:p>
    <w:p w:rsidR="00CE3239" w:rsidRDefault="00713D89" w:rsidP="00CE3239">
      <w:pPr>
        <w:ind w:firstLine="709"/>
      </w:pPr>
      <w:bookmarkStart w:id="60" w:name="_Toc137217838"/>
      <w:r w:rsidRPr="00CE3239">
        <w:t>При неблагоприятных обстоятельствах</w:t>
      </w:r>
      <w:r w:rsidR="00CE3239">
        <w:t xml:space="preserve"> (</w:t>
      </w:r>
      <w:r w:rsidRPr="00CE3239">
        <w:t>кризисная ситуация в компании или в экономике</w:t>
      </w:r>
      <w:r w:rsidR="00CE3239" w:rsidRPr="00CE3239">
        <w:t>),</w:t>
      </w:r>
      <w:r w:rsidRPr="00CE3239">
        <w:t xml:space="preserve"> особенно когда сама способность к исполнению всех обязательств ставится под угрозу, желание расплатиться по долгам или начать открытые переговоры с банком о реструктуризации этих долгов целиком и полностью зависят от морально-этических принципов торговой организации и перспектив на сохранение бизнеса</w:t>
      </w:r>
      <w:r w:rsidR="00CE3239" w:rsidRPr="00CE3239">
        <w:t>.</w:t>
      </w:r>
      <w:bookmarkEnd w:id="60"/>
    </w:p>
    <w:p w:rsidR="00CE3239" w:rsidRDefault="00713D89" w:rsidP="00CE3239">
      <w:pPr>
        <w:ind w:firstLine="709"/>
      </w:pPr>
      <w:bookmarkStart w:id="61" w:name="_Toc137217839"/>
      <w:r w:rsidRPr="00CE3239">
        <w:t>Индикатором поведения торговой организации в экстремальных условиях служит степень ее прозрачности в нормальных условиях</w:t>
      </w:r>
      <w:r w:rsidR="00CE3239" w:rsidRPr="00CE3239">
        <w:t xml:space="preserve">. </w:t>
      </w:r>
      <w:r w:rsidRPr="00CE3239">
        <w:t>Косвенным показателем общей реакции крупной торговой организации на стресс служит ее реакция на стрессовые ситуации с клиентами, сотрудниками, контрагентами</w:t>
      </w:r>
      <w:r w:rsidR="00CE3239" w:rsidRPr="00CE3239">
        <w:t>.</w:t>
      </w:r>
      <w:bookmarkEnd w:id="61"/>
    </w:p>
    <w:p w:rsidR="00CE3239" w:rsidRDefault="00713D89" w:rsidP="00CE3239">
      <w:pPr>
        <w:ind w:firstLine="709"/>
      </w:pPr>
      <w:bookmarkStart w:id="62" w:name="_Toc137217840"/>
      <w:r w:rsidRPr="00CE3239">
        <w:t>На поведение торговой организации может влиять сразу несколько сторон</w:t>
      </w:r>
      <w:r w:rsidR="00CE3239" w:rsidRPr="00CE3239">
        <w:t xml:space="preserve">. </w:t>
      </w:r>
      <w:r w:rsidRPr="00CE3239">
        <w:t>По мнению автора, их можно расположить по убыванию степени влияния</w:t>
      </w:r>
      <w:r w:rsidR="00CE3239" w:rsidRPr="00CE3239">
        <w:t xml:space="preserve">: </w:t>
      </w:r>
      <w:r w:rsidRPr="00CE3239">
        <w:t>руководство организации, держатели контрольного пакета акций, миноритарные акционеры, держатели долговых обязательств, сотрудники, клиенты, контрагенты и</w:t>
      </w:r>
      <w:r w:rsidR="00CE3239">
        <w:t xml:space="preserve"> "</w:t>
      </w:r>
      <w:r w:rsidRPr="00CE3239">
        <w:t>общество</w:t>
      </w:r>
      <w:r w:rsidR="00CE3239">
        <w:t xml:space="preserve">" </w:t>
      </w:r>
      <w:r w:rsidRPr="00CE3239">
        <w:t>в широком смысле этого слова</w:t>
      </w:r>
      <w:bookmarkEnd w:id="62"/>
      <w:r w:rsidR="00CE3239" w:rsidRPr="00CE3239">
        <w:t>.</w:t>
      </w:r>
    </w:p>
    <w:p w:rsidR="00CE3239" w:rsidRDefault="00713D89" w:rsidP="00CE3239">
      <w:pPr>
        <w:ind w:firstLine="709"/>
      </w:pPr>
      <w:bookmarkStart w:id="63" w:name="_Toc137217841"/>
      <w:r w:rsidRPr="00CE3239">
        <w:t>На практике значение может иметь не только абсолютное количество баллов, набранное в итоге торговой организацией, а ее положение относительно других</w:t>
      </w:r>
      <w:r w:rsidR="00CE3239" w:rsidRPr="00CE3239">
        <w:t xml:space="preserve">. </w:t>
      </w:r>
      <w:r w:rsidRPr="00CE3239">
        <w:t>Поэтому необходимо все-таки использовать принцип расчета среднеотраслевого показателя и принцип базы данных, описанные ранее для оценки кредитоспособности на основе коэффициентов</w:t>
      </w:r>
      <w:r w:rsidR="00CE3239" w:rsidRPr="00CE3239">
        <w:t xml:space="preserve"> </w:t>
      </w:r>
      <w:r w:rsidRPr="00CE3239">
        <w:t>и матрицы</w:t>
      </w:r>
      <w:r w:rsidR="00CE3239" w:rsidRPr="00CE3239">
        <w:t>.</w:t>
      </w:r>
      <w:bookmarkEnd w:id="63"/>
    </w:p>
    <w:p w:rsidR="00CE3239" w:rsidRDefault="00713D89" w:rsidP="00CE3239">
      <w:pPr>
        <w:ind w:firstLine="709"/>
      </w:pPr>
      <w:bookmarkStart w:id="64" w:name="_Toc137217842"/>
      <w:r w:rsidRPr="00CE3239">
        <w:t>Подводя итог перспективам развития анализа кредитоспособности торговых организаций, следует отметить, что представляется необходимым применение</w:t>
      </w:r>
      <w:r w:rsidR="00CE3239" w:rsidRPr="00CE3239">
        <w:t xml:space="preserve"> </w:t>
      </w:r>
      <w:r w:rsidRPr="00CE3239">
        <w:t>комплексного анализа кредитоспособности, включая анализ финансовых показателей, денежных потоков и делового риска</w:t>
      </w:r>
      <w:r w:rsidR="00CE3239" w:rsidRPr="00CE3239">
        <w:t xml:space="preserve">. </w:t>
      </w:r>
      <w:r w:rsidRPr="00CE3239">
        <w:t>Это поможет более эффективно отбирать торговые организации как субъекты механизма кредитования и будет способствовать расширению кредитоспособной клиентской базы, хеджированию и росту эффективности кредитования в целом, что в свою очередь способствует увеличению прибыли и развитию кредитных отношений</w:t>
      </w:r>
      <w:r w:rsidR="00CE3239" w:rsidRPr="00CE3239">
        <w:t>.</w:t>
      </w:r>
      <w:bookmarkEnd w:id="64"/>
    </w:p>
    <w:p w:rsidR="00CE3239" w:rsidRDefault="00713D89" w:rsidP="00CE3239">
      <w:pPr>
        <w:ind w:firstLine="709"/>
      </w:pPr>
      <w:bookmarkStart w:id="65" w:name="_Toc137217843"/>
      <w:r w:rsidRPr="00CE3239">
        <w:t>Для получения реальных результатов предложенные методики анализа необходимо использовать на практике, тогда как российское законодательство не устанавливает обязанность банков проверять кредитоспособность клиента</w:t>
      </w:r>
      <w:r w:rsidR="00CE3239" w:rsidRPr="00CE3239">
        <w:t xml:space="preserve">. </w:t>
      </w:r>
      <w:r w:rsidRPr="00CE3239">
        <w:t>В действующих актах содержатся лишь рекомендации уделять больше внимания такой оценке</w:t>
      </w:r>
      <w:r w:rsidR="00CE3239" w:rsidRPr="00CE3239">
        <w:t>.</w:t>
      </w:r>
      <w:bookmarkEnd w:id="65"/>
    </w:p>
    <w:p w:rsidR="00CE3239" w:rsidRPr="00CE3239" w:rsidRDefault="00CE3239" w:rsidP="00CE3239">
      <w:pPr>
        <w:pStyle w:val="2"/>
      </w:pPr>
      <w:bookmarkStart w:id="66" w:name="_Toc134494917"/>
      <w:bookmarkStart w:id="67" w:name="_Toc137217844"/>
      <w:r>
        <w:br w:type="page"/>
      </w:r>
      <w:bookmarkStart w:id="68" w:name="_Toc275614966"/>
      <w:r w:rsidR="00903B95" w:rsidRPr="00CE3239">
        <w:t>3</w:t>
      </w:r>
      <w:r w:rsidRPr="00CE3239">
        <w:t xml:space="preserve">. </w:t>
      </w:r>
      <w:r w:rsidR="00FA6B81" w:rsidRPr="00CE3239">
        <w:t>Основные направления совершенствования кредитной работы с населением</w:t>
      </w:r>
      <w:bookmarkEnd w:id="66"/>
      <w:r w:rsidRPr="00CE3239">
        <w:t xml:space="preserve">: </w:t>
      </w:r>
      <w:r w:rsidR="00FA6B81" w:rsidRPr="00CE3239">
        <w:t>проблемы и перспективы</w:t>
      </w:r>
      <w:bookmarkEnd w:id="67"/>
      <w:bookmarkEnd w:id="68"/>
    </w:p>
    <w:p w:rsidR="00CE3239" w:rsidRDefault="00CE3239" w:rsidP="00CE3239">
      <w:pPr>
        <w:ind w:firstLine="709"/>
      </w:pPr>
    </w:p>
    <w:p w:rsidR="00CE3239" w:rsidRDefault="00903B95" w:rsidP="00CE3239">
      <w:pPr>
        <w:ind w:firstLine="709"/>
      </w:pPr>
      <w:r w:rsidRPr="00CE3239">
        <w:t>Одна из основных функций банковской системы состоит в финансировании инвестиционных потребностей реального сектора экономики</w:t>
      </w:r>
      <w:r w:rsidR="00CE3239" w:rsidRPr="00CE3239">
        <w:t xml:space="preserve">. </w:t>
      </w:r>
      <w:r w:rsidRPr="00CE3239">
        <w:t>Однако в настоящее время российские банки недостаточно эффективно реализуют функции кредита, перераспределяя доступные им национальные кредитные ресурсы</w:t>
      </w:r>
      <w:r w:rsidR="00CE3239" w:rsidRPr="00CE3239">
        <w:t xml:space="preserve">. </w:t>
      </w:r>
      <w:r w:rsidRPr="00CE3239">
        <w:t>Объем средств, направленный в реальный сектор экономики, не превышает по оценкам специалистов 20% от общего объема кредитов</w:t>
      </w:r>
      <w:r w:rsidR="00CE3239" w:rsidRPr="00CE3239">
        <w:t xml:space="preserve">. </w:t>
      </w:r>
      <w:r w:rsidRPr="00CE3239">
        <w:t>Выдача ссуд утрачивает свое значение как источника пополнения средств</w:t>
      </w:r>
      <w:r w:rsidR="00CE3239" w:rsidRPr="00CE3239">
        <w:t xml:space="preserve">. </w:t>
      </w:r>
      <w:r w:rsidRPr="00CE3239">
        <w:t>Процентная политика коммерческих банков должна быть такой, чтобы кредиты были экономически выгодны как для банков, так и для конечных заемщиков</w:t>
      </w:r>
      <w:r w:rsidR="00CE3239" w:rsidRPr="00CE3239">
        <w:t xml:space="preserve"> [</w:t>
      </w:r>
      <w:r w:rsidR="003E446B" w:rsidRPr="00CE3239">
        <w:t>8, 109</w:t>
      </w:r>
      <w:r w:rsidR="00CE3239" w:rsidRPr="00CE3239">
        <w:t>]</w:t>
      </w:r>
    </w:p>
    <w:p w:rsidR="00CE3239" w:rsidRDefault="00903B95" w:rsidP="00CE3239">
      <w:pPr>
        <w:ind w:firstLine="709"/>
      </w:pPr>
      <w:r w:rsidRPr="00CE3239">
        <w:t>Положение в реальном секторе экономики во многом влияет на величину просроченной задолженности в общем объеме кредитных вложений</w:t>
      </w:r>
      <w:r w:rsidR="00CE3239">
        <w:t xml:space="preserve"> (</w:t>
      </w:r>
      <w:r w:rsidRPr="00CE3239">
        <w:t>до 20%</w:t>
      </w:r>
      <w:r w:rsidR="00CE3239" w:rsidRPr="00CE3239">
        <w:t xml:space="preserve">). </w:t>
      </w:r>
      <w:r w:rsidRPr="00CE3239">
        <w:t>Значительное количество кредитов пролонгируется</w:t>
      </w:r>
      <w:r w:rsidR="00CE3239" w:rsidRPr="00CE3239">
        <w:t xml:space="preserve">. </w:t>
      </w:r>
      <w:r w:rsidRPr="00CE3239">
        <w:t>Созданные банками резервы на возможные потери по ссудам составляют 58% от просроченной задолженности и лишь 45% от убытков, понесенных банками с учетом процентов по просроченным ссудам</w:t>
      </w:r>
      <w:r w:rsidR="00CE3239" w:rsidRPr="00CE3239">
        <w:t xml:space="preserve"> [</w:t>
      </w:r>
      <w:r w:rsidR="00FA6B81" w:rsidRPr="00CE3239">
        <w:t>4, 199</w:t>
      </w:r>
      <w:r w:rsidR="00CE3239" w:rsidRPr="00CE3239">
        <w:t>]</w:t>
      </w:r>
    </w:p>
    <w:p w:rsidR="00CE3239" w:rsidRDefault="00903B95" w:rsidP="00CE3239">
      <w:pPr>
        <w:ind w:firstLine="709"/>
      </w:pPr>
      <w:r w:rsidRPr="00CE3239">
        <w:t>Для большинства пользователей кредита процентные ставки за его пользование относительно высоки, поэтому являются причиной роста платежей, развития псевдокредитных отношений</w:t>
      </w:r>
      <w:r w:rsidR="00CE3239" w:rsidRPr="00CE3239">
        <w:t xml:space="preserve">. </w:t>
      </w:r>
      <w:r w:rsidRPr="00CE3239">
        <w:t>Конечно, сейчас возможности Банка России в регулировании процентных ставок коммерческих банков ограничены законодательством</w:t>
      </w:r>
      <w:r w:rsidR="00CE3239" w:rsidRPr="00CE3239">
        <w:t xml:space="preserve">. </w:t>
      </w:r>
      <w:r w:rsidRPr="00CE3239">
        <w:t>Но, по словам, В</w:t>
      </w:r>
      <w:r w:rsidR="00CE3239">
        <w:t xml:space="preserve">.В. </w:t>
      </w:r>
      <w:r w:rsidRPr="00CE3239">
        <w:t>Геращенко председателя Банка России, меры по регулированию денежного предложения и процентная политика самого Банка России будут направлены на вывод в перспективе реальных процентных ставок коммерческих банков на низкий положительный уровень</w:t>
      </w:r>
      <w:r w:rsidR="00CE3239" w:rsidRPr="00CE3239">
        <w:t xml:space="preserve">. </w:t>
      </w:r>
      <w:r w:rsidRPr="00CE3239">
        <w:t>В условиях кризиса и отсутствия возможностей получения дохода от операций и финансовых рынках операции по кредитованию особенно физических лиц и малого предпринимательства, становятся наиболее привлекательными для банков</w:t>
      </w:r>
      <w:r w:rsidR="00CE3239" w:rsidRPr="00CE3239">
        <w:t xml:space="preserve">. </w:t>
      </w:r>
      <w:r w:rsidRPr="00CE3239">
        <w:t>В связи с этим Банком России рассматриваются вопросы о создании кредитных бюро, в которых бы аккумулировалась информация о финансовом состоянии заемщиков и их кредитной истории</w:t>
      </w:r>
      <w:r w:rsidR="00CE3239" w:rsidRPr="00CE3239">
        <w:t xml:space="preserve"> [</w:t>
      </w:r>
      <w:r w:rsidR="00FA6B81" w:rsidRPr="00CE3239">
        <w:t>5, 108</w:t>
      </w:r>
      <w:r w:rsidR="00CE3239" w:rsidRPr="00CE3239">
        <w:t>]</w:t>
      </w:r>
    </w:p>
    <w:p w:rsidR="00CE3239" w:rsidRDefault="00903B95" w:rsidP="00CE3239">
      <w:pPr>
        <w:ind w:firstLine="709"/>
      </w:pPr>
      <w:r w:rsidRPr="00CE3239">
        <w:t>Сумма баллов по всем признакам сравнивается с неким критическим значением, и в зависимости от результатов сравнения клиент признается либо кредитоспособным, либо некредитоспособным</w:t>
      </w:r>
      <w:r w:rsidR="00CE3239" w:rsidRPr="00CE3239">
        <w:t xml:space="preserve">. </w:t>
      </w:r>
      <w:r w:rsidRPr="00CE3239">
        <w:t>Какие же проблемы возникают при такой процедуре отбора клиентов</w:t>
      </w:r>
      <w:r w:rsidR="00CE3239" w:rsidRPr="00CE3239">
        <w:t>?</w:t>
      </w:r>
    </w:p>
    <w:p w:rsidR="00CE3239" w:rsidRDefault="00903B95" w:rsidP="00CE3239">
      <w:pPr>
        <w:ind w:firstLine="709"/>
      </w:pPr>
      <w:r w:rsidRPr="00CE3239">
        <w:t>Во-первых, довольно сложно грамотно учесть все ключевые признаки клиента, так как многие из них плохо формализуемы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Во-вторых, балльные оценки признаков, как правило, достаточно субъективны</w:t>
      </w:r>
      <w:r w:rsidR="00CE3239" w:rsidRPr="00CE3239">
        <w:t xml:space="preserve">. </w:t>
      </w:r>
      <w:r w:rsidRPr="00CE3239">
        <w:t>Так, мужчина и женщина получают разные баллы при оценке кредитных рисков</w:t>
      </w:r>
      <w:r w:rsidR="00CE3239" w:rsidRPr="00CE3239">
        <w:t xml:space="preserve">. </w:t>
      </w:r>
      <w:r w:rsidRPr="00CE3239">
        <w:t>При этом количественные значения этих баллов формируются либо экспертным путем, либо по весьма субъективным расчетным схемам</w:t>
      </w:r>
      <w:r w:rsidR="00CE3239" w:rsidRPr="00CE3239">
        <w:t xml:space="preserve">. </w:t>
      </w:r>
      <w:r w:rsidRPr="00CE3239">
        <w:t>На наш взгляд, в подобной ситуации, можно было бы повысить объективность балльных оценок, вычисляя их на основе ретроспективной информации о невозвратных клиентами полученных кредитов</w:t>
      </w:r>
      <w:r w:rsidR="00CE3239" w:rsidRPr="00CE3239">
        <w:t xml:space="preserve">. </w:t>
      </w:r>
      <w:r w:rsidRPr="00CE3239">
        <w:t>В этом случае балльная оценка представляла бы собой процент возвращенных кредитов среди мужчин и женщин</w:t>
      </w:r>
      <w:r w:rsidR="00CE3239" w:rsidRPr="00CE3239">
        <w:t xml:space="preserve">. </w:t>
      </w:r>
      <w:r w:rsidRPr="00CE3239">
        <w:t>Однако и такая процедура не устраняет размытости балльных характеристик, так как период усреднения ретроспективных данных может быть различным и выбирается субъективно</w:t>
      </w:r>
      <w:r w:rsidR="00CE3239" w:rsidRPr="00CE3239">
        <w:t xml:space="preserve">. </w:t>
      </w:r>
      <w:r w:rsidRPr="00CE3239">
        <w:t>Между тем искомые баллы сильно зависят от значения анализируемого периода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В-третьих, используемые в расчетах балльные оценки не являются застывшими во времени величинами, поскольку сдвиги в социально-экономических условиях приводят к изменению уровня риска каждого признака</w:t>
      </w:r>
      <w:r w:rsidR="00CE3239" w:rsidRPr="00CE3239">
        <w:t xml:space="preserve">. </w:t>
      </w:r>
      <w:r w:rsidRPr="00CE3239">
        <w:t>Иными словами, система баллов должна оперативно обновляться</w:t>
      </w:r>
      <w:r w:rsidR="00CE3239" w:rsidRPr="00CE3239">
        <w:t xml:space="preserve">. </w:t>
      </w:r>
      <w:r w:rsidRPr="00CE3239">
        <w:t>При этом пересчет балльной шкалы идет для каждого временного интервала с учетом специфики конкретного банка и выдаваемых им кредитов</w:t>
      </w:r>
      <w:r w:rsidR="00CE3239">
        <w:t xml:space="preserve"> (</w:t>
      </w:r>
      <w:r w:rsidRPr="00CE3239">
        <w:t xml:space="preserve">краткосрочный, долгосрочный и </w:t>
      </w:r>
      <w:r w:rsidR="00CE3239">
        <w:t>т.п.)</w:t>
      </w:r>
      <w:r w:rsidR="00CE3239" w:rsidRPr="00CE3239">
        <w:t>.</w:t>
      </w:r>
    </w:p>
    <w:p w:rsidR="00CE3239" w:rsidRPr="00CE3239" w:rsidRDefault="00903B95" w:rsidP="00CE3239">
      <w:pPr>
        <w:ind w:firstLine="709"/>
      </w:pPr>
      <w:r w:rsidRPr="00CE3239">
        <w:t>В-четвертых, критическое значение суммы баллов, с которым сравнивается ее фактическая величина, определяется эмпирически</w:t>
      </w:r>
      <w:r w:rsidR="00CE3239" w:rsidRPr="00CE3239">
        <w:t xml:space="preserve">. </w:t>
      </w:r>
      <w:r w:rsidRPr="00CE3239">
        <w:t>Никаких серьезных теоретических оснований этой величины нет</w:t>
      </w:r>
      <w:r w:rsidR="00CE3239" w:rsidRPr="00CE3239">
        <w:t xml:space="preserve"> [</w:t>
      </w:r>
      <w:r w:rsidR="00FA6B81" w:rsidRPr="00CE3239">
        <w:t>3, 118</w:t>
      </w:r>
      <w:r w:rsidR="00CE3239" w:rsidRPr="00CE3239">
        <w:t>]</w:t>
      </w:r>
    </w:p>
    <w:p w:rsidR="00CE3239" w:rsidRDefault="00903B95" w:rsidP="00CE3239">
      <w:pPr>
        <w:ind w:firstLine="709"/>
      </w:pPr>
      <w:r w:rsidRPr="00CE3239">
        <w:t>Очевидно, что в общем случае критический порог также является</w:t>
      </w:r>
      <w:r w:rsidR="00CE3239">
        <w:t xml:space="preserve"> "</w:t>
      </w:r>
      <w:r w:rsidRPr="00CE3239">
        <w:t>плавающей</w:t>
      </w:r>
      <w:r w:rsidR="00CE3239">
        <w:t xml:space="preserve">" </w:t>
      </w:r>
      <w:r w:rsidRPr="00CE3239">
        <w:t>во времени величиной и должен быть дифференцирован в зависимости от вида кредита</w:t>
      </w:r>
      <w:r w:rsidR="00CE3239" w:rsidRPr="00CE3239">
        <w:t xml:space="preserve">. </w:t>
      </w:r>
      <w:r w:rsidRPr="00CE3239">
        <w:t>Любые ошибки и погрешности в определении критической величины суммы баллов могут давать принципиально неверный результат, особенно когда фактическое значение баллов лежит в окрестности критического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Таким образом, поставить на</w:t>
      </w:r>
      <w:r w:rsidR="00CE3239">
        <w:t xml:space="preserve"> "</w:t>
      </w:r>
      <w:r w:rsidRPr="00CE3239">
        <w:t>конвейер</w:t>
      </w:r>
      <w:r w:rsidR="00CE3239">
        <w:t xml:space="preserve">" </w:t>
      </w:r>
      <w:r w:rsidRPr="00CE3239">
        <w:t>выдачу кредитов физическим лицам на основе количественных методик оценки рисков весьма непросто</w:t>
      </w:r>
      <w:r w:rsidR="00CE3239" w:rsidRPr="00CE3239">
        <w:t xml:space="preserve">. </w:t>
      </w:r>
      <w:r w:rsidRPr="00CE3239">
        <w:t>Всегда существует потребность неформальной перепроверки результатов современных количественных тестов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Кроме того, не отработаны методики определения кредитоспособности и добросовестности заемщика и по косвенным признакам</w:t>
      </w:r>
      <w:r w:rsidR="00CE3239" w:rsidRPr="00CE3239">
        <w:t xml:space="preserve">. </w:t>
      </w:r>
      <w:r w:rsidRPr="00CE3239">
        <w:t>Да, на Западе применяется специальная скоринговая система тестирования, которая настроена на выявление нескольких параметров</w:t>
      </w:r>
      <w:r w:rsidR="00CE3239" w:rsidRPr="00CE3239">
        <w:t xml:space="preserve">: </w:t>
      </w:r>
      <w:r w:rsidRPr="00CE3239">
        <w:t>размера, стабильности дохода клиента, на его кредитную историю</w:t>
      </w:r>
      <w:r w:rsidR="00CE3239">
        <w:t xml:space="preserve"> (</w:t>
      </w:r>
      <w:r w:rsidRPr="00CE3239">
        <w:t>Приложение 1</w:t>
      </w:r>
      <w:r w:rsidR="00CE3239" w:rsidRPr="00CE3239">
        <w:t xml:space="preserve">). </w:t>
      </w:r>
      <w:r w:rsidRPr="00CE3239">
        <w:t>Но в России это не работает</w:t>
      </w:r>
      <w:r w:rsidR="00CE3239" w:rsidRPr="00CE3239">
        <w:t xml:space="preserve">! </w:t>
      </w:r>
      <w:r w:rsidRPr="00CE3239">
        <w:t>Как правило, люди, особенно из среднего и зажиточного слоя, не декларируют полностью свои доходы, тем более перед банками</w:t>
      </w:r>
      <w:r w:rsidR="00CE3239" w:rsidRPr="00CE3239">
        <w:t xml:space="preserve">. </w:t>
      </w:r>
      <w:r w:rsidRPr="00CE3239">
        <w:t>Кредитных историй тоже нет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Несмотря на проблематичность ситуации с кредитованием физических лиц в России, сегодня как никогда возрастает важность развития долгосрочного ипотечного жилищного кредитования</w:t>
      </w:r>
      <w:r w:rsidR="00CE3239" w:rsidRPr="00CE3239">
        <w:t xml:space="preserve">. </w:t>
      </w:r>
      <w:r w:rsidRPr="00CE3239">
        <w:t>А макроэкономические условия, сложившиеся в стране в результате финансового кризиса, усиливают значимость развития ипотечного кредитования населения не как отдельных инициатив банков или регионов, а как целостной системы при непосредственной воздействии государства</w:t>
      </w:r>
      <w:r w:rsidR="00CE3239" w:rsidRPr="00CE3239">
        <w:t xml:space="preserve"> [</w:t>
      </w:r>
      <w:r w:rsidR="00FA6B81" w:rsidRPr="00CE3239">
        <w:t>2, 199</w:t>
      </w:r>
      <w:r w:rsidR="00CE3239" w:rsidRPr="00CE3239">
        <w:t>]</w:t>
      </w:r>
    </w:p>
    <w:p w:rsidR="00CE3239" w:rsidRDefault="00903B95" w:rsidP="00CE3239">
      <w:pPr>
        <w:ind w:firstLine="709"/>
      </w:pPr>
      <w:r w:rsidRPr="00CE3239">
        <w:t xml:space="preserve">Ипотечное кредитование </w:t>
      </w:r>
      <w:r w:rsidR="00CE3239">
        <w:t>-</w:t>
      </w:r>
      <w:r w:rsidRPr="00CE3239">
        <w:t xml:space="preserve"> один из самых проверенных в мировой практике и надежных способов привлечения внебюджетных инвестиций в жилищную сферу</w:t>
      </w:r>
      <w:r w:rsidR="00CE3239" w:rsidRPr="00CE3239">
        <w:t xml:space="preserve">. </w:t>
      </w:r>
      <w:r w:rsidRPr="00CE3239">
        <w:t xml:space="preserve">Именно ипотека позволяет согласовать интересы населения </w:t>
      </w:r>
      <w:r w:rsidR="00CE3239">
        <w:t>-</w:t>
      </w:r>
      <w:r w:rsidRPr="00CE3239">
        <w:t xml:space="preserve"> в улучшении жилищных условий, коммерческих банков </w:t>
      </w:r>
      <w:r w:rsidR="00CE3239">
        <w:t>-</w:t>
      </w:r>
      <w:r w:rsidRPr="00CE3239">
        <w:t xml:space="preserve"> в эффективной и прибыльной работе, строительного комплекса </w:t>
      </w:r>
      <w:r w:rsidR="00CE3239">
        <w:t>-</w:t>
      </w:r>
      <w:r w:rsidRPr="00CE3239">
        <w:t xml:space="preserve"> в ритмичной загрузке производства, и, конечно же, государства, заинтересованного в общем экономическом росте, которому будет способствовать широкое распространение ипотечного кредитования населения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 большинстве стран мира приобретение жилья в кредит является не только основной формой решения жилищной проблемы, но и базовой сферой экономической деятельности, ключевую роль в которой играют банковские структуры</w:t>
      </w:r>
      <w:r w:rsidR="00CE3239" w:rsidRPr="00CE3239">
        <w:t xml:space="preserve">. </w:t>
      </w:r>
      <w:r w:rsidRPr="00CE3239">
        <w:t>Государство не выполняет вспомогательную роль, усиливая общие правила, обуславливающие эффективность взаимодействия всех участников процесса жилищного кредитования, а также при необходимости прямо или косвенно использует бюджетные финансовые средства для привлечения дополнительных частных инвестиций в жилищную сферу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Полагаю, что, поднимая вопрос о проблемах кредитования физических лиц, было бы весьма своевременно и просто необходимо охарактеризовать ипотечное кредитование</w:t>
      </w:r>
      <w:r w:rsidR="00CE3239" w:rsidRPr="00CE3239">
        <w:t>.</w:t>
      </w:r>
    </w:p>
    <w:p w:rsidR="00903B95" w:rsidRPr="00CE3239" w:rsidRDefault="00903B95" w:rsidP="00CE3239">
      <w:pPr>
        <w:ind w:firstLine="709"/>
      </w:pPr>
      <w:r w:rsidRPr="00CE3239">
        <w:t>Операции банка по ипотечному кредитованию</w:t>
      </w:r>
    </w:p>
    <w:p w:rsidR="00CE3239" w:rsidRDefault="00903B95" w:rsidP="00CE3239">
      <w:pPr>
        <w:ind w:firstLine="709"/>
      </w:pPr>
      <w:r w:rsidRPr="00CE3239">
        <w:t>Ипотечное кредитование отличается тремя основными признаками</w:t>
      </w:r>
      <w:r w:rsidR="00CE3239" w:rsidRPr="00CE3239">
        <w:t>:</w:t>
      </w:r>
    </w:p>
    <w:p w:rsidR="00CE3239" w:rsidRDefault="00903B95" w:rsidP="00CE3239">
      <w:pPr>
        <w:ind w:firstLine="709"/>
      </w:pPr>
      <w:r w:rsidRPr="00CE3239">
        <w:t>Займы представляются на длительный срок, обычно на 10-25 лет, растягивая погашение кредита во времени, уменьшая, таким образом, размер ежемесячных выплат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Большинство займов предоставляются на приобретение жилых помещений, в которых будут проживать их владельцы</w:t>
      </w:r>
      <w:r w:rsidR="00CE3239" w:rsidRPr="00CE3239">
        <w:t>;</w:t>
      </w:r>
    </w:p>
    <w:p w:rsidR="00CE3239" w:rsidRDefault="00903B95" w:rsidP="00CE3239">
      <w:pPr>
        <w:ind w:firstLine="709"/>
      </w:pPr>
      <w:r w:rsidRPr="00CE3239">
        <w:t>Купленное жилье служит в качестве обеспечение займа</w:t>
      </w:r>
      <w:r w:rsidR="00CE3239">
        <w:t xml:space="preserve"> (</w:t>
      </w:r>
      <w:r w:rsidRPr="00CE3239">
        <w:t>залога</w:t>
      </w:r>
      <w:r w:rsidR="00CE3239" w:rsidRPr="00CE3239">
        <w:t>),</w:t>
      </w:r>
      <w:r w:rsidRPr="00CE3239">
        <w:t xml:space="preserve"> и в случае неуплаты займа собственность изымается банком и продается, с целью полного погашения кредита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На рынке ипотечных кредитов действуют четыре субъекта</w:t>
      </w:r>
      <w:r w:rsidR="00CE3239" w:rsidRPr="00CE3239">
        <w:t xml:space="preserve">: </w:t>
      </w:r>
      <w:r w:rsidRPr="00CE3239">
        <w:t>заемщик</w:t>
      </w:r>
      <w:r w:rsidR="00CE3239" w:rsidRPr="00CE3239">
        <w:t xml:space="preserve">; </w:t>
      </w:r>
      <w:r w:rsidRPr="00CE3239">
        <w:t>кредитор, или банк</w:t>
      </w:r>
      <w:r w:rsidR="00CE3239" w:rsidRPr="00CE3239">
        <w:t xml:space="preserve">; </w:t>
      </w:r>
      <w:r w:rsidRPr="00CE3239">
        <w:t>инвестор, который вкладывает средства в ипотечные кредиты и может не совпадать с банком, выдающим ссуды</w:t>
      </w:r>
      <w:r w:rsidR="00CE3239" w:rsidRPr="00CE3239">
        <w:t xml:space="preserve">: </w:t>
      </w:r>
      <w:r w:rsidRPr="00CE3239">
        <w:t>правительство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Субъекты рынка ипотечных кредитов и их цели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Заемщик</w:t>
      </w:r>
      <w:r w:rsidR="00CE3239" w:rsidRPr="00CE3239">
        <w:t xml:space="preserve">. </w:t>
      </w:r>
      <w:r w:rsidRPr="00CE3239">
        <w:t>Цель</w:t>
      </w:r>
      <w:r w:rsidR="00CE3239" w:rsidRPr="00CE3239">
        <w:t xml:space="preserve">: </w:t>
      </w:r>
      <w:r w:rsidRPr="00CE3239">
        <w:t>приобрести по возможности лучшее жилье, одновременно быть в состоянии производит ежемесячные выплаты по кредиту, которые не составляли бы слишком большую долю его ежемесячного дохода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Банк</w:t>
      </w:r>
      <w:r w:rsidR="00CE3239" w:rsidRPr="00CE3239">
        <w:t xml:space="preserve">. </w:t>
      </w:r>
      <w:r w:rsidRPr="00CE3239">
        <w:t>Цель</w:t>
      </w:r>
      <w:r w:rsidR="00CE3239" w:rsidRPr="00CE3239">
        <w:t xml:space="preserve">: </w:t>
      </w:r>
      <w:r w:rsidRPr="00CE3239">
        <w:t>максимизировать прибыль и дивиденды своим официальным ограничения рисков неплатежей заемщиков и потерь в результате более быстрого увеличения стоимости привлеченных банками средств по сравнению с процентными ставками по выданным ипотечным кредитам, а также в связи с непредвиденным оттоком банковских ресурсов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Инвестор</w:t>
      </w:r>
      <w:r w:rsidR="00CE3239" w:rsidRPr="00CE3239">
        <w:t xml:space="preserve">. </w:t>
      </w:r>
      <w:r w:rsidRPr="00CE3239">
        <w:t>Цель</w:t>
      </w:r>
      <w:r w:rsidR="00CE3239" w:rsidRPr="00CE3239">
        <w:t xml:space="preserve">: </w:t>
      </w:r>
      <w:r w:rsidRPr="00CE3239">
        <w:t>максимизировать доходы, вкладывая средства в ипотечные кредиты или ценные бумаги, обеспеченные путем ипотечных кредитов</w:t>
      </w:r>
      <w:r w:rsidR="00CE3239" w:rsidRPr="00CE3239">
        <w:t xml:space="preserve">. </w:t>
      </w:r>
      <w:r w:rsidRPr="00CE3239">
        <w:t>Некоторым видам рисков он подвержен в меньшей степени, например риску ликвидности, который возникает в результате исполнения роли посредника, и поэтому плата, которую он взимает за подобные риски, может быть меньше, чем у банка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Правительство</w:t>
      </w:r>
      <w:r w:rsidR="00CE3239" w:rsidRPr="00CE3239">
        <w:t xml:space="preserve">. </w:t>
      </w:r>
      <w:r w:rsidRPr="00CE3239">
        <w:t>Создает условия для надежного и эффективного функционирования системы ипотечного кредитования</w:t>
      </w:r>
      <w:r w:rsidR="00CE3239" w:rsidRPr="00CE3239">
        <w:t xml:space="preserve">; </w:t>
      </w:r>
      <w:r w:rsidRPr="00CE3239">
        <w:t>регулирует и осуществляет надзор за деятельностью коммерческих банков, предоставляющих ипотечные кредиты с целью защиты интересов вкладчиков этих банков</w:t>
      </w:r>
      <w:r w:rsidR="00CE3239" w:rsidRPr="00CE3239">
        <w:t xml:space="preserve">; </w:t>
      </w:r>
      <w:r w:rsidRPr="00CE3239">
        <w:t>содействует ограниченным группам семей в приобретении жилья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 настоящее время наиболее подходящими для России представляются следующие условия кредитования приобретения жилья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1</w:t>
      </w:r>
      <w:r w:rsidR="00CE3239" w:rsidRPr="00CE3239">
        <w:t xml:space="preserve">. </w:t>
      </w:r>
      <w:r w:rsidRPr="00CE3239">
        <w:t>Доля кредита от стоимости жилья из-за крайней сложности выселения при изъятии заложенного имущества должна быть не более 70%</w:t>
      </w:r>
      <w:r w:rsidR="00CE3239" w:rsidRPr="00CE3239">
        <w:t xml:space="preserve">. </w:t>
      </w:r>
      <w:r w:rsidRPr="00CE3239">
        <w:t>Опыт многих стран показывает, что при прочих равных условиях</w:t>
      </w:r>
      <w:r w:rsidR="00CE3239">
        <w:t xml:space="preserve"> (</w:t>
      </w:r>
      <w:r w:rsidRPr="00CE3239">
        <w:t xml:space="preserve">доход семьи, доля ежемесячных выплат за кредит в доходе и </w:t>
      </w:r>
      <w:r w:rsidR="00CE3239">
        <w:t>др.)</w:t>
      </w:r>
      <w:r w:rsidR="00CE3239" w:rsidRPr="00CE3239">
        <w:t xml:space="preserve"> </w:t>
      </w:r>
      <w:r w:rsidRPr="00CE3239">
        <w:t>вложение собственных средств на 30% стоимости приобретаемого жилья является достаточным, чтобы значительно уменьшить вероятность неуплаты по кредиту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2</w:t>
      </w:r>
      <w:r w:rsidR="00CE3239" w:rsidRPr="00CE3239">
        <w:t xml:space="preserve">. </w:t>
      </w:r>
      <w:r w:rsidRPr="00CE3239">
        <w:t xml:space="preserve">Доля платежей за кредит в доходе заемщика в условиях экономической неопределенности и возможности некоторого снижения величины реальных доходов заемщика в ближайшие 1-2 года в момент выдачи займа должна быть достаточно высокой </w:t>
      </w:r>
      <w:r w:rsidR="00CE3239">
        <w:t>-</w:t>
      </w:r>
      <w:r w:rsidRPr="00CE3239">
        <w:t xml:space="preserve"> не более 25% дохода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3</w:t>
      </w:r>
      <w:r w:rsidR="00CE3239" w:rsidRPr="00CE3239">
        <w:t xml:space="preserve">. </w:t>
      </w:r>
      <w:r w:rsidRPr="00CE3239">
        <w:t xml:space="preserve">Тип кредита </w:t>
      </w:r>
      <w:r w:rsidR="00CE3239">
        <w:t>-</w:t>
      </w:r>
      <w:r w:rsidRPr="00CE3239">
        <w:t xml:space="preserve"> традиционный с фиксированной процентной ставкой</w:t>
      </w:r>
      <w:r w:rsidR="00CE3239">
        <w:t xml:space="preserve"> (</w:t>
      </w:r>
      <w:r w:rsidRPr="00CE3239">
        <w:t>кредит с фиксированным процентом</w:t>
      </w:r>
      <w:r w:rsidR="00CE3239" w:rsidRPr="00CE3239">
        <w:t xml:space="preserve"> - </w:t>
      </w:r>
      <w:r w:rsidRPr="00CE3239">
        <w:t>КФП</w:t>
      </w:r>
      <w:r w:rsidR="00CE3239" w:rsidRPr="00CE3239">
        <w:t>),</w:t>
      </w:r>
      <w:r w:rsidRPr="00CE3239">
        <w:t xml:space="preserve"> то есть с постоянной величиной месячной выплаты по ссуде, не может использоваться в условиях высокой инфляции</w:t>
      </w:r>
      <w:r w:rsidR="00CE3239" w:rsidRPr="00CE3239">
        <w:t xml:space="preserve">. </w:t>
      </w:r>
      <w:r w:rsidRPr="00CE3239">
        <w:t>В случае, если банк предполагает получить с заемщика положительный реальный процент за кредит, используя КФП, величина кредита, который сможет получить заемщик, будет очень незначительной</w:t>
      </w:r>
      <w:r w:rsidR="00CE3239" w:rsidRPr="00CE3239">
        <w:t xml:space="preserve">. </w:t>
      </w:r>
      <w:r w:rsidRPr="00CE3239">
        <w:t>В этой ситуации необходимо использовать альтернативные кредитные инструменты, предполагающие ту или иную схему индексирования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Основной защитой от риска процентной ставки является использование при ипотечном кредитовании такой процентной ставки, которая варьирует с изменением стоимости банковских фондов</w:t>
      </w:r>
      <w:r w:rsidR="00CE3239" w:rsidRPr="00CE3239">
        <w:t xml:space="preserve">. </w:t>
      </w:r>
      <w:r w:rsidRPr="00CE3239">
        <w:t>Применение подобных кредитных инструментов переносит риск процентной ставки с банка на заемщика</w:t>
      </w:r>
      <w:r w:rsidR="00CE3239" w:rsidRPr="00CE3239">
        <w:t xml:space="preserve">. </w:t>
      </w:r>
      <w:r w:rsidRPr="00CE3239">
        <w:t>Кредиты с переменной процентной ставкой могут сочетаться с другими средствами, в частности с отсрочкой процентных платежей при высоком текущем уровне ставки на более поздний этап кредитного периода, когда вероятно, доход заемщика будет больше, а потому ему будет легче справляться с более высокими платежами</w:t>
      </w:r>
      <w:r w:rsidR="00CE3239" w:rsidRPr="00CE3239">
        <w:t xml:space="preserve">. </w:t>
      </w:r>
      <w:r w:rsidRPr="00CE3239">
        <w:t>Подобными инструментами являются</w:t>
      </w:r>
      <w:r w:rsidR="00CE3239" w:rsidRPr="00CE3239">
        <w:t xml:space="preserve">: </w:t>
      </w:r>
      <w:r w:rsidRPr="00CE3239">
        <w:t>кредит с корректировкой на уровень цен</w:t>
      </w:r>
      <w:r w:rsidR="00CE3239">
        <w:t xml:space="preserve"> (</w:t>
      </w:r>
      <w:r w:rsidRPr="00CE3239">
        <w:t>применяется в Колумбии и других латиноамериканских странах</w:t>
      </w:r>
      <w:r w:rsidR="00CE3239" w:rsidRPr="00CE3239">
        <w:t>),</w:t>
      </w:r>
      <w:r w:rsidRPr="00CE3239">
        <w:t xml:space="preserve"> кредит с двойным индексом</w:t>
      </w:r>
      <w:r w:rsidR="00CE3239">
        <w:t xml:space="preserve"> (</w:t>
      </w:r>
      <w:r w:rsidRPr="00CE3239">
        <w:t>применяется в Мексике, Турции, Польше</w:t>
      </w:r>
      <w:r w:rsidR="00CE3239" w:rsidRPr="00CE3239">
        <w:t>),</w:t>
      </w:r>
      <w:r w:rsidRPr="00CE3239">
        <w:t xml:space="preserve"> кредит с отсрочкой платежа</w:t>
      </w:r>
      <w:r w:rsidR="00CE3239">
        <w:t xml:space="preserve"> (</w:t>
      </w:r>
      <w:r w:rsidRPr="00CE3239">
        <w:t>применяется в Венгрии и Австралии</w:t>
      </w:r>
      <w:r w:rsidR="00CE3239" w:rsidRPr="00CE3239">
        <w:t>).</w:t>
      </w:r>
    </w:p>
    <w:p w:rsidR="00CE3239" w:rsidRDefault="00903B95" w:rsidP="00CE3239">
      <w:pPr>
        <w:ind w:firstLine="709"/>
      </w:pPr>
      <w:r w:rsidRPr="00CE3239">
        <w:t xml:space="preserve">Схемы кредитов данных типов предполагают достаточно низкие ставки </w:t>
      </w:r>
      <w:r w:rsidR="00CE3239">
        <w:t>-</w:t>
      </w:r>
      <w:r w:rsidRPr="00CE3239">
        <w:t xml:space="preserve"> от 5 до 20%</w:t>
      </w:r>
      <w:r w:rsidR="00CE3239" w:rsidRPr="00CE3239">
        <w:t xml:space="preserve">. </w:t>
      </w:r>
      <w:r w:rsidRPr="00CE3239">
        <w:t>Это означает, что размер кредита, который может получить заемщик, будет значительно больше, чем при использовании фиксированной или переменной ставки, включающей ожидаемую инфляцию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 случае же использования индексируемых видов кредитных инструментов основная сумма долга индексируется по стоимости банковских фондов, по индексу цен или иному индексу, отражающему изменяющуюся рыночную процентную ставку</w:t>
      </w:r>
      <w:r w:rsidR="00CE3239" w:rsidRPr="00CE3239">
        <w:t xml:space="preserve">. </w:t>
      </w:r>
      <w:r w:rsidRPr="00CE3239">
        <w:t>Ежемесячные выплаты заемщика в таком случае возрастают с течением времени, поскольку процентная ставка накладывается на индексируемую основной задолженности</w:t>
      </w:r>
      <w:r w:rsidR="00CE3239" w:rsidRPr="00CE3239">
        <w:t xml:space="preserve">. </w:t>
      </w:r>
      <w:r w:rsidRPr="00CE3239">
        <w:t>Хотя, если доход заемщика также изменяется в соответствии или почти в соответствии с выбранным индексом, доля дохода, идущая на выплату жилищного кредита, не увеличивается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 России пока, к сожалению, нет того уровня информатизации страны, который, к примеру, имеется в США и совершенно легально используется банками страны для оперативного наведения справок о платежеспособности любого гражданина страны</w:t>
      </w:r>
      <w:r w:rsidR="00CE3239" w:rsidRPr="00CE3239">
        <w:t xml:space="preserve">. </w:t>
      </w:r>
      <w:r w:rsidRPr="00CE3239">
        <w:t>В Российской Федерации мы живем и работаем в условиях весьма далеких от американских, поэтому, дожидаясь, пока автоматизация процессов</w:t>
      </w:r>
      <w:r w:rsidR="00CE3239">
        <w:t xml:space="preserve"> "</w:t>
      </w:r>
      <w:r w:rsidRPr="00CE3239">
        <w:t>андеррайтинга</w:t>
      </w:r>
      <w:r w:rsidR="00CE3239">
        <w:t xml:space="preserve">" </w:t>
      </w:r>
      <w:r w:rsidRPr="00CE3239">
        <w:t>и оценки платежеспособности станут нормой нашей деловой деятельности, можно упустить массу благоприятных возможностей на рынке кредитования</w:t>
      </w:r>
      <w:r w:rsidR="00CE3239" w:rsidRPr="00CE3239">
        <w:t xml:space="preserve">. </w:t>
      </w:r>
      <w:r w:rsidRPr="00CE3239">
        <w:t>Сбербанк в соответствии с существующей ситуацией, в отличие от средних банков, вынужден выставлять ряд более строгих встречных требований к заемщику, выше поднимать планку и ужесточать требования</w:t>
      </w:r>
      <w:r w:rsidR="00CE3239" w:rsidRPr="00CE3239">
        <w:t xml:space="preserve">. </w:t>
      </w:r>
      <w:r w:rsidRPr="00CE3239">
        <w:t>В результате увеличивается количество отказов тем заемщикам, которые не совсем вписываются в эти рамки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Особенностью более мелких банков и одновременно их преимуществом является то, что они готовы работать практически со всем спектром заемщиков, достаточно индивидуально подходить к клиентам</w:t>
      </w:r>
      <w:r w:rsidR="00CE3239" w:rsidRPr="00CE3239">
        <w:t xml:space="preserve">. </w:t>
      </w:r>
      <w:r w:rsidRPr="00CE3239">
        <w:t>Немного внимания хотелось бы уделить судебному вопросу</w:t>
      </w:r>
      <w:r w:rsidR="00CE3239" w:rsidRPr="00CE3239">
        <w:t xml:space="preserve">. </w:t>
      </w:r>
      <w:r w:rsidRPr="00CE3239">
        <w:t>На Западе, где судебная система более совершенна и давно ориентирована на интересы населения живущего в условиях рыночной экономики, Фемида пытается быть беспристрастной и в равной мере служить интересам всех стран, старается объективно рассматривать споры между юридическими и физическими лицами</w:t>
      </w:r>
      <w:r w:rsidR="00CE3239" w:rsidRPr="00CE3239">
        <w:t xml:space="preserve">. </w:t>
      </w:r>
      <w:r w:rsidRPr="00CE3239">
        <w:t>В нашей стране банку-кредитору пока что трудно отстаивать свои интересы в споре с заемщиком, в особенности, если у него многодетная семья</w:t>
      </w:r>
      <w:r w:rsidR="00CE3239" w:rsidRPr="00CE3239">
        <w:t xml:space="preserve">. </w:t>
      </w:r>
      <w:r w:rsidRPr="00CE3239">
        <w:t>Суд пока что особо не интересует то, что встав на сторону многодетного должника, он вынуждает страдать других многочисленных вкладчиков банка, которые могут оказаться самыми простыми и, к тому же, многодетными людьми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Возвращаясь к вопросу о сложности определения платежеспособности индивидуального заемщика, я хотела бы посоветовать кредиторам не уповать на возможность получить достоверные сведения об уровне доходов клиентов с использованием официальных источников информации</w:t>
      </w:r>
      <w:r w:rsidR="00CE3239" w:rsidRPr="00CE3239">
        <w:t xml:space="preserve">. </w:t>
      </w:r>
      <w:r w:rsidRPr="00CE3239">
        <w:t>Эффективнее контролировать и анализировать уровень их расходов</w:t>
      </w:r>
      <w:r w:rsidR="00CE3239" w:rsidRPr="00CE3239">
        <w:t xml:space="preserve">! </w:t>
      </w:r>
      <w:r w:rsidRPr="00CE3239">
        <w:t>Сделать это относительно несложно, если заемщик работает по найму</w:t>
      </w:r>
      <w:r w:rsidR="00CE3239" w:rsidRPr="00CE3239">
        <w:t xml:space="preserve">. </w:t>
      </w:r>
      <w:r w:rsidRPr="00CE3239">
        <w:t>Таким путем вполне возможно определить даже приблизительные средние доходы</w:t>
      </w:r>
      <w:r w:rsidR="00CE3239" w:rsidRPr="00CE3239">
        <w:t xml:space="preserve">. </w:t>
      </w:r>
      <w:r w:rsidRPr="00CE3239">
        <w:t>В настоящее время в этом направлении пытается идти государство</w:t>
      </w:r>
      <w:r w:rsidR="00CE3239" w:rsidRPr="00CE3239">
        <w:t xml:space="preserve">. </w:t>
      </w:r>
      <w:r w:rsidRPr="00CE3239">
        <w:t xml:space="preserve">В случае же, когда заемщик имеет собственное дело, то применяется другой подход </w:t>
      </w:r>
      <w:r w:rsidR="00CE3239">
        <w:t>-</w:t>
      </w:r>
      <w:r w:rsidRPr="00CE3239">
        <w:t xml:space="preserve"> анализируются различные стороны его деятельности на этом принципе, подсчитываются потенциальные доходы и </w:t>
      </w:r>
      <w:r w:rsidR="00CE3239">
        <w:t>т.д.</w:t>
      </w:r>
      <w:r w:rsidR="00CE3239" w:rsidRPr="00CE3239">
        <w:t xml:space="preserve"> </w:t>
      </w:r>
      <w:r w:rsidRPr="00CE3239">
        <w:t>Строго говоря, заемщик может быть не всегда виноват в том, что его работодатель не совсем легально и в срок выплачивает заработную плату, что истинный уровень ее для банковской проверки подтвердить не представляется возможным</w:t>
      </w:r>
      <w:r w:rsidR="00CE3239" w:rsidRPr="00CE3239">
        <w:t xml:space="preserve">. </w:t>
      </w:r>
      <w:r w:rsidRPr="00CE3239">
        <w:t>Это проблема, требующая решения уже в общегосударственном масштабе</w:t>
      </w:r>
      <w:r w:rsidR="00CE3239" w:rsidRPr="00CE3239">
        <w:t>.</w:t>
      </w:r>
    </w:p>
    <w:p w:rsidR="00CE3239" w:rsidRDefault="00903B95" w:rsidP="00CE3239">
      <w:pPr>
        <w:ind w:firstLine="709"/>
      </w:pPr>
      <w:r w:rsidRPr="00CE3239">
        <w:t>Практика показала, что в нынешних условиях заемщиками становятся предприниматели среднего звена, а так же высший руководящий состав крупных фирм, где строго соблюдается легальная сторона бухгалтерского дела и регулярно выплачивается высокая зарплата</w:t>
      </w:r>
      <w:r w:rsidR="00CE3239" w:rsidRPr="00CE3239">
        <w:t xml:space="preserve">. </w:t>
      </w:r>
      <w:r w:rsidRPr="00CE3239">
        <w:t>Замечено, что данная категория заемщиков стремится как можно скорее погасить задолженность банку</w:t>
      </w:r>
      <w:r w:rsidR="00CE3239" w:rsidRPr="00CE3239">
        <w:t>.</w:t>
      </w:r>
    </w:p>
    <w:p w:rsidR="00CE3239" w:rsidRPr="00CE3239" w:rsidRDefault="00CE3239" w:rsidP="00CE3239">
      <w:pPr>
        <w:pStyle w:val="2"/>
        <w:rPr>
          <w:kern w:val="32"/>
        </w:rPr>
      </w:pPr>
      <w:bookmarkStart w:id="69" w:name="_Toc137217845"/>
      <w:r>
        <w:rPr>
          <w:kern w:val="32"/>
        </w:rPr>
        <w:br w:type="page"/>
      </w:r>
      <w:bookmarkStart w:id="70" w:name="_Toc275614967"/>
      <w:r w:rsidR="00FA6B81" w:rsidRPr="00CE3239">
        <w:rPr>
          <w:kern w:val="32"/>
        </w:rPr>
        <w:t>Заключение</w:t>
      </w:r>
      <w:bookmarkEnd w:id="69"/>
      <w:bookmarkEnd w:id="70"/>
    </w:p>
    <w:p w:rsidR="00CE3239" w:rsidRDefault="00CE3239" w:rsidP="00CE3239">
      <w:pPr>
        <w:ind w:firstLine="709"/>
      </w:pPr>
    </w:p>
    <w:p w:rsidR="00CE3239" w:rsidRDefault="00FA6B81" w:rsidP="00CE3239">
      <w:pPr>
        <w:ind w:firstLine="709"/>
      </w:pPr>
      <w:r w:rsidRPr="00CE3239">
        <w:t>Работа по кредитованию начинается с организации договорных отношений банка с клиентом</w:t>
      </w:r>
      <w:r w:rsidR="00CE3239" w:rsidRPr="00CE3239">
        <w:t xml:space="preserve">. </w:t>
      </w:r>
      <w:r w:rsidRPr="00CE3239">
        <w:t>При заключении кредитного договора, который выражает интересы сторон, их обязательства и экономическую ответственность, учреждения банка должны определить возможности экономического влияния через кредит и расчеты на эффективность хозяйствования клиента, банку следует проявить коммерческую заинтересованность в повышении доходности, как клиента, так и самого банка</w:t>
      </w:r>
      <w:r w:rsidR="00CE3239" w:rsidRPr="00CE3239">
        <w:t xml:space="preserve">. </w:t>
      </w:r>
      <w:r w:rsidRPr="00CE3239">
        <w:t>В связи с этим можно определить значение кредитного договора, заключающееся в том, что он позволяет организовать экономические отношения субъектов экономической сделки как равноправных партнеров, имеющих общие экономические интересы по достижению максимального эффекта от кредитуемых хозяйственных операций</w:t>
      </w:r>
      <w:r w:rsidR="00CE3239" w:rsidRPr="00CE3239">
        <w:t xml:space="preserve">. </w:t>
      </w:r>
      <w:r w:rsidRPr="00CE3239">
        <w:t>В условиях действия закона стоимости указанный эффект измеряется прибылью, которую можно рассматривать как интегрированный показатель эффективности банка и удовлетворения потребностей индивидуального заемщика</w:t>
      </w:r>
      <w:r w:rsidR="00CE3239" w:rsidRPr="00CE3239">
        <w:t xml:space="preserve">. </w:t>
      </w:r>
      <w:r w:rsidRPr="00CE3239">
        <w:t>В этой связи важной является предварительная экономическая оценка финансового состояния ссудозаемщика, с учетом которой могут быть более конкретно выражены взаимные обязательства сторон, возможности достижения прочного финансового состояния, обеспечения возвратности кредита</w:t>
      </w:r>
      <w:r w:rsidR="00CE3239" w:rsidRPr="00CE3239">
        <w:t>.</w:t>
      </w:r>
    </w:p>
    <w:p w:rsidR="00CE3239" w:rsidRDefault="00FA6B81" w:rsidP="00CE3239">
      <w:pPr>
        <w:ind w:firstLine="709"/>
      </w:pPr>
      <w:r w:rsidRPr="00CE3239">
        <w:t>Поэтому тщательный отбор заемщиков и постоянный контроль за их финансовым состоянием составляет основу в кредитной политике банка</w:t>
      </w:r>
      <w:r w:rsidR="00CE3239" w:rsidRPr="00CE3239">
        <w:t xml:space="preserve">. </w:t>
      </w:r>
      <w:r w:rsidRPr="00CE3239">
        <w:t>С переходом к рыночным отношениям возникла необходимость анализа кредитоспособности заемщика</w:t>
      </w:r>
      <w:r w:rsidR="00CE3239" w:rsidRPr="00CE3239">
        <w:t>.</w:t>
      </w:r>
    </w:p>
    <w:p w:rsidR="00CE3239" w:rsidRDefault="00FA6B81" w:rsidP="00CE3239">
      <w:pPr>
        <w:ind w:firstLine="709"/>
      </w:pPr>
      <w:r w:rsidRPr="00CE3239">
        <w:t>Анализ финансового состояния индивидуальных ссудозаемщиков осуществляется на основе среднего заработка</w:t>
      </w:r>
      <w:r w:rsidR="00CE3239" w:rsidRPr="00CE3239">
        <w:t xml:space="preserve">. </w:t>
      </w:r>
      <w:r w:rsidRPr="00CE3239">
        <w:t>При этом важную роль играет моральный облик клиента, его репутация и история предыдущих кредитных отношений клиента с этим банком</w:t>
      </w:r>
      <w:r w:rsidR="00CE3239" w:rsidRPr="00CE3239">
        <w:t>.</w:t>
      </w:r>
    </w:p>
    <w:p w:rsidR="00CE3239" w:rsidRDefault="00FA6B81" w:rsidP="00CE3239">
      <w:pPr>
        <w:ind w:firstLine="709"/>
      </w:pPr>
      <w:r w:rsidRPr="00CE3239">
        <w:t>Кредитоспособность заемщика прогнозирует его платежеспособность на ближайшую перспективу</w:t>
      </w:r>
      <w:r w:rsidR="00CE3239" w:rsidRPr="00CE3239">
        <w:t xml:space="preserve">. </w:t>
      </w:r>
      <w:r w:rsidRPr="00CE3239">
        <w:t>А между тем все показатели кредитоспособности, применяемые на практике, обращены в прошлое, так как рассчитываются по данным за истекшие периоды, что приводит к ограниченности значения данных показателей</w:t>
      </w:r>
      <w:r w:rsidR="00CE3239" w:rsidRPr="00CE3239">
        <w:t xml:space="preserve">. </w:t>
      </w:r>
      <w:r w:rsidRPr="00CE3239">
        <w:t>Дополнительные сложности в определении кредитоспособности возникают в связи с существованием таких ее факторов, измерить и оценить значение которых в цифрах невозможно</w:t>
      </w:r>
      <w:r w:rsidR="00CE3239" w:rsidRPr="00CE3239">
        <w:t xml:space="preserve">. </w:t>
      </w:r>
      <w:r w:rsidRPr="00CE3239">
        <w:t>Это касается в первую очередь морального облика, репутации заемщика, хотя и не только их</w:t>
      </w:r>
      <w:r w:rsidR="00CE3239" w:rsidRPr="00CE3239">
        <w:t xml:space="preserve">. </w:t>
      </w:r>
      <w:r w:rsidRPr="00CE3239">
        <w:t>Кроме того, не отработаны качественные и действующие методики определения кредитоспособности и добросовестности заемщика по косвенным признакам</w:t>
      </w:r>
      <w:r w:rsidR="00CE3239" w:rsidRPr="00CE3239">
        <w:t xml:space="preserve">. </w:t>
      </w:r>
      <w:r w:rsidRPr="00CE3239">
        <w:t>Да, на Западе применяется специальная скоринговая система тестирования, которая настроена на выявление нескольких параметров</w:t>
      </w:r>
      <w:r w:rsidR="00CE3239" w:rsidRPr="00CE3239">
        <w:t xml:space="preserve">: </w:t>
      </w:r>
      <w:r w:rsidRPr="00CE3239">
        <w:t>размера, стабильности дохода клиента, на его кредитную историю</w:t>
      </w:r>
      <w:r w:rsidR="00CE3239" w:rsidRPr="00CE3239">
        <w:t xml:space="preserve">. </w:t>
      </w:r>
      <w:r w:rsidRPr="00CE3239">
        <w:t>Но в России это не работает</w:t>
      </w:r>
      <w:r w:rsidR="00CE3239" w:rsidRPr="00CE3239">
        <w:t xml:space="preserve">! </w:t>
      </w:r>
      <w:r w:rsidRPr="00CE3239">
        <w:t>Как правило, люди не декларируют полностью свои доходы</w:t>
      </w:r>
      <w:r w:rsidR="00CE3239" w:rsidRPr="00CE3239">
        <w:t xml:space="preserve">. </w:t>
      </w:r>
      <w:r w:rsidRPr="00CE3239">
        <w:t>Кредитных историй тоже нет</w:t>
      </w:r>
      <w:r w:rsidR="00CE3239" w:rsidRPr="00CE3239">
        <w:t xml:space="preserve">. </w:t>
      </w:r>
      <w:r w:rsidRPr="00CE3239">
        <w:t>В России, к сожалению, нет того уровня автоматизации страны, который, к примеру, имеется в США и совершенно легально используется банками страны для оперативного наведения справок о платежеспособности любого гражданина страны</w:t>
      </w:r>
      <w:r w:rsidR="00CE3239" w:rsidRPr="00CE3239">
        <w:t>.</w:t>
      </w:r>
    </w:p>
    <w:p w:rsidR="00E96754" w:rsidRDefault="00FA6B81" w:rsidP="00CE3239">
      <w:pPr>
        <w:ind w:firstLine="709"/>
      </w:pPr>
      <w:r w:rsidRPr="00CE3239">
        <w:t>Решению вопроса сложности определения кредитоспособности индивидуального ссудозаемщика, по моему мнению, поможет создание кредитных бюро</w:t>
      </w:r>
      <w:r w:rsidR="00CE3239" w:rsidRPr="00CE3239">
        <w:t xml:space="preserve">. </w:t>
      </w:r>
      <w:r w:rsidRPr="00CE3239">
        <w:t>В настоящее время Банком России рассматриваются вопросы о создании кредитных бюро, в которых бы аккумулировалась информация о финансовом состоянии заемщиков и их кредитной истории</w:t>
      </w:r>
      <w:r w:rsidR="00CE3239" w:rsidRPr="00CE3239">
        <w:t xml:space="preserve">. </w:t>
      </w:r>
      <w:r w:rsidRPr="00CE3239">
        <w:t>Также я хотела бы посоветовать банкам не уповать на возможность получить достоверные сведения об уровне доходов клиентов с использованием официальных источников информации</w:t>
      </w:r>
      <w:r w:rsidR="00CE3239" w:rsidRPr="00CE3239">
        <w:t xml:space="preserve">. </w:t>
      </w:r>
      <w:r w:rsidRPr="00CE3239">
        <w:t>Эффективнее контролировать и анализировать уровень их расходов</w:t>
      </w:r>
      <w:r w:rsidR="00CE3239" w:rsidRPr="00CE3239">
        <w:t xml:space="preserve">! </w:t>
      </w:r>
      <w:r w:rsidRPr="00CE3239">
        <w:t>Наконец, значительные сложности порождаются инфляцией, искажающей показатели, характеризующие возможности погашения ссудной задолженности</w:t>
      </w:r>
      <w:r w:rsidR="00CE3239" w:rsidRPr="00CE3239">
        <w:t>.</w:t>
      </w:r>
    </w:p>
    <w:p w:rsidR="00CE3239" w:rsidRPr="00CE3239" w:rsidRDefault="00E96754" w:rsidP="00E96754">
      <w:pPr>
        <w:pStyle w:val="2"/>
        <w:rPr>
          <w:kern w:val="32"/>
        </w:rPr>
      </w:pPr>
      <w:r>
        <w:br w:type="page"/>
      </w:r>
      <w:bookmarkStart w:id="71" w:name="_Toc137217846"/>
      <w:bookmarkStart w:id="72" w:name="_Toc275614968"/>
      <w:r w:rsidR="00FA6B81" w:rsidRPr="00CE3239">
        <w:rPr>
          <w:kern w:val="32"/>
        </w:rPr>
        <w:t>Список литературы</w:t>
      </w:r>
      <w:bookmarkEnd w:id="71"/>
      <w:bookmarkEnd w:id="72"/>
    </w:p>
    <w:p w:rsidR="00CE3239" w:rsidRDefault="00CE3239" w:rsidP="00CE3239">
      <w:pPr>
        <w:ind w:firstLine="709"/>
      </w:pPr>
    </w:p>
    <w:p w:rsidR="00CE3239" w:rsidRDefault="00FA6B81" w:rsidP="00CE3239">
      <w:pPr>
        <w:pStyle w:val="a"/>
      </w:pPr>
      <w:r w:rsidRPr="00CE3239">
        <w:t>О Центральном банке РФ</w:t>
      </w:r>
      <w:r w:rsidR="00CE3239">
        <w:t xml:space="preserve"> (</w:t>
      </w:r>
      <w:r w:rsidRPr="00CE3239">
        <w:t>Банке России</w:t>
      </w:r>
      <w:r w:rsidR="00CE3239" w:rsidRPr="00CE3239">
        <w:t xml:space="preserve">). </w:t>
      </w:r>
      <w:r w:rsidRPr="00CE3239">
        <w:t xml:space="preserve">Федеральный закон РФ от </w:t>
      </w:r>
      <w:r w:rsidR="00CE3239">
        <w:t>2.12.9</w:t>
      </w:r>
      <w:r w:rsidRPr="00CE3239">
        <w:t>6 г</w:t>
      </w:r>
      <w:r w:rsidR="00CE3239" w:rsidRPr="00CE3239">
        <w:t xml:space="preserve">. </w:t>
      </w:r>
      <w:r w:rsidRPr="00CE3239">
        <w:t>№394-1</w:t>
      </w:r>
      <w:r w:rsidR="00CE3239">
        <w:t xml:space="preserve"> (</w:t>
      </w:r>
      <w:r w:rsidRPr="00CE3239">
        <w:t>в редакции Федерального закона РФ от 26</w:t>
      </w:r>
      <w:r w:rsidR="00CE3239">
        <w:t>.0</w:t>
      </w:r>
      <w:r w:rsidRPr="00CE3239">
        <w:t>4</w:t>
      </w:r>
      <w:r w:rsidR="00CE3239">
        <w:t>.0</w:t>
      </w:r>
      <w:r w:rsidRPr="00CE3239">
        <w:t>5г</w:t>
      </w:r>
      <w:r w:rsidR="00CE3239" w:rsidRPr="00CE3239">
        <w:t xml:space="preserve">. </w:t>
      </w:r>
      <w:r w:rsidRPr="00CE3239">
        <w:t>№65-ФЗ</w:t>
      </w:r>
      <w:r w:rsidR="00CE3239" w:rsidRPr="00CE3239">
        <w:t xml:space="preserve">; </w:t>
      </w:r>
      <w:r w:rsidRPr="00CE3239">
        <w:t>от 20</w:t>
      </w:r>
      <w:r w:rsidR="00CE3239">
        <w:t>.0</w:t>
      </w:r>
      <w:r w:rsidRPr="00CE3239">
        <w:t>6</w:t>
      </w:r>
      <w:r w:rsidR="00CE3239">
        <w:t>.0</w:t>
      </w:r>
      <w:r w:rsidRPr="00CE3239">
        <w:t>5г</w:t>
      </w:r>
      <w:r w:rsidR="00CE3239" w:rsidRPr="00CE3239">
        <w:t xml:space="preserve">. </w:t>
      </w:r>
      <w:r w:rsidRPr="00CE3239">
        <w:t>№80-ФЗ</w:t>
      </w:r>
      <w:r w:rsidR="00CE3239" w:rsidRPr="00CE3239">
        <w:t>).</w:t>
      </w:r>
    </w:p>
    <w:p w:rsidR="00CE3239" w:rsidRDefault="00FA6B81" w:rsidP="00CE3239">
      <w:pPr>
        <w:pStyle w:val="a"/>
      </w:pPr>
      <w:r w:rsidRPr="00CE3239">
        <w:t>Агласов А</w:t>
      </w:r>
      <w:r w:rsidR="00CE3239">
        <w:t xml:space="preserve">.И. </w:t>
      </w:r>
      <w:r w:rsidRPr="00CE3239">
        <w:t>Активные операции коммерческих банков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Консалтбанкир,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Адибеков М</w:t>
      </w:r>
      <w:r w:rsidR="00CE3239">
        <w:t xml:space="preserve">.Г. </w:t>
      </w:r>
      <w:r w:rsidRPr="00CE3239">
        <w:t>Кредитные операции</w:t>
      </w:r>
      <w:r w:rsidR="00CE3239" w:rsidRPr="00CE3239">
        <w:t xml:space="preserve">: </w:t>
      </w:r>
      <w:r w:rsidRPr="00CE3239">
        <w:t>классификация, порядок применения и учет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Консалтбанкир,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Антонов Н</w:t>
      </w:r>
      <w:r w:rsidR="00CE3239">
        <w:t xml:space="preserve">.Г. </w:t>
      </w:r>
      <w:r w:rsidRPr="00CE3239">
        <w:t>Денежное обращение, кредит и банки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Финстатинформ,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Ачкасов А</w:t>
      </w:r>
      <w:r w:rsidR="00CE3239">
        <w:t xml:space="preserve">.И. </w:t>
      </w:r>
      <w:r w:rsidRPr="00CE3239">
        <w:t>Активные операции коммерческих банков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Консалтбанкир, 2004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Банки и банковские операции / Под ред</w:t>
      </w:r>
      <w:r w:rsidR="00CE3239" w:rsidRPr="00CE3239">
        <w:t xml:space="preserve">. </w:t>
      </w:r>
      <w:r w:rsidRPr="00CE3239">
        <w:t>Е</w:t>
      </w:r>
      <w:r w:rsidR="00CE3239">
        <w:t xml:space="preserve">.Ф. </w:t>
      </w:r>
      <w:r w:rsidRPr="00CE3239">
        <w:t>Жукова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ЮНИТИ,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Банки и банковские операции / Под ред</w:t>
      </w:r>
      <w:r w:rsidR="00CE3239" w:rsidRPr="00CE3239">
        <w:t xml:space="preserve">. </w:t>
      </w:r>
      <w:r w:rsidRPr="00CE3239">
        <w:t>Е</w:t>
      </w:r>
      <w:r w:rsidR="00CE3239">
        <w:t xml:space="preserve">.Ф. </w:t>
      </w:r>
      <w:r w:rsidRPr="00CE3239">
        <w:t>Жукова, Л</w:t>
      </w:r>
      <w:r w:rsidR="00CE3239">
        <w:t xml:space="preserve">.М. </w:t>
      </w:r>
      <w:r w:rsidRPr="00CE3239">
        <w:t>Максимова и др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ЮНИТИ,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Банковское дело / Под ред</w:t>
      </w:r>
      <w:r w:rsidR="00CE3239">
        <w:t>.</w:t>
      </w:r>
      <w:r w:rsidR="00E96754">
        <w:t xml:space="preserve"> </w:t>
      </w:r>
      <w:r w:rsidR="00CE3239">
        <w:t xml:space="preserve">В. </w:t>
      </w:r>
      <w:r w:rsidRPr="00CE3239">
        <w:t>Колесникова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Финансы и статистика, 2006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Банковская система России</w:t>
      </w:r>
      <w:r w:rsidR="00CE3239" w:rsidRPr="00CE3239">
        <w:t xml:space="preserve">. </w:t>
      </w:r>
      <w:r w:rsidRPr="00CE3239">
        <w:t>Настольная книга банкира</w:t>
      </w:r>
      <w:r w:rsidR="00CE3239" w:rsidRPr="00CE3239">
        <w:t xml:space="preserve">. </w:t>
      </w:r>
      <w:r w:rsidRPr="00CE3239">
        <w:t>Кн</w:t>
      </w:r>
      <w:r w:rsidR="00CE3239">
        <w:t>.1</w:t>
      </w:r>
      <w:r w:rsidRPr="00CE3239">
        <w:t xml:space="preserve">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Дека, 2006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Банковское кредитование</w:t>
      </w:r>
      <w:r w:rsidR="00CE3239" w:rsidRPr="00CE3239">
        <w:t xml:space="preserve">: </w:t>
      </w:r>
      <w:r w:rsidRPr="00CE3239">
        <w:t>российский и зарубежный опыт / Под ред</w:t>
      </w:r>
      <w:r w:rsidR="00CE3239">
        <w:t>.</w:t>
      </w:r>
      <w:r w:rsidR="00E96754">
        <w:t xml:space="preserve"> </w:t>
      </w:r>
      <w:r w:rsidR="00CE3239">
        <w:t xml:space="preserve">Е.Г. </w:t>
      </w:r>
      <w:r w:rsidRPr="00CE3239">
        <w:t>Ищенко, В</w:t>
      </w:r>
      <w:r w:rsidR="00CE3239">
        <w:t xml:space="preserve">.И. </w:t>
      </w:r>
      <w:r w:rsidRPr="00CE3239">
        <w:t>Алексеева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Русская Деловая Литература,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Белых Л</w:t>
      </w:r>
      <w:r w:rsidR="00CE3239">
        <w:t xml:space="preserve">.П. </w:t>
      </w:r>
      <w:r w:rsidRPr="00CE3239">
        <w:t>Устойчивость коммерческих банков</w:t>
      </w:r>
      <w:r w:rsidR="00CE3239" w:rsidRPr="00CE3239">
        <w:t xml:space="preserve">. </w:t>
      </w:r>
      <w:r w:rsidRPr="00CE3239">
        <w:t>Как банкам избежать банкротства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ЮНИТИ, 2006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Бор М</w:t>
      </w:r>
      <w:r w:rsidR="00CE3239">
        <w:t xml:space="preserve">.З., </w:t>
      </w:r>
      <w:r w:rsidRPr="00CE3239">
        <w:t>Пятенко В</w:t>
      </w:r>
      <w:r w:rsidR="00CE3239">
        <w:t xml:space="preserve">.В. </w:t>
      </w:r>
      <w:r w:rsidRPr="00CE3239">
        <w:t>Стратегия управления банковской деятельностью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Пиор,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Велисаева Т</w:t>
      </w:r>
      <w:r w:rsidR="00CE3239">
        <w:t xml:space="preserve">.С. </w:t>
      </w:r>
      <w:r w:rsidRPr="00CE3239">
        <w:t>Банковские риски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Дело,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Волынская В</w:t>
      </w:r>
      <w:r w:rsidR="00CE3239">
        <w:t xml:space="preserve">.С. </w:t>
      </w:r>
      <w:r w:rsidRPr="00CE3239">
        <w:t>Кредит в условиях современного капитализма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Финансы и статистика, 2001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Денежное обращение и кредит капиталистических стран / Под ред</w:t>
      </w:r>
      <w:r w:rsidR="00CE3239">
        <w:t>.</w:t>
      </w:r>
      <w:r w:rsidR="00E96754">
        <w:t xml:space="preserve"> </w:t>
      </w:r>
      <w:r w:rsidR="00CE3239">
        <w:t xml:space="preserve">Л.Н. </w:t>
      </w:r>
      <w:r w:rsidRPr="00CE3239">
        <w:t>Красавиной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Финансы и статистика, 2003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Деньги и кредит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Управление статистики ЦБ РФ, 2005</w:t>
      </w:r>
      <w:r w:rsidR="00CE3239" w:rsidRPr="00CE3239">
        <w:t>.</w:t>
      </w:r>
    </w:p>
    <w:p w:rsidR="00CE3239" w:rsidRDefault="00FA6B81" w:rsidP="00CE3239">
      <w:pPr>
        <w:pStyle w:val="a"/>
      </w:pPr>
      <w:r w:rsidRPr="00CE3239">
        <w:t>Долан Э</w:t>
      </w:r>
      <w:r w:rsidR="00CE3239" w:rsidRPr="00CE3239">
        <w:t xml:space="preserve">. </w:t>
      </w:r>
      <w:r w:rsidRPr="00CE3239">
        <w:t>Дж</w:t>
      </w:r>
      <w:r w:rsidR="00CE3239" w:rsidRPr="00CE3239">
        <w:t xml:space="preserve">. </w:t>
      </w:r>
      <w:r w:rsidRPr="00CE3239">
        <w:t>Деньги, банковское дело и денежно-кредитная политика</w:t>
      </w:r>
      <w:r w:rsidR="00CE3239" w:rsidRPr="00CE3239">
        <w:t xml:space="preserve">. </w:t>
      </w:r>
      <w:r w:rsidR="00CE3239">
        <w:t>-</w:t>
      </w:r>
      <w:r w:rsidRPr="00CE3239">
        <w:t xml:space="preserve"> М</w:t>
      </w:r>
      <w:r w:rsidR="00CE3239">
        <w:t>.:</w:t>
      </w:r>
      <w:r w:rsidR="00CE3239" w:rsidRPr="00CE3239">
        <w:t xml:space="preserve"> </w:t>
      </w:r>
      <w:r w:rsidRPr="00CE3239">
        <w:t>Профико, 2001</w:t>
      </w:r>
      <w:r w:rsidR="00CE3239" w:rsidRPr="00CE3239">
        <w:t>.</w:t>
      </w:r>
    </w:p>
    <w:p w:rsidR="00903B95" w:rsidRPr="00CE3239" w:rsidRDefault="00903B95" w:rsidP="00CE3239">
      <w:pPr>
        <w:ind w:firstLine="709"/>
      </w:pPr>
      <w:bookmarkStart w:id="73" w:name="_GoBack"/>
      <w:bookmarkEnd w:id="73"/>
    </w:p>
    <w:sectPr w:rsidR="00903B95" w:rsidRPr="00CE3239" w:rsidSect="00CE323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C6" w:rsidRDefault="00B061C6">
      <w:pPr>
        <w:ind w:firstLine="709"/>
      </w:pPr>
      <w:r>
        <w:separator/>
      </w:r>
    </w:p>
  </w:endnote>
  <w:endnote w:type="continuationSeparator" w:id="0">
    <w:p w:rsidR="00B061C6" w:rsidRDefault="00B061C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39" w:rsidRDefault="00CE3239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39" w:rsidRDefault="00CE3239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C6" w:rsidRDefault="00B061C6">
      <w:pPr>
        <w:ind w:firstLine="709"/>
      </w:pPr>
      <w:r>
        <w:separator/>
      </w:r>
    </w:p>
  </w:footnote>
  <w:footnote w:type="continuationSeparator" w:id="0">
    <w:p w:rsidR="00B061C6" w:rsidRDefault="00B061C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81" w:rsidRDefault="00FF5098" w:rsidP="003E446B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FA6B81" w:rsidRDefault="00FA6B81" w:rsidP="00FA6B81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39" w:rsidRDefault="00CE323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22B4D"/>
    <w:multiLevelType w:val="hybridMultilevel"/>
    <w:tmpl w:val="A7DC3BE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01C337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5467943"/>
    <w:multiLevelType w:val="hybridMultilevel"/>
    <w:tmpl w:val="945035E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069E121D"/>
    <w:multiLevelType w:val="singleLevel"/>
    <w:tmpl w:val="FED4B57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F93B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C285CC7"/>
    <w:multiLevelType w:val="hybridMultilevel"/>
    <w:tmpl w:val="87428DD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065AB2"/>
    <w:multiLevelType w:val="multilevel"/>
    <w:tmpl w:val="15C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F1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5AA77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C425DE8"/>
    <w:multiLevelType w:val="hybridMultilevel"/>
    <w:tmpl w:val="9AF2D226"/>
    <w:lvl w:ilvl="0" w:tplc="FFFFFFF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2">
    <w:nsid w:val="432D60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45394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65C6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4B0F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72493762"/>
    <w:multiLevelType w:val="hybridMultilevel"/>
    <w:tmpl w:val="F140BA4C"/>
    <w:lvl w:ilvl="0" w:tplc="FFFFFFF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8">
    <w:nsid w:val="75A877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2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2"/>
  </w:num>
  <w:num w:numId="8">
    <w:abstractNumId w:val="17"/>
  </w:num>
  <w:num w:numId="9">
    <w:abstractNumId w:val="3"/>
  </w:num>
  <w:num w:numId="10">
    <w:abstractNumId w:val="1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Symbol" w:hint="default"/>
        </w:rPr>
      </w:lvl>
    </w:lvlOverride>
  </w:num>
  <w:num w:numId="13">
    <w:abstractNumId w:val="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353" w:hanging="927"/>
        </w:pPr>
      </w:lvl>
    </w:lvlOverride>
  </w:num>
  <w:num w:numId="16">
    <w:abstractNumId w:val="10"/>
  </w:num>
  <w:num w:numId="17">
    <w:abstractNumId w:val="18"/>
  </w:num>
  <w:num w:numId="18">
    <w:abstractNumId w:val="9"/>
  </w:num>
  <w:num w:numId="19">
    <w:abstractNumId w:val="13"/>
  </w:num>
  <w:num w:numId="20">
    <w:abstractNumId w:val="11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1053C6"/>
    <w:rsid w:val="00164DF8"/>
    <w:rsid w:val="002359E2"/>
    <w:rsid w:val="002B2851"/>
    <w:rsid w:val="003238BB"/>
    <w:rsid w:val="003638C6"/>
    <w:rsid w:val="003E446B"/>
    <w:rsid w:val="00496514"/>
    <w:rsid w:val="00520F27"/>
    <w:rsid w:val="00664BC2"/>
    <w:rsid w:val="00713D89"/>
    <w:rsid w:val="00864525"/>
    <w:rsid w:val="00903B95"/>
    <w:rsid w:val="009F35D4"/>
    <w:rsid w:val="00B061C6"/>
    <w:rsid w:val="00B70DE0"/>
    <w:rsid w:val="00C65F38"/>
    <w:rsid w:val="00CE3239"/>
    <w:rsid w:val="00E96754"/>
    <w:rsid w:val="00FA6B81"/>
    <w:rsid w:val="00FF2CE2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EAD71BA-388B-4F97-9F7D-8227854C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E323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E323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E323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E323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E323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E323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E323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E323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E323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CE3239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CE323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E3239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customStyle="1" w:styleId="22">
    <w:name w:val="заголовок 2"/>
    <w:basedOn w:val="a0"/>
    <w:next w:val="a0"/>
    <w:uiPriority w:val="99"/>
    <w:rsid w:val="00903B95"/>
    <w:pPr>
      <w:keepNext/>
      <w:autoSpaceDE w:val="0"/>
      <w:autoSpaceDN w:val="0"/>
      <w:ind w:firstLine="0"/>
      <w:jc w:val="center"/>
      <w:outlineLvl w:val="1"/>
    </w:pPr>
  </w:style>
  <w:style w:type="paragraph" w:styleId="23">
    <w:name w:val="Body Text 2"/>
    <w:basedOn w:val="a0"/>
    <w:link w:val="24"/>
    <w:uiPriority w:val="99"/>
    <w:rsid w:val="00903B95"/>
    <w:rPr>
      <w:sz w:val="26"/>
      <w:szCs w:val="26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5">
    <w:name w:val="Body Text"/>
    <w:basedOn w:val="a0"/>
    <w:link w:val="a6"/>
    <w:uiPriority w:val="99"/>
    <w:rsid w:val="00CE3239"/>
    <w:pPr>
      <w:ind w:firstLine="709"/>
    </w:pPr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styleId="a7">
    <w:name w:val="Body Text Indent"/>
    <w:basedOn w:val="a0"/>
    <w:link w:val="a8"/>
    <w:uiPriority w:val="99"/>
    <w:rsid w:val="00CE3239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25">
    <w:name w:val="Body Text Indent 2"/>
    <w:basedOn w:val="a0"/>
    <w:link w:val="26"/>
    <w:uiPriority w:val="99"/>
    <w:rsid w:val="00903B95"/>
    <w:pPr>
      <w:jc w:val="left"/>
    </w:pPr>
    <w:rPr>
      <w:color w:val="000000"/>
      <w:sz w:val="26"/>
      <w:szCs w:val="26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3"/>
    <w:basedOn w:val="a0"/>
    <w:link w:val="33"/>
    <w:uiPriority w:val="99"/>
    <w:rsid w:val="00903B95"/>
    <w:pPr>
      <w:spacing w:after="120"/>
      <w:ind w:firstLine="709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character" w:styleId="a9">
    <w:name w:val="Emphasis"/>
    <w:uiPriority w:val="99"/>
    <w:qFormat/>
    <w:rsid w:val="00903B95"/>
    <w:rPr>
      <w:i/>
      <w:iCs/>
    </w:rPr>
  </w:style>
  <w:style w:type="character" w:styleId="aa">
    <w:name w:val="Hyperlink"/>
    <w:uiPriority w:val="99"/>
    <w:rsid w:val="00903B95"/>
    <w:rPr>
      <w:color w:val="0000FF"/>
      <w:u w:val="single"/>
    </w:rPr>
  </w:style>
  <w:style w:type="paragraph" w:styleId="ab">
    <w:name w:val="Normal Indent"/>
    <w:basedOn w:val="a0"/>
    <w:uiPriority w:val="99"/>
    <w:rsid w:val="00903B95"/>
    <w:pPr>
      <w:widowControl w:val="0"/>
      <w:tabs>
        <w:tab w:val="left" w:pos="1418"/>
      </w:tabs>
      <w:spacing w:line="480" w:lineRule="atLeast"/>
      <w:ind w:firstLine="709"/>
    </w:pPr>
    <w:rPr>
      <w:kern w:val="20"/>
    </w:rPr>
  </w:style>
  <w:style w:type="paragraph" w:customStyle="1" w:styleId="BodyText21">
    <w:name w:val="Body Text 21"/>
    <w:basedOn w:val="a0"/>
    <w:uiPriority w:val="99"/>
    <w:rsid w:val="00903B95"/>
    <w:pPr>
      <w:autoSpaceDE w:val="0"/>
      <w:autoSpaceDN w:val="0"/>
      <w:ind w:firstLine="567"/>
    </w:pPr>
  </w:style>
  <w:style w:type="paragraph" w:styleId="ac">
    <w:name w:val="caption"/>
    <w:basedOn w:val="a0"/>
    <w:next w:val="a0"/>
    <w:uiPriority w:val="99"/>
    <w:qFormat/>
    <w:rsid w:val="00903B95"/>
    <w:pPr>
      <w:autoSpaceDE w:val="0"/>
      <w:autoSpaceDN w:val="0"/>
      <w:ind w:firstLine="0"/>
      <w:jc w:val="right"/>
    </w:pPr>
  </w:style>
  <w:style w:type="paragraph" w:styleId="41">
    <w:name w:val="toc 4"/>
    <w:basedOn w:val="a0"/>
    <w:next w:val="a0"/>
    <w:autoRedefine/>
    <w:uiPriority w:val="99"/>
    <w:semiHidden/>
    <w:rsid w:val="00CE323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E3239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903B95"/>
    <w:pPr>
      <w:ind w:left="1400" w:firstLine="709"/>
    </w:pPr>
  </w:style>
  <w:style w:type="paragraph" w:styleId="71">
    <w:name w:val="toc 7"/>
    <w:basedOn w:val="a0"/>
    <w:next w:val="a0"/>
    <w:autoRedefine/>
    <w:uiPriority w:val="99"/>
    <w:semiHidden/>
    <w:rsid w:val="00903B95"/>
    <w:pPr>
      <w:ind w:left="1680" w:firstLine="709"/>
    </w:pPr>
  </w:style>
  <w:style w:type="paragraph" w:styleId="81">
    <w:name w:val="toc 8"/>
    <w:basedOn w:val="a0"/>
    <w:next w:val="a0"/>
    <w:autoRedefine/>
    <w:uiPriority w:val="99"/>
    <w:semiHidden/>
    <w:rsid w:val="00903B95"/>
    <w:pPr>
      <w:ind w:left="1960" w:firstLine="709"/>
    </w:pPr>
  </w:style>
  <w:style w:type="paragraph" w:styleId="9">
    <w:name w:val="toc 9"/>
    <w:basedOn w:val="a0"/>
    <w:next w:val="a0"/>
    <w:autoRedefine/>
    <w:uiPriority w:val="99"/>
    <w:semiHidden/>
    <w:rsid w:val="00903B95"/>
    <w:pPr>
      <w:ind w:left="2240" w:firstLine="709"/>
    </w:pPr>
  </w:style>
  <w:style w:type="paragraph" w:customStyle="1" w:styleId="14">
    <w:name w:val="заголовок 1"/>
    <w:basedOn w:val="a0"/>
    <w:next w:val="a0"/>
    <w:uiPriority w:val="99"/>
    <w:rsid w:val="00FA6B81"/>
    <w:pPr>
      <w:keepNext/>
      <w:autoSpaceDE w:val="0"/>
      <w:autoSpaceDN w:val="0"/>
      <w:spacing w:line="240" w:lineRule="auto"/>
      <w:ind w:firstLine="0"/>
      <w:jc w:val="left"/>
    </w:pPr>
    <w:rPr>
      <w:lang w:val="en-US"/>
    </w:rPr>
  </w:style>
  <w:style w:type="paragraph" w:styleId="ad">
    <w:name w:val="header"/>
    <w:basedOn w:val="a0"/>
    <w:next w:val="a5"/>
    <w:link w:val="ae"/>
    <w:uiPriority w:val="99"/>
    <w:rsid w:val="00CE323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CE3239"/>
    <w:rPr>
      <w:vertAlign w:val="superscript"/>
    </w:rPr>
  </w:style>
  <w:style w:type="character" w:styleId="af0">
    <w:name w:val="page number"/>
    <w:uiPriority w:val="99"/>
    <w:rsid w:val="00CE3239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0"/>
    <w:uiPriority w:val="99"/>
    <w:rsid w:val="00CE3239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15">
    <w:name w:val="Table Grid 1"/>
    <w:basedOn w:val="a2"/>
    <w:uiPriority w:val="99"/>
    <w:rsid w:val="00B70DE0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alloon Text"/>
    <w:basedOn w:val="a0"/>
    <w:link w:val="af3"/>
    <w:uiPriority w:val="99"/>
    <w:semiHidden/>
    <w:rsid w:val="003238BB"/>
    <w:pPr>
      <w:ind w:firstLine="709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Знак1"/>
    <w:link w:val="af4"/>
    <w:uiPriority w:val="99"/>
    <w:locked/>
    <w:rsid w:val="00CE323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0"/>
    <w:link w:val="16"/>
    <w:uiPriority w:val="99"/>
    <w:rsid w:val="00CE323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CE3239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CE323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E3239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+номерация"/>
    <w:basedOn w:val="a0"/>
    <w:next w:val="a0"/>
    <w:autoRedefine/>
    <w:uiPriority w:val="99"/>
    <w:rsid w:val="00CE3239"/>
    <w:pPr>
      <w:ind w:firstLine="0"/>
    </w:pPr>
  </w:style>
  <w:style w:type="paragraph" w:customStyle="1" w:styleId="af8">
    <w:name w:val="литера"/>
    <w:uiPriority w:val="99"/>
    <w:rsid w:val="00CE323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CE3239"/>
    <w:rPr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CE3239"/>
    <w:pPr>
      <w:ind w:firstLine="709"/>
    </w:pPr>
  </w:style>
  <w:style w:type="paragraph" w:styleId="34">
    <w:name w:val="Body Text Indent 3"/>
    <w:basedOn w:val="a0"/>
    <w:link w:val="35"/>
    <w:uiPriority w:val="99"/>
    <w:rsid w:val="00CE323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b">
    <w:name w:val="Table Grid"/>
    <w:basedOn w:val="a2"/>
    <w:uiPriority w:val="99"/>
    <w:rsid w:val="00CE32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CE32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E3239"/>
    <w:pPr>
      <w:numPr>
        <w:numId w:val="22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CE323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E323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E32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E3239"/>
    <w:rPr>
      <w:i/>
      <w:iCs/>
    </w:rPr>
  </w:style>
  <w:style w:type="table" w:customStyle="1" w:styleId="17">
    <w:name w:val="Стиль таблицы1"/>
    <w:uiPriority w:val="99"/>
    <w:rsid w:val="00CE323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E3239"/>
    <w:pPr>
      <w:jc w:val="center"/>
    </w:pPr>
  </w:style>
  <w:style w:type="paragraph" w:customStyle="1" w:styleId="afe">
    <w:name w:val="ТАБЛИЦА"/>
    <w:next w:val="a0"/>
    <w:autoRedefine/>
    <w:uiPriority w:val="99"/>
    <w:rsid w:val="00CE3239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CE3239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CE3239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CE3239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E3239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footer"/>
    <w:basedOn w:val="a0"/>
    <w:link w:val="aff5"/>
    <w:uiPriority w:val="99"/>
    <w:rsid w:val="00CE3239"/>
    <w:pPr>
      <w:tabs>
        <w:tab w:val="center" w:pos="4677"/>
        <w:tab w:val="right" w:pos="9355"/>
      </w:tabs>
      <w:ind w:firstLine="709"/>
    </w:pPr>
  </w:style>
  <w:style w:type="character" w:customStyle="1" w:styleId="aff5">
    <w:name w:val="Нижний колонтитул Знак"/>
    <w:link w:val="aff4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8044</Words>
  <Characters>45852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FBC</Company>
  <LinksUpToDate>false</LinksUpToDate>
  <CharactersWithSpaces>53789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2006-06-06T09:20:00Z</cp:lastPrinted>
  <dcterms:created xsi:type="dcterms:W3CDTF">2014-03-01T17:12:00Z</dcterms:created>
  <dcterms:modified xsi:type="dcterms:W3CDTF">2014-03-01T17:12:00Z</dcterms:modified>
</cp:coreProperties>
</file>