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64" w:rsidRDefault="00C11D64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СОДЕРЖАНИЕ</w:t>
      </w:r>
    </w:p>
    <w:p w:rsidR="003917B8" w:rsidRPr="003917B8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4AA8" w:rsidRPr="003917B8" w:rsidRDefault="00E44E4B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>Введение</w:t>
      </w:r>
    </w:p>
    <w:p w:rsidR="00E44E4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1. </w:t>
      </w:r>
      <w:r w:rsidR="00E44E4B" w:rsidRPr="003917B8">
        <w:rPr>
          <w:sz w:val="28"/>
          <w:szCs w:val="28"/>
        </w:rPr>
        <w:t>Личное страхование</w:t>
      </w:r>
    </w:p>
    <w:p w:rsidR="00E44E4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1.1. </w:t>
      </w:r>
      <w:r w:rsidR="0007155A" w:rsidRPr="003917B8">
        <w:rPr>
          <w:sz w:val="28"/>
          <w:szCs w:val="28"/>
        </w:rPr>
        <w:t xml:space="preserve">Сущность </w:t>
      </w:r>
      <w:r w:rsidR="00256038" w:rsidRPr="003917B8">
        <w:rPr>
          <w:sz w:val="28"/>
          <w:szCs w:val="28"/>
        </w:rPr>
        <w:t>и</w:t>
      </w:r>
      <w:r w:rsidR="0007155A" w:rsidRPr="003917B8">
        <w:rPr>
          <w:sz w:val="28"/>
          <w:szCs w:val="28"/>
        </w:rPr>
        <w:t xml:space="preserve"> разновидности </w:t>
      </w:r>
      <w:r w:rsidR="008D7DCC" w:rsidRPr="003917B8">
        <w:rPr>
          <w:sz w:val="28"/>
          <w:szCs w:val="28"/>
        </w:rPr>
        <w:t xml:space="preserve">личного страхования </w:t>
      </w:r>
    </w:p>
    <w:p w:rsidR="00E44E4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1.2. </w:t>
      </w:r>
      <w:r w:rsidR="0005371C" w:rsidRPr="003917B8">
        <w:rPr>
          <w:sz w:val="28"/>
          <w:szCs w:val="28"/>
        </w:rPr>
        <w:t>С</w:t>
      </w:r>
      <w:r w:rsidR="00F03657" w:rsidRPr="003917B8">
        <w:rPr>
          <w:sz w:val="28"/>
          <w:szCs w:val="28"/>
        </w:rPr>
        <w:t>траховани</w:t>
      </w:r>
      <w:r w:rsidR="0005371C" w:rsidRPr="003917B8">
        <w:rPr>
          <w:sz w:val="28"/>
          <w:szCs w:val="28"/>
        </w:rPr>
        <w:t>е как экономическая категория</w:t>
      </w:r>
      <w:r w:rsidR="00B71D9E" w:rsidRPr="003917B8">
        <w:rPr>
          <w:sz w:val="28"/>
          <w:szCs w:val="28"/>
        </w:rPr>
        <w:t xml:space="preserve"> </w:t>
      </w:r>
    </w:p>
    <w:p w:rsidR="00E24236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1.3. </w:t>
      </w:r>
      <w:r w:rsidR="002E6A0B" w:rsidRPr="003917B8">
        <w:rPr>
          <w:sz w:val="28"/>
          <w:szCs w:val="28"/>
        </w:rPr>
        <w:t>Правовое р</w:t>
      </w:r>
      <w:r w:rsidR="00B71D9E" w:rsidRPr="003917B8">
        <w:rPr>
          <w:sz w:val="28"/>
          <w:szCs w:val="28"/>
        </w:rPr>
        <w:t xml:space="preserve">егулирование </w:t>
      </w:r>
      <w:r w:rsidR="0005371C" w:rsidRPr="003917B8">
        <w:rPr>
          <w:sz w:val="28"/>
          <w:szCs w:val="28"/>
        </w:rPr>
        <w:t>сферы страхования</w:t>
      </w:r>
    </w:p>
    <w:p w:rsidR="00C13DCC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1.4. </w:t>
      </w:r>
      <w:r w:rsidR="00FE6836" w:rsidRPr="003917B8">
        <w:rPr>
          <w:sz w:val="28"/>
          <w:szCs w:val="28"/>
        </w:rPr>
        <w:t xml:space="preserve">Международный опыт </w:t>
      </w:r>
      <w:r w:rsidR="0005371C" w:rsidRPr="003917B8">
        <w:rPr>
          <w:sz w:val="28"/>
          <w:szCs w:val="28"/>
        </w:rPr>
        <w:t>личного</w:t>
      </w:r>
      <w:r w:rsidR="00FE6836" w:rsidRPr="003917B8">
        <w:rPr>
          <w:sz w:val="28"/>
          <w:szCs w:val="28"/>
        </w:rPr>
        <w:t xml:space="preserve"> страхования</w:t>
      </w:r>
      <w:r w:rsidR="00BA7D7A" w:rsidRPr="003917B8">
        <w:rPr>
          <w:sz w:val="28"/>
          <w:szCs w:val="28"/>
        </w:rPr>
        <w:t xml:space="preserve"> на примере США</w:t>
      </w:r>
    </w:p>
    <w:p w:rsidR="008D1A53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2. </w:t>
      </w:r>
      <w:r w:rsidR="00192FBA" w:rsidRPr="003917B8">
        <w:rPr>
          <w:sz w:val="28"/>
          <w:szCs w:val="28"/>
        </w:rPr>
        <w:t>Анализ современного состояния рынка личного страхования</w:t>
      </w:r>
      <w:r w:rsidR="00F11A55" w:rsidRPr="003917B8">
        <w:rPr>
          <w:sz w:val="28"/>
          <w:szCs w:val="28"/>
        </w:rPr>
        <w:t xml:space="preserve"> России</w:t>
      </w:r>
      <w:r w:rsidR="00192FBA" w:rsidRPr="003917B8">
        <w:rPr>
          <w:sz w:val="28"/>
          <w:szCs w:val="28"/>
        </w:rPr>
        <w:t xml:space="preserve"> </w:t>
      </w:r>
    </w:p>
    <w:p w:rsidR="00E44E4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2.1. </w:t>
      </w:r>
      <w:r w:rsidR="00192FBA" w:rsidRPr="003917B8">
        <w:rPr>
          <w:sz w:val="28"/>
          <w:szCs w:val="28"/>
        </w:rPr>
        <w:t>Общая ситуация на рынке личного страхования</w:t>
      </w:r>
    </w:p>
    <w:p w:rsidR="00E44E4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2.2. </w:t>
      </w:r>
      <w:r w:rsidR="0050146E" w:rsidRPr="003917B8">
        <w:rPr>
          <w:sz w:val="28"/>
          <w:szCs w:val="28"/>
        </w:rPr>
        <w:t>Сравнительны</w:t>
      </w:r>
      <w:r w:rsidR="006B688B" w:rsidRPr="003917B8">
        <w:rPr>
          <w:sz w:val="28"/>
          <w:szCs w:val="28"/>
        </w:rPr>
        <w:t>й</w:t>
      </w:r>
      <w:r w:rsidR="0050146E" w:rsidRPr="003917B8">
        <w:rPr>
          <w:sz w:val="28"/>
          <w:szCs w:val="28"/>
        </w:rPr>
        <w:t xml:space="preserve"> </w:t>
      </w:r>
      <w:r w:rsidR="006B688B" w:rsidRPr="003917B8">
        <w:rPr>
          <w:sz w:val="28"/>
          <w:szCs w:val="28"/>
        </w:rPr>
        <w:t>анализ</w:t>
      </w:r>
      <w:r w:rsidR="000B16F1" w:rsidRPr="003917B8">
        <w:rPr>
          <w:sz w:val="28"/>
          <w:szCs w:val="28"/>
        </w:rPr>
        <w:t xml:space="preserve"> видов личного страхования</w:t>
      </w:r>
    </w:p>
    <w:p w:rsidR="00A870EF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2.3. </w:t>
      </w:r>
      <w:r w:rsidR="00F11A55" w:rsidRPr="003917B8">
        <w:rPr>
          <w:sz w:val="28"/>
          <w:szCs w:val="28"/>
        </w:rPr>
        <w:t>Страхователи и страховщики: анализ взаимоотношений</w:t>
      </w:r>
    </w:p>
    <w:p w:rsidR="00FE6836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3. Личное страхование – </w:t>
      </w:r>
      <w:r w:rsidR="006B688B" w:rsidRPr="003917B8">
        <w:rPr>
          <w:sz w:val="28"/>
          <w:szCs w:val="28"/>
        </w:rPr>
        <w:t>соц</w:t>
      </w:r>
      <w:r w:rsidRPr="003917B8">
        <w:rPr>
          <w:sz w:val="28"/>
          <w:szCs w:val="28"/>
        </w:rPr>
        <w:t xml:space="preserve">иальная </w:t>
      </w:r>
      <w:r w:rsidR="006B688B" w:rsidRPr="003917B8">
        <w:rPr>
          <w:sz w:val="28"/>
          <w:szCs w:val="28"/>
        </w:rPr>
        <w:t xml:space="preserve">защита </w:t>
      </w:r>
      <w:r w:rsidRPr="003917B8">
        <w:rPr>
          <w:sz w:val="28"/>
          <w:szCs w:val="28"/>
        </w:rPr>
        <w:t>населения</w:t>
      </w:r>
    </w:p>
    <w:p w:rsidR="006B688B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3.1. </w:t>
      </w:r>
      <w:r w:rsidR="006B688B" w:rsidRPr="003917B8">
        <w:rPr>
          <w:sz w:val="28"/>
          <w:szCs w:val="28"/>
        </w:rPr>
        <w:t xml:space="preserve">Роль личного страхования в жизни общества </w:t>
      </w:r>
    </w:p>
    <w:p w:rsidR="008D1A53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3.2. </w:t>
      </w:r>
      <w:r w:rsidR="008D1A53" w:rsidRPr="003917B8">
        <w:rPr>
          <w:sz w:val="28"/>
          <w:szCs w:val="28"/>
        </w:rPr>
        <w:t xml:space="preserve">Проблемы </w:t>
      </w:r>
      <w:r w:rsidR="00BD5086" w:rsidRPr="003917B8">
        <w:rPr>
          <w:sz w:val="28"/>
          <w:szCs w:val="28"/>
        </w:rPr>
        <w:t xml:space="preserve">развития </w:t>
      </w:r>
      <w:r w:rsidR="008D1A53" w:rsidRPr="003917B8">
        <w:rPr>
          <w:sz w:val="28"/>
          <w:szCs w:val="28"/>
        </w:rPr>
        <w:t>сферы личного страхования и пути их решения</w:t>
      </w:r>
    </w:p>
    <w:p w:rsidR="008D1A53" w:rsidRPr="003917B8" w:rsidRDefault="00A870EF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 xml:space="preserve">3.3. </w:t>
      </w:r>
      <w:r w:rsidR="008D1A53" w:rsidRPr="003917B8">
        <w:rPr>
          <w:sz w:val="28"/>
          <w:szCs w:val="28"/>
        </w:rPr>
        <w:t xml:space="preserve">Перспективы развития рынка </w:t>
      </w:r>
      <w:r w:rsidR="007C12E8" w:rsidRPr="003917B8">
        <w:rPr>
          <w:sz w:val="28"/>
          <w:szCs w:val="28"/>
        </w:rPr>
        <w:t xml:space="preserve">личного </w:t>
      </w:r>
      <w:r w:rsidR="008D1A53" w:rsidRPr="003917B8">
        <w:rPr>
          <w:sz w:val="28"/>
          <w:szCs w:val="28"/>
        </w:rPr>
        <w:t>страхования</w:t>
      </w:r>
    </w:p>
    <w:p w:rsidR="007F1145" w:rsidRPr="003917B8" w:rsidRDefault="007F1145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>Заключение</w:t>
      </w:r>
    </w:p>
    <w:p w:rsidR="00DB61E2" w:rsidRPr="003917B8" w:rsidRDefault="007F1145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>Список использованных источников</w:t>
      </w:r>
    </w:p>
    <w:p w:rsidR="00DB61E2" w:rsidRPr="003917B8" w:rsidRDefault="00DB61E2" w:rsidP="003917B8">
      <w:pPr>
        <w:spacing w:line="360" w:lineRule="auto"/>
        <w:rPr>
          <w:sz w:val="28"/>
          <w:szCs w:val="28"/>
        </w:rPr>
      </w:pPr>
      <w:r w:rsidRPr="003917B8">
        <w:rPr>
          <w:sz w:val="28"/>
          <w:szCs w:val="28"/>
        </w:rPr>
        <w:t>Приложение. Показатели страховых премий и выплат, 2004-2006 г</w:t>
      </w:r>
      <w:r w:rsidR="00B10747" w:rsidRPr="003917B8">
        <w:rPr>
          <w:sz w:val="28"/>
          <w:szCs w:val="28"/>
        </w:rPr>
        <w:t>.</w:t>
      </w:r>
      <w:r w:rsidRPr="003917B8">
        <w:rPr>
          <w:sz w:val="28"/>
          <w:szCs w:val="28"/>
        </w:rPr>
        <w:t>г</w:t>
      </w:r>
    </w:p>
    <w:p w:rsidR="008F5DA2" w:rsidRPr="003917B8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0909" w:rsidRPr="003917B8">
        <w:rPr>
          <w:b/>
          <w:sz w:val="28"/>
          <w:szCs w:val="28"/>
        </w:rPr>
        <w:t>ВВЕДЕНИЕ</w:t>
      </w:r>
    </w:p>
    <w:p w:rsidR="003917B8" w:rsidRDefault="003917B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057B" w:rsidRPr="003917B8" w:rsidRDefault="0029057B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Личное страхование в н</w:t>
      </w:r>
      <w:bookmarkStart w:id="0" w:name="OCRUncertain029"/>
      <w:r w:rsidRPr="003917B8">
        <w:rPr>
          <w:sz w:val="28"/>
          <w:szCs w:val="28"/>
        </w:rPr>
        <w:t>а</w:t>
      </w:r>
      <w:bookmarkEnd w:id="0"/>
      <w:r w:rsidRPr="003917B8">
        <w:rPr>
          <w:sz w:val="28"/>
          <w:szCs w:val="28"/>
        </w:rPr>
        <w:t>шей стране на протяжении многих десятилетий яв</w:t>
      </w:r>
      <w:bookmarkStart w:id="1" w:name="OCRUncertain030"/>
      <w:r w:rsidRPr="003917B8">
        <w:rPr>
          <w:sz w:val="28"/>
          <w:szCs w:val="28"/>
        </w:rPr>
        <w:t>л</w:t>
      </w:r>
      <w:bookmarkEnd w:id="1"/>
      <w:r w:rsidRPr="003917B8">
        <w:rPr>
          <w:sz w:val="28"/>
          <w:szCs w:val="28"/>
        </w:rPr>
        <w:t>ялось основой всей системы страхования. В ус</w:t>
      </w:r>
      <w:bookmarkStart w:id="2" w:name="OCRUncertain031"/>
      <w:r w:rsidRPr="003917B8">
        <w:rPr>
          <w:sz w:val="28"/>
          <w:szCs w:val="28"/>
        </w:rPr>
        <w:t>л</w:t>
      </w:r>
      <w:bookmarkEnd w:id="2"/>
      <w:r w:rsidRPr="003917B8">
        <w:rPr>
          <w:sz w:val="28"/>
          <w:szCs w:val="28"/>
        </w:rPr>
        <w:t>овиях нес</w:t>
      </w:r>
      <w:bookmarkStart w:id="3" w:name="OCRUncertain032"/>
      <w:r w:rsidRPr="003917B8">
        <w:rPr>
          <w:sz w:val="28"/>
          <w:szCs w:val="28"/>
        </w:rPr>
        <w:t>та</w:t>
      </w:r>
      <w:bookmarkEnd w:id="3"/>
      <w:r w:rsidRPr="003917B8">
        <w:rPr>
          <w:sz w:val="28"/>
          <w:szCs w:val="28"/>
        </w:rPr>
        <w:t>бильной экономики, инфляции, высокого на</w:t>
      </w:r>
      <w:bookmarkStart w:id="4" w:name="OCRUncertain033"/>
      <w:r w:rsidRPr="003917B8">
        <w:rPr>
          <w:sz w:val="28"/>
          <w:szCs w:val="28"/>
        </w:rPr>
        <w:t>л</w:t>
      </w:r>
      <w:bookmarkEnd w:id="4"/>
      <w:r w:rsidRPr="003917B8">
        <w:rPr>
          <w:sz w:val="28"/>
          <w:szCs w:val="28"/>
        </w:rPr>
        <w:t>огового бремени, недостаточност</w:t>
      </w:r>
      <w:bookmarkStart w:id="5" w:name="OCRUncertain034"/>
      <w:r w:rsidRPr="003917B8">
        <w:rPr>
          <w:sz w:val="28"/>
          <w:szCs w:val="28"/>
        </w:rPr>
        <w:t>и</w:t>
      </w:r>
      <w:bookmarkEnd w:id="5"/>
      <w:r w:rsidRPr="003917B8">
        <w:rPr>
          <w:sz w:val="28"/>
          <w:szCs w:val="28"/>
        </w:rPr>
        <w:t xml:space="preserve"> свободных средств у граждан и предприя</w:t>
      </w:r>
      <w:bookmarkStart w:id="6" w:name="OCRUncertain035"/>
      <w:r w:rsidRPr="003917B8">
        <w:rPr>
          <w:sz w:val="28"/>
          <w:szCs w:val="28"/>
        </w:rPr>
        <w:t>т</w:t>
      </w:r>
      <w:bookmarkEnd w:id="6"/>
      <w:r w:rsidRPr="003917B8">
        <w:rPr>
          <w:sz w:val="28"/>
          <w:szCs w:val="28"/>
        </w:rPr>
        <w:t xml:space="preserve">ий, потери доверия населения к </w:t>
      </w:r>
      <w:bookmarkStart w:id="7" w:name="OCRUncertain036"/>
      <w:r w:rsidRPr="003917B8">
        <w:rPr>
          <w:sz w:val="28"/>
          <w:szCs w:val="28"/>
        </w:rPr>
        <w:t>финансовым</w:t>
      </w:r>
      <w:bookmarkEnd w:id="7"/>
      <w:r w:rsidRPr="003917B8">
        <w:rPr>
          <w:sz w:val="28"/>
          <w:szCs w:val="28"/>
        </w:rPr>
        <w:t xml:space="preserve"> институтам личное страхование по</w:t>
      </w:r>
      <w:bookmarkStart w:id="8" w:name="OCRUncertain037"/>
      <w:r w:rsidRPr="003917B8">
        <w:rPr>
          <w:sz w:val="28"/>
          <w:szCs w:val="28"/>
        </w:rPr>
        <w:t>т</w:t>
      </w:r>
      <w:bookmarkEnd w:id="8"/>
      <w:r w:rsidRPr="003917B8">
        <w:rPr>
          <w:sz w:val="28"/>
          <w:szCs w:val="28"/>
        </w:rPr>
        <w:t>еряло свою популярност</w:t>
      </w:r>
      <w:bookmarkStart w:id="9" w:name="OCRUncertain038"/>
      <w:r w:rsidRPr="003917B8">
        <w:rPr>
          <w:sz w:val="28"/>
          <w:szCs w:val="28"/>
        </w:rPr>
        <w:t>ь</w:t>
      </w:r>
      <w:bookmarkEnd w:id="9"/>
      <w:r w:rsidRPr="003917B8">
        <w:rPr>
          <w:sz w:val="28"/>
          <w:szCs w:val="28"/>
        </w:rPr>
        <w:t>, а система д</w:t>
      </w:r>
      <w:bookmarkStart w:id="10" w:name="OCRUncertain039"/>
      <w:r w:rsidRPr="003917B8">
        <w:rPr>
          <w:sz w:val="28"/>
          <w:szCs w:val="28"/>
        </w:rPr>
        <w:t>о</w:t>
      </w:r>
      <w:bookmarkEnd w:id="10"/>
      <w:r w:rsidRPr="003917B8">
        <w:rPr>
          <w:sz w:val="28"/>
          <w:szCs w:val="28"/>
        </w:rPr>
        <w:t xml:space="preserve">лгосрочного страхования практически разрушена. </w:t>
      </w:r>
      <w:r w:rsidR="00157134" w:rsidRPr="003917B8">
        <w:rPr>
          <w:sz w:val="28"/>
          <w:szCs w:val="28"/>
        </w:rPr>
        <w:t>Личное с</w:t>
      </w:r>
      <w:bookmarkStart w:id="11" w:name="OCRUncertain014"/>
      <w:r w:rsidR="00157134" w:rsidRPr="003917B8">
        <w:rPr>
          <w:sz w:val="28"/>
          <w:szCs w:val="28"/>
        </w:rPr>
        <w:t>т</w:t>
      </w:r>
      <w:bookmarkEnd w:id="11"/>
      <w:r w:rsidR="00705162" w:rsidRPr="003917B8">
        <w:rPr>
          <w:sz w:val="28"/>
          <w:szCs w:val="28"/>
        </w:rPr>
        <w:t>рахование</w:t>
      </w:r>
      <w:r w:rsidR="00157134" w:rsidRPr="003917B8">
        <w:rPr>
          <w:sz w:val="28"/>
          <w:szCs w:val="28"/>
        </w:rPr>
        <w:t xml:space="preserve"> </w:t>
      </w:r>
      <w:r w:rsidR="006A4004" w:rsidRPr="003917B8">
        <w:rPr>
          <w:sz w:val="28"/>
          <w:szCs w:val="28"/>
        </w:rPr>
        <w:t>–</w:t>
      </w:r>
      <w:r w:rsidR="00157134" w:rsidRPr="003917B8">
        <w:rPr>
          <w:sz w:val="28"/>
          <w:szCs w:val="28"/>
        </w:rPr>
        <w:t xml:space="preserve"> важная </w:t>
      </w:r>
      <w:r w:rsidR="00705162" w:rsidRPr="003917B8">
        <w:rPr>
          <w:sz w:val="28"/>
          <w:szCs w:val="28"/>
        </w:rPr>
        <w:t>составляющая</w:t>
      </w:r>
      <w:r w:rsidR="00157134" w:rsidRPr="003917B8">
        <w:rPr>
          <w:sz w:val="28"/>
          <w:szCs w:val="28"/>
        </w:rPr>
        <w:t xml:space="preserve"> формирования финансового рынка, позв</w:t>
      </w:r>
      <w:bookmarkStart w:id="12" w:name="OCRUncertain016"/>
      <w:r w:rsidR="00157134" w:rsidRPr="003917B8">
        <w:rPr>
          <w:sz w:val="28"/>
          <w:szCs w:val="28"/>
        </w:rPr>
        <w:t>о</w:t>
      </w:r>
      <w:bookmarkEnd w:id="12"/>
      <w:r w:rsidR="00157134" w:rsidRPr="003917B8">
        <w:rPr>
          <w:sz w:val="28"/>
          <w:szCs w:val="28"/>
        </w:rPr>
        <w:t>ляющая</w:t>
      </w:r>
      <w:r w:rsidR="0003566E" w:rsidRPr="003917B8">
        <w:rPr>
          <w:sz w:val="28"/>
          <w:szCs w:val="28"/>
        </w:rPr>
        <w:t xml:space="preserve">, с одной стороны, </w:t>
      </w:r>
      <w:r w:rsidR="00157134" w:rsidRPr="003917B8">
        <w:rPr>
          <w:sz w:val="28"/>
          <w:szCs w:val="28"/>
        </w:rPr>
        <w:t xml:space="preserve">повысить социальную </w:t>
      </w:r>
      <w:bookmarkStart w:id="13" w:name="OCRUncertain018"/>
      <w:r w:rsidR="00157134" w:rsidRPr="003917B8">
        <w:rPr>
          <w:sz w:val="28"/>
          <w:szCs w:val="28"/>
        </w:rPr>
        <w:t>защищенность</w:t>
      </w:r>
      <w:bookmarkEnd w:id="13"/>
      <w:r w:rsidR="00157134" w:rsidRPr="003917B8">
        <w:rPr>
          <w:sz w:val="28"/>
          <w:szCs w:val="28"/>
        </w:rPr>
        <w:t xml:space="preserve"> граждан</w:t>
      </w:r>
      <w:r w:rsidR="0003566E" w:rsidRPr="003917B8">
        <w:rPr>
          <w:sz w:val="28"/>
          <w:szCs w:val="28"/>
        </w:rPr>
        <w:t xml:space="preserve">, а с другой – </w:t>
      </w:r>
      <w:bookmarkStart w:id="14" w:name="OCRUncertain022"/>
      <w:r w:rsidR="00157134" w:rsidRPr="003917B8">
        <w:rPr>
          <w:sz w:val="28"/>
          <w:szCs w:val="28"/>
        </w:rPr>
        <w:t>созда</w:t>
      </w:r>
      <w:r w:rsidR="0003566E" w:rsidRPr="003917B8">
        <w:rPr>
          <w:sz w:val="28"/>
          <w:szCs w:val="28"/>
        </w:rPr>
        <w:t>вать</w:t>
      </w:r>
      <w:bookmarkEnd w:id="14"/>
      <w:r w:rsidR="00157134" w:rsidRPr="003917B8">
        <w:rPr>
          <w:sz w:val="28"/>
          <w:szCs w:val="28"/>
        </w:rPr>
        <w:t xml:space="preserve"> крупны</w:t>
      </w:r>
      <w:r w:rsidR="0003566E" w:rsidRPr="003917B8">
        <w:rPr>
          <w:sz w:val="28"/>
          <w:szCs w:val="28"/>
        </w:rPr>
        <w:t>е</w:t>
      </w:r>
      <w:r w:rsidR="00157134" w:rsidRPr="003917B8">
        <w:rPr>
          <w:sz w:val="28"/>
          <w:szCs w:val="28"/>
        </w:rPr>
        <w:t xml:space="preserve"> инвестиционны</w:t>
      </w:r>
      <w:r w:rsidR="0003566E" w:rsidRPr="003917B8">
        <w:rPr>
          <w:sz w:val="28"/>
          <w:szCs w:val="28"/>
        </w:rPr>
        <w:t>е</w:t>
      </w:r>
      <w:r w:rsidR="00157134" w:rsidRPr="003917B8">
        <w:rPr>
          <w:sz w:val="28"/>
          <w:szCs w:val="28"/>
        </w:rPr>
        <w:t xml:space="preserve"> ресурс</w:t>
      </w:r>
      <w:r w:rsidR="0003566E" w:rsidRPr="003917B8">
        <w:rPr>
          <w:sz w:val="28"/>
          <w:szCs w:val="28"/>
        </w:rPr>
        <w:t>ы</w:t>
      </w:r>
      <w:r w:rsidR="00157134" w:rsidRPr="003917B8">
        <w:rPr>
          <w:sz w:val="28"/>
          <w:szCs w:val="28"/>
        </w:rPr>
        <w:t>, финансироват</w:t>
      </w:r>
      <w:bookmarkStart w:id="15" w:name="OCRUncertain025"/>
      <w:r w:rsidR="00157134" w:rsidRPr="003917B8">
        <w:rPr>
          <w:sz w:val="28"/>
          <w:szCs w:val="28"/>
        </w:rPr>
        <w:t>ь</w:t>
      </w:r>
      <w:bookmarkEnd w:id="15"/>
      <w:r w:rsidR="00157134" w:rsidRPr="003917B8">
        <w:rPr>
          <w:sz w:val="28"/>
          <w:szCs w:val="28"/>
        </w:rPr>
        <w:t xml:space="preserve"> серьезные государственные и коммерческие проекты в различных </w:t>
      </w:r>
      <w:bookmarkStart w:id="16" w:name="OCRUncertain026"/>
      <w:r w:rsidR="00157134" w:rsidRPr="003917B8">
        <w:rPr>
          <w:sz w:val="28"/>
          <w:szCs w:val="28"/>
        </w:rPr>
        <w:t>о</w:t>
      </w:r>
      <w:bookmarkEnd w:id="16"/>
      <w:r w:rsidR="00157134" w:rsidRPr="003917B8">
        <w:rPr>
          <w:sz w:val="28"/>
          <w:szCs w:val="28"/>
        </w:rPr>
        <w:t>траслях экономики.</w:t>
      </w:r>
      <w:r w:rsidR="003917B8">
        <w:rPr>
          <w:sz w:val="28"/>
          <w:szCs w:val="28"/>
        </w:rPr>
        <w:t xml:space="preserve"> </w:t>
      </w:r>
      <w:r w:rsidR="00157134" w:rsidRPr="003917B8">
        <w:rPr>
          <w:sz w:val="28"/>
          <w:szCs w:val="28"/>
        </w:rPr>
        <w:t>Отсутствие страховой куль</w:t>
      </w:r>
      <w:bookmarkStart w:id="17" w:name="OCRUncertain052"/>
      <w:r w:rsidR="00157134" w:rsidRPr="003917B8">
        <w:rPr>
          <w:sz w:val="28"/>
          <w:szCs w:val="28"/>
        </w:rPr>
        <w:t>т</w:t>
      </w:r>
      <w:bookmarkEnd w:id="17"/>
      <w:r w:rsidR="00157134" w:rsidRPr="003917B8">
        <w:rPr>
          <w:sz w:val="28"/>
          <w:szCs w:val="28"/>
        </w:rPr>
        <w:t>уры, псих</w:t>
      </w:r>
      <w:bookmarkStart w:id="18" w:name="OCRUncertain053"/>
      <w:r w:rsidR="00157134" w:rsidRPr="003917B8">
        <w:rPr>
          <w:sz w:val="28"/>
          <w:szCs w:val="28"/>
        </w:rPr>
        <w:t>о</w:t>
      </w:r>
      <w:bookmarkEnd w:id="18"/>
      <w:r w:rsidR="00157134" w:rsidRPr="003917B8">
        <w:rPr>
          <w:sz w:val="28"/>
          <w:szCs w:val="28"/>
        </w:rPr>
        <w:t>логия п</w:t>
      </w:r>
      <w:bookmarkStart w:id="19" w:name="OCRUncertain054"/>
      <w:r w:rsidR="00157134" w:rsidRPr="003917B8">
        <w:rPr>
          <w:sz w:val="28"/>
          <w:szCs w:val="28"/>
        </w:rPr>
        <w:t>о</w:t>
      </w:r>
      <w:bookmarkStart w:id="20" w:name="OCRUncertain055"/>
      <w:bookmarkEnd w:id="19"/>
      <w:bookmarkEnd w:id="20"/>
      <w:r w:rsidR="00157134" w:rsidRPr="003917B8">
        <w:rPr>
          <w:sz w:val="28"/>
          <w:szCs w:val="28"/>
        </w:rPr>
        <w:t>тенциальных страхователей, а также возрас</w:t>
      </w:r>
      <w:bookmarkStart w:id="21" w:name="OCRUncertain057"/>
      <w:r w:rsidR="00157134" w:rsidRPr="003917B8">
        <w:rPr>
          <w:sz w:val="28"/>
          <w:szCs w:val="28"/>
        </w:rPr>
        <w:t>та</w:t>
      </w:r>
      <w:bookmarkEnd w:id="21"/>
      <w:r w:rsidR="00157134" w:rsidRPr="003917B8">
        <w:rPr>
          <w:sz w:val="28"/>
          <w:szCs w:val="28"/>
        </w:rPr>
        <w:t>ющее различие в уровне доходов населения не позв</w:t>
      </w:r>
      <w:bookmarkStart w:id="22" w:name="OCRUncertain058"/>
      <w:r w:rsidR="00157134" w:rsidRPr="003917B8">
        <w:rPr>
          <w:sz w:val="28"/>
          <w:szCs w:val="28"/>
        </w:rPr>
        <w:t>о</w:t>
      </w:r>
      <w:bookmarkEnd w:id="22"/>
      <w:r w:rsidR="00157134" w:rsidRPr="003917B8">
        <w:rPr>
          <w:sz w:val="28"/>
          <w:szCs w:val="28"/>
        </w:rPr>
        <w:t>ляют при</w:t>
      </w:r>
      <w:bookmarkStart w:id="23" w:name="OCRUncertain059"/>
      <w:r w:rsidR="00157134" w:rsidRPr="003917B8">
        <w:rPr>
          <w:sz w:val="28"/>
          <w:szCs w:val="28"/>
        </w:rPr>
        <w:t>в</w:t>
      </w:r>
      <w:bookmarkEnd w:id="23"/>
      <w:r w:rsidR="00157134" w:rsidRPr="003917B8">
        <w:rPr>
          <w:sz w:val="28"/>
          <w:szCs w:val="28"/>
        </w:rPr>
        <w:t>лек</w:t>
      </w:r>
      <w:bookmarkStart w:id="24" w:name="OCRUncertain060"/>
      <w:r w:rsidR="00157134" w:rsidRPr="003917B8">
        <w:rPr>
          <w:sz w:val="28"/>
          <w:szCs w:val="28"/>
        </w:rPr>
        <w:t>ать</w:t>
      </w:r>
      <w:bookmarkEnd w:id="24"/>
      <w:r w:rsidR="00157134" w:rsidRPr="003917B8">
        <w:rPr>
          <w:sz w:val="28"/>
          <w:szCs w:val="28"/>
        </w:rPr>
        <w:t xml:space="preserve"> д</w:t>
      </w:r>
      <w:bookmarkStart w:id="25" w:name="OCRUncertain061"/>
      <w:r w:rsidR="00157134" w:rsidRPr="003917B8">
        <w:rPr>
          <w:sz w:val="28"/>
          <w:szCs w:val="28"/>
        </w:rPr>
        <w:t>е</w:t>
      </w:r>
      <w:bookmarkEnd w:id="25"/>
      <w:r w:rsidR="00157134" w:rsidRPr="003917B8">
        <w:rPr>
          <w:sz w:val="28"/>
          <w:szCs w:val="28"/>
        </w:rPr>
        <w:t>нежные средства широких слоев насе</w:t>
      </w:r>
      <w:bookmarkStart w:id="26" w:name="OCRUncertain062"/>
      <w:r w:rsidR="00157134" w:rsidRPr="003917B8">
        <w:rPr>
          <w:sz w:val="28"/>
          <w:szCs w:val="28"/>
        </w:rPr>
        <w:t>л</w:t>
      </w:r>
      <w:bookmarkEnd w:id="26"/>
      <w:r w:rsidR="00157134" w:rsidRPr="003917B8">
        <w:rPr>
          <w:sz w:val="28"/>
          <w:szCs w:val="28"/>
        </w:rPr>
        <w:t xml:space="preserve">ения в страховые фонды. </w:t>
      </w:r>
      <w:r w:rsidR="003917B8">
        <w:rPr>
          <w:sz w:val="28"/>
          <w:szCs w:val="28"/>
        </w:rPr>
        <w:t xml:space="preserve"> </w:t>
      </w:r>
      <w:r w:rsidR="0003566E" w:rsidRPr="003917B8">
        <w:rPr>
          <w:sz w:val="28"/>
          <w:szCs w:val="28"/>
        </w:rPr>
        <w:t>Все это говорит</w:t>
      </w:r>
      <w:r w:rsidR="00157134" w:rsidRPr="003917B8">
        <w:rPr>
          <w:sz w:val="28"/>
          <w:szCs w:val="28"/>
        </w:rPr>
        <w:t xml:space="preserve"> об </w:t>
      </w:r>
      <w:r w:rsidR="00157134" w:rsidRPr="003917B8">
        <w:rPr>
          <w:b/>
          <w:sz w:val="28"/>
          <w:szCs w:val="28"/>
        </w:rPr>
        <w:t>ак</w:t>
      </w:r>
      <w:bookmarkStart w:id="27" w:name="OCRUncertain101"/>
      <w:r w:rsidR="00157134" w:rsidRPr="003917B8">
        <w:rPr>
          <w:b/>
          <w:sz w:val="28"/>
          <w:szCs w:val="28"/>
        </w:rPr>
        <w:t>т</w:t>
      </w:r>
      <w:bookmarkEnd w:id="27"/>
      <w:r w:rsidR="00157134" w:rsidRPr="003917B8">
        <w:rPr>
          <w:b/>
          <w:sz w:val="28"/>
          <w:szCs w:val="28"/>
        </w:rPr>
        <w:t>уальности</w:t>
      </w:r>
      <w:r w:rsidR="00157134" w:rsidRPr="003917B8">
        <w:rPr>
          <w:sz w:val="28"/>
          <w:szCs w:val="28"/>
        </w:rPr>
        <w:t xml:space="preserve"> темы курсовой работы</w:t>
      </w:r>
      <w:r w:rsidR="006A4004" w:rsidRPr="003917B8">
        <w:rPr>
          <w:sz w:val="28"/>
          <w:szCs w:val="28"/>
        </w:rPr>
        <w:t xml:space="preserve"> – об актуальности рассмотрения вопросов, связанных со сферой личного страхования, и нахождения путей их решения</w:t>
      </w:r>
      <w:r w:rsidR="00157134" w:rsidRPr="003917B8">
        <w:rPr>
          <w:sz w:val="28"/>
          <w:szCs w:val="28"/>
        </w:rPr>
        <w:t>.</w:t>
      </w:r>
      <w:r w:rsidR="003917B8">
        <w:rPr>
          <w:sz w:val="28"/>
          <w:szCs w:val="28"/>
        </w:rPr>
        <w:t xml:space="preserve"> </w:t>
      </w:r>
      <w:r w:rsidR="00157134" w:rsidRPr="003917B8">
        <w:rPr>
          <w:b/>
          <w:bCs/>
          <w:sz w:val="28"/>
          <w:szCs w:val="28"/>
        </w:rPr>
        <w:t xml:space="preserve">Цель </w:t>
      </w:r>
      <w:r w:rsidRPr="003917B8">
        <w:rPr>
          <w:bCs/>
          <w:sz w:val="28"/>
          <w:szCs w:val="28"/>
        </w:rPr>
        <w:t>работы – разносторонн</w:t>
      </w:r>
      <w:r w:rsidR="00960A77" w:rsidRPr="003917B8">
        <w:rPr>
          <w:bCs/>
          <w:sz w:val="28"/>
          <w:szCs w:val="28"/>
        </w:rPr>
        <w:t>ее</w:t>
      </w:r>
      <w:r w:rsidRPr="003917B8">
        <w:rPr>
          <w:bCs/>
          <w:sz w:val="28"/>
          <w:szCs w:val="28"/>
        </w:rPr>
        <w:t xml:space="preserve"> </w:t>
      </w:r>
      <w:r w:rsidR="00960A77" w:rsidRPr="003917B8">
        <w:rPr>
          <w:bCs/>
          <w:sz w:val="28"/>
          <w:szCs w:val="28"/>
        </w:rPr>
        <w:t>рассмотрение</w:t>
      </w:r>
      <w:r w:rsidRPr="003917B8">
        <w:rPr>
          <w:bCs/>
          <w:sz w:val="28"/>
          <w:szCs w:val="28"/>
        </w:rPr>
        <w:t xml:space="preserve"> современного состояния системы личного страхования в России, определение роли и значения страхования в жизни общества и в экономике страны, определение перспектив развития страхования. Для достижения цели работы были решены следующие </w:t>
      </w:r>
      <w:r w:rsidRPr="003917B8">
        <w:rPr>
          <w:b/>
          <w:bCs/>
          <w:sz w:val="28"/>
          <w:szCs w:val="28"/>
        </w:rPr>
        <w:t>задачи</w:t>
      </w:r>
      <w:r w:rsidRPr="003917B8">
        <w:rPr>
          <w:bCs/>
          <w:sz w:val="28"/>
          <w:szCs w:val="28"/>
        </w:rPr>
        <w:t>:</w:t>
      </w:r>
      <w:r w:rsidR="000921DB" w:rsidRPr="003917B8">
        <w:rPr>
          <w:bCs/>
          <w:sz w:val="28"/>
          <w:szCs w:val="28"/>
        </w:rPr>
        <w:t xml:space="preserve"> определено значение системы страхования в экономике России, для сравнения рассмотрена организация страхования в стране с развитой экономикой – США. Проанализированы конкретные показатели рынка страховых услуг: динамика премий и выплат за последние 3 года, предпочтения страхователей по видам личного страхования и т.д. Определены проблемы сферы личного страхования, мешающие ее развитию, обозначены возможные пути их решения. Сделан прогноз о будущем системы страхования в России</w:t>
      </w:r>
      <w:r w:rsidR="000921DB" w:rsidRPr="003917B8">
        <w:rPr>
          <w:sz w:val="28"/>
          <w:szCs w:val="28"/>
        </w:rPr>
        <w:t xml:space="preserve"> и обоснована необходимость совершенствования системы личного страхования</w:t>
      </w:r>
      <w:r w:rsidR="000921DB" w:rsidRPr="003917B8">
        <w:rPr>
          <w:bCs/>
          <w:sz w:val="28"/>
          <w:szCs w:val="28"/>
        </w:rPr>
        <w:t>.</w:t>
      </w:r>
    </w:p>
    <w:p w:rsidR="004668F8" w:rsidRPr="003917B8" w:rsidRDefault="004668F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 xml:space="preserve">1. </w:t>
      </w:r>
      <w:r w:rsidR="00D10909" w:rsidRPr="003917B8">
        <w:rPr>
          <w:b/>
          <w:sz w:val="28"/>
          <w:szCs w:val="28"/>
        </w:rPr>
        <w:t>ЛИЧНОЕ СТРАХОВАНИЕ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5A5" w:rsidRPr="003917B8" w:rsidRDefault="002B15A5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1.</w:t>
      </w:r>
      <w:r w:rsidR="00C9399D" w:rsidRPr="003917B8">
        <w:rPr>
          <w:b/>
          <w:sz w:val="28"/>
          <w:szCs w:val="28"/>
        </w:rPr>
        <w:t>1</w:t>
      </w:r>
      <w:r w:rsidRPr="003917B8">
        <w:rPr>
          <w:b/>
          <w:sz w:val="28"/>
          <w:szCs w:val="28"/>
        </w:rPr>
        <w:t xml:space="preserve">. Сущность </w:t>
      </w:r>
      <w:r w:rsidR="00DB4148" w:rsidRPr="003917B8">
        <w:rPr>
          <w:b/>
          <w:sz w:val="28"/>
          <w:szCs w:val="28"/>
        </w:rPr>
        <w:t>и</w:t>
      </w:r>
      <w:r w:rsidRPr="003917B8">
        <w:rPr>
          <w:b/>
          <w:sz w:val="28"/>
          <w:szCs w:val="28"/>
        </w:rPr>
        <w:t xml:space="preserve"> </w:t>
      </w:r>
      <w:r w:rsidR="00DB046F" w:rsidRPr="003917B8">
        <w:rPr>
          <w:b/>
          <w:sz w:val="28"/>
          <w:szCs w:val="28"/>
        </w:rPr>
        <w:t>разновидности</w:t>
      </w:r>
      <w:r w:rsidR="00DB4148" w:rsidRPr="003917B8">
        <w:rPr>
          <w:b/>
          <w:sz w:val="28"/>
          <w:szCs w:val="28"/>
        </w:rPr>
        <w:t xml:space="preserve"> личного страхования</w:t>
      </w:r>
    </w:p>
    <w:p w:rsidR="003917B8" w:rsidRDefault="003917B8" w:rsidP="003917B8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283E2A" w:rsidRPr="003917B8" w:rsidRDefault="00283E2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rStyle w:val="a3"/>
          <w:b w:val="0"/>
          <w:sz w:val="28"/>
          <w:szCs w:val="28"/>
        </w:rPr>
        <w:t>Страхование</w:t>
      </w:r>
      <w:r w:rsidRPr="003917B8">
        <w:rPr>
          <w:sz w:val="28"/>
          <w:szCs w:val="28"/>
        </w:rPr>
        <w:t xml:space="preserve"> </w:t>
      </w:r>
      <w:r w:rsidR="00E360DC" w:rsidRPr="003917B8">
        <w:rPr>
          <w:sz w:val="28"/>
          <w:szCs w:val="28"/>
        </w:rPr>
        <w:t>–</w:t>
      </w:r>
      <w:r w:rsidR="00C63060" w:rsidRPr="003917B8">
        <w:rPr>
          <w:sz w:val="28"/>
          <w:szCs w:val="28"/>
        </w:rPr>
        <w:t xml:space="preserve"> это </w:t>
      </w:r>
      <w:r w:rsidRPr="003917B8">
        <w:rPr>
          <w:sz w:val="28"/>
          <w:szCs w:val="28"/>
        </w:rPr>
        <w:t>способ возмещения убытков, которые потерпело физическое или юридическое лицо, посредством их распределения между многими лицами (страховой совокупностью). Возмещение убытков производится из средств страхового фонда, который находится в ведении страховой организации (страховщика).</w:t>
      </w:r>
      <w:r w:rsidR="007B7D06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 xml:space="preserve">Страхование может осуществляться в обязательной </w:t>
      </w:r>
      <w:r w:rsidR="006B42D6" w:rsidRPr="003917B8">
        <w:rPr>
          <w:sz w:val="28"/>
          <w:szCs w:val="28"/>
        </w:rPr>
        <w:t xml:space="preserve">(в силу закона) </w:t>
      </w:r>
      <w:r w:rsidRPr="003917B8">
        <w:rPr>
          <w:sz w:val="28"/>
          <w:szCs w:val="28"/>
        </w:rPr>
        <w:t xml:space="preserve">и добровольной </w:t>
      </w:r>
      <w:r w:rsidR="006B42D6" w:rsidRPr="003917B8">
        <w:rPr>
          <w:sz w:val="28"/>
          <w:szCs w:val="28"/>
        </w:rPr>
        <w:t xml:space="preserve">(как взаимное волеизъявление сторон) </w:t>
      </w:r>
      <w:r w:rsidRPr="003917B8">
        <w:rPr>
          <w:sz w:val="28"/>
          <w:szCs w:val="28"/>
        </w:rPr>
        <w:t>формах. По объект</w:t>
      </w:r>
      <w:r w:rsidR="00176D83" w:rsidRPr="003917B8">
        <w:rPr>
          <w:sz w:val="28"/>
          <w:szCs w:val="28"/>
        </w:rPr>
        <w:t>ам</w:t>
      </w:r>
      <w:r w:rsidRPr="003917B8">
        <w:rPr>
          <w:sz w:val="28"/>
          <w:szCs w:val="28"/>
        </w:rPr>
        <w:t xml:space="preserve"> страхования различают личное, имущественное и страхование ответственности.</w:t>
      </w:r>
    </w:p>
    <w:p w:rsidR="00F04C49" w:rsidRPr="003917B8" w:rsidRDefault="00283E2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rStyle w:val="a3"/>
          <w:b w:val="0"/>
          <w:sz w:val="28"/>
          <w:szCs w:val="28"/>
        </w:rPr>
        <w:t>Личное страхование</w:t>
      </w:r>
      <w:r w:rsidRPr="003917B8">
        <w:rPr>
          <w:sz w:val="28"/>
          <w:szCs w:val="28"/>
        </w:rPr>
        <w:t xml:space="preserve"> </w:t>
      </w:r>
      <w:r w:rsidR="00C63060" w:rsidRPr="003917B8">
        <w:rPr>
          <w:sz w:val="28"/>
          <w:szCs w:val="28"/>
        </w:rPr>
        <w:t>–</w:t>
      </w:r>
      <w:r w:rsidRPr="003917B8">
        <w:rPr>
          <w:sz w:val="28"/>
          <w:szCs w:val="28"/>
        </w:rPr>
        <w:t xml:space="preserve"> систем</w:t>
      </w:r>
      <w:r w:rsidR="00A2181C" w:rsidRPr="003917B8">
        <w:rPr>
          <w:sz w:val="28"/>
          <w:szCs w:val="28"/>
        </w:rPr>
        <w:t>а</w:t>
      </w:r>
      <w:r w:rsidRPr="003917B8">
        <w:rPr>
          <w:sz w:val="28"/>
          <w:szCs w:val="28"/>
        </w:rPr>
        <w:t xml:space="preserve"> отношений между страхователями и страховщиками по оказанию страховой услуги, когда защита интересов связана с жизнью, здоровьем, трудоспособностью и пенсионным обеспечением страхователей или застрахованных. Страхователями по личному страхованию могут выступать как физические, так и юридические лица, а застрахованными </w:t>
      </w:r>
      <w:r w:rsidR="005E4764" w:rsidRPr="003917B8">
        <w:rPr>
          <w:sz w:val="28"/>
          <w:szCs w:val="28"/>
        </w:rPr>
        <w:t>–</w:t>
      </w:r>
      <w:r w:rsidRPr="003917B8">
        <w:rPr>
          <w:sz w:val="28"/>
          <w:szCs w:val="28"/>
        </w:rPr>
        <w:t xml:space="preserve"> только физические лица.</w:t>
      </w:r>
      <w:r w:rsidR="002C3A46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>В соответствии с классификацией видов страхования</w:t>
      </w:r>
      <w:r w:rsidR="007165D3" w:rsidRPr="003917B8">
        <w:rPr>
          <w:sz w:val="28"/>
          <w:szCs w:val="28"/>
        </w:rPr>
        <w:t>,</w:t>
      </w:r>
      <w:r w:rsidRPr="003917B8">
        <w:rPr>
          <w:sz w:val="28"/>
          <w:szCs w:val="28"/>
        </w:rPr>
        <w:t xml:space="preserve"> личное страхование включает в себя:</w:t>
      </w:r>
    </w:p>
    <w:p w:rsidR="00283E2A" w:rsidRPr="003917B8" w:rsidRDefault="00283E2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1. </w:t>
      </w:r>
      <w:r w:rsidR="007165D3" w:rsidRPr="003917B8">
        <w:rPr>
          <w:sz w:val="28"/>
          <w:szCs w:val="28"/>
        </w:rPr>
        <w:t>Страхование</w:t>
      </w:r>
      <w:r w:rsidRPr="003917B8">
        <w:rPr>
          <w:sz w:val="28"/>
          <w:szCs w:val="28"/>
        </w:rPr>
        <w:t xml:space="preserve"> жизни</w:t>
      </w:r>
      <w:r w:rsidR="0007155A" w:rsidRPr="003917B8">
        <w:rPr>
          <w:sz w:val="28"/>
          <w:szCs w:val="28"/>
        </w:rPr>
        <w:t>:</w:t>
      </w:r>
      <w:r w:rsidRPr="003917B8">
        <w:rPr>
          <w:sz w:val="28"/>
          <w:szCs w:val="28"/>
        </w:rPr>
        <w:t xml:space="preserve"> </w:t>
      </w:r>
    </w:p>
    <w:p w:rsidR="0007155A" w:rsidRPr="003917B8" w:rsidRDefault="00283E2A" w:rsidP="003917B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страхование жизни на случай смерти, дожития до определенного возраста или срока либо </w:t>
      </w:r>
      <w:r w:rsidR="0007155A" w:rsidRPr="003917B8">
        <w:rPr>
          <w:sz w:val="28"/>
          <w:szCs w:val="28"/>
        </w:rPr>
        <w:t>наступления иного события;</w:t>
      </w:r>
    </w:p>
    <w:p w:rsidR="00283E2A" w:rsidRPr="003917B8" w:rsidRDefault="00283E2A" w:rsidP="003917B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страхование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65D3" w:rsidRPr="003917B8">
        <w:rPr>
          <w:sz w:val="28"/>
          <w:szCs w:val="28"/>
        </w:rPr>
        <w:t>.</w:t>
      </w:r>
      <w:r w:rsidRPr="003917B8">
        <w:rPr>
          <w:sz w:val="28"/>
          <w:szCs w:val="28"/>
        </w:rPr>
        <w:t xml:space="preserve"> </w:t>
      </w:r>
    </w:p>
    <w:p w:rsidR="00283E2A" w:rsidRPr="003917B8" w:rsidRDefault="00283E2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2. </w:t>
      </w:r>
      <w:r w:rsidR="007165D3" w:rsidRPr="003917B8">
        <w:rPr>
          <w:sz w:val="28"/>
          <w:szCs w:val="28"/>
        </w:rPr>
        <w:t>П</w:t>
      </w:r>
      <w:r w:rsidRPr="003917B8">
        <w:rPr>
          <w:sz w:val="28"/>
          <w:szCs w:val="28"/>
        </w:rPr>
        <w:t>енсионное страхование</w:t>
      </w:r>
      <w:r w:rsidR="00360C79" w:rsidRPr="003917B8">
        <w:rPr>
          <w:sz w:val="28"/>
          <w:szCs w:val="28"/>
        </w:rPr>
        <w:t xml:space="preserve"> –</w:t>
      </w:r>
      <w:r w:rsidR="0007155A" w:rsidRPr="003917B8">
        <w:rPr>
          <w:sz w:val="28"/>
          <w:szCs w:val="28"/>
        </w:rPr>
        <w:t xml:space="preserve"> </w:t>
      </w:r>
      <w:r w:rsidR="00360C79" w:rsidRPr="003917B8">
        <w:rPr>
          <w:sz w:val="28"/>
          <w:szCs w:val="28"/>
        </w:rPr>
        <w:t xml:space="preserve">вид личного страхования, при котором страхователь единовременно или в рассрочку уплачивает страховой взнос, а страховщик берет на себя обязательство периодически выплачивать застрахованному пенсию. Различают временную и пожизненную пенсии. </w:t>
      </w:r>
      <w:r w:rsidRPr="003917B8">
        <w:rPr>
          <w:sz w:val="28"/>
          <w:szCs w:val="28"/>
        </w:rPr>
        <w:t xml:space="preserve"> </w:t>
      </w:r>
    </w:p>
    <w:p w:rsidR="00283E2A" w:rsidRPr="003917B8" w:rsidRDefault="00283E2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3. </w:t>
      </w:r>
      <w:r w:rsidR="007165D3" w:rsidRPr="003917B8">
        <w:rPr>
          <w:sz w:val="28"/>
          <w:szCs w:val="28"/>
        </w:rPr>
        <w:t>С</w:t>
      </w:r>
      <w:r w:rsidRPr="003917B8">
        <w:rPr>
          <w:sz w:val="28"/>
          <w:szCs w:val="28"/>
        </w:rPr>
        <w:t xml:space="preserve">трахование от несчастных случаев и болезней </w:t>
      </w:r>
      <w:r w:rsidR="0007155A" w:rsidRPr="003917B8">
        <w:rPr>
          <w:sz w:val="28"/>
          <w:szCs w:val="28"/>
        </w:rPr>
        <w:t>п</w:t>
      </w:r>
      <w:r w:rsidRPr="003917B8">
        <w:rPr>
          <w:sz w:val="28"/>
          <w:szCs w:val="28"/>
        </w:rPr>
        <w:t xml:space="preserve">редусматривает выплату страховой суммы (полностью или частично) в связи с наступлением неблагоприятных явлений (или их последствий), связанных с жизнью и здоровьем страхователя (застрахованного). </w:t>
      </w:r>
    </w:p>
    <w:p w:rsidR="00F45003" w:rsidRPr="003917B8" w:rsidRDefault="00283E2A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4. </w:t>
      </w:r>
      <w:r w:rsidR="004152F7" w:rsidRPr="003917B8">
        <w:rPr>
          <w:sz w:val="28"/>
          <w:szCs w:val="28"/>
        </w:rPr>
        <w:t>М</w:t>
      </w:r>
      <w:r w:rsidRPr="003917B8">
        <w:rPr>
          <w:sz w:val="28"/>
          <w:szCs w:val="28"/>
        </w:rPr>
        <w:t>едицинское страхование.</w:t>
      </w:r>
      <w:r w:rsidR="00F45003" w:rsidRPr="003917B8">
        <w:rPr>
          <w:sz w:val="28"/>
          <w:szCs w:val="28"/>
        </w:rPr>
        <w:t xml:space="preserve"> Целью медицинского страхования является компенсация (полная или частичная) дополнительных расходов застрахованного, которые вызваны его обращением в медицинское учреждение за медицинскими услугами, включ</w:t>
      </w:r>
      <w:r w:rsidR="00130E8A" w:rsidRPr="003917B8">
        <w:rPr>
          <w:sz w:val="28"/>
          <w:szCs w:val="28"/>
        </w:rPr>
        <w:t>е</w:t>
      </w:r>
      <w:r w:rsidR="00F45003" w:rsidRPr="003917B8">
        <w:rPr>
          <w:sz w:val="28"/>
          <w:szCs w:val="28"/>
        </w:rPr>
        <w:t xml:space="preserve">нными в программу медицинского страхования. Страховым случаем здесь является обращение застрахованного в медицинское учреждение </w:t>
      </w:r>
      <w:r w:rsidR="00F92AA0" w:rsidRPr="003917B8">
        <w:rPr>
          <w:sz w:val="28"/>
          <w:szCs w:val="28"/>
        </w:rPr>
        <w:t>для</w:t>
      </w:r>
      <w:r w:rsidR="00F45003" w:rsidRPr="003917B8">
        <w:rPr>
          <w:sz w:val="28"/>
          <w:szCs w:val="28"/>
        </w:rPr>
        <w:t xml:space="preserve"> получения лечебной, консультационной или иной помощи. </w:t>
      </w:r>
    </w:p>
    <w:p w:rsidR="00137043" w:rsidRPr="003917B8" w:rsidRDefault="002C3A46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17B8">
        <w:rPr>
          <w:sz w:val="28"/>
          <w:szCs w:val="28"/>
        </w:rPr>
        <w:t>В</w:t>
      </w:r>
      <w:r w:rsidR="00233164" w:rsidRPr="003917B8">
        <w:rPr>
          <w:sz w:val="28"/>
          <w:szCs w:val="28"/>
        </w:rPr>
        <w:t xml:space="preserve">заимные обязательства </w:t>
      </w:r>
      <w:r w:rsidR="00D91ED9" w:rsidRPr="003917B8">
        <w:rPr>
          <w:sz w:val="28"/>
          <w:szCs w:val="28"/>
        </w:rPr>
        <w:t>страховател</w:t>
      </w:r>
      <w:r w:rsidR="00233164" w:rsidRPr="003917B8">
        <w:rPr>
          <w:sz w:val="28"/>
          <w:szCs w:val="28"/>
        </w:rPr>
        <w:t>я</w:t>
      </w:r>
      <w:r w:rsidR="00D91ED9" w:rsidRPr="003917B8">
        <w:rPr>
          <w:sz w:val="28"/>
          <w:szCs w:val="28"/>
        </w:rPr>
        <w:t xml:space="preserve"> и страховщик</w:t>
      </w:r>
      <w:r w:rsidR="00233164" w:rsidRPr="003917B8">
        <w:rPr>
          <w:sz w:val="28"/>
          <w:szCs w:val="28"/>
        </w:rPr>
        <w:t>а</w:t>
      </w:r>
      <w:r w:rsidR="00D91ED9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 xml:space="preserve">регулирует </w:t>
      </w:r>
      <w:r w:rsidR="00D91ED9" w:rsidRPr="003917B8">
        <w:rPr>
          <w:sz w:val="28"/>
          <w:szCs w:val="28"/>
        </w:rPr>
        <w:t>договор страхования.</w:t>
      </w:r>
      <w:r w:rsidR="00233164" w:rsidRPr="003917B8">
        <w:rPr>
          <w:sz w:val="28"/>
          <w:szCs w:val="28"/>
        </w:rPr>
        <w:t xml:space="preserve"> </w:t>
      </w:r>
      <w:r w:rsidR="00137043" w:rsidRPr="003917B8">
        <w:rPr>
          <w:color w:val="000000"/>
          <w:sz w:val="28"/>
          <w:szCs w:val="28"/>
        </w:rPr>
        <w:t xml:space="preserve">По договору страхования одна сторона (страховщик) обязуется за обусловленную договором плату (страховую премию), уплачиваемую другой стороной (страхователем), выплатить единовременно или выплачивать периодически обусловленную договором сумму (страховую сумму) в случае </w:t>
      </w:r>
      <w:r w:rsidRPr="003917B8">
        <w:rPr>
          <w:color w:val="000000"/>
          <w:sz w:val="28"/>
          <w:szCs w:val="28"/>
        </w:rPr>
        <w:t>наступления предусмотренного договором события (страхового случая).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3657" w:rsidRPr="003917B8" w:rsidRDefault="00F03657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1.</w:t>
      </w:r>
      <w:r w:rsidR="00C9399D" w:rsidRPr="003917B8">
        <w:rPr>
          <w:b/>
          <w:sz w:val="28"/>
          <w:szCs w:val="28"/>
        </w:rPr>
        <w:t>2</w:t>
      </w:r>
      <w:r w:rsidRPr="003917B8">
        <w:rPr>
          <w:b/>
          <w:sz w:val="28"/>
          <w:szCs w:val="28"/>
        </w:rPr>
        <w:t xml:space="preserve">. </w:t>
      </w:r>
      <w:r w:rsidR="00DB4148" w:rsidRPr="003917B8">
        <w:rPr>
          <w:b/>
          <w:sz w:val="28"/>
          <w:szCs w:val="28"/>
        </w:rPr>
        <w:t>Страхование как э</w:t>
      </w:r>
      <w:r w:rsidRPr="003917B8">
        <w:rPr>
          <w:b/>
          <w:sz w:val="28"/>
          <w:szCs w:val="28"/>
        </w:rPr>
        <w:t>кономическ</w:t>
      </w:r>
      <w:r w:rsidR="00442173" w:rsidRPr="003917B8">
        <w:rPr>
          <w:b/>
          <w:sz w:val="28"/>
          <w:szCs w:val="28"/>
        </w:rPr>
        <w:t>ая</w:t>
      </w:r>
      <w:r w:rsidRPr="003917B8">
        <w:rPr>
          <w:b/>
          <w:sz w:val="28"/>
          <w:szCs w:val="28"/>
        </w:rPr>
        <w:t xml:space="preserve"> </w:t>
      </w:r>
      <w:r w:rsidR="00DB4148" w:rsidRPr="003917B8">
        <w:rPr>
          <w:b/>
          <w:sz w:val="28"/>
          <w:szCs w:val="28"/>
        </w:rPr>
        <w:t>категория</w:t>
      </w:r>
      <w:r w:rsidRPr="003917B8">
        <w:rPr>
          <w:b/>
          <w:sz w:val="28"/>
          <w:szCs w:val="28"/>
        </w:rPr>
        <w:t xml:space="preserve"> </w:t>
      </w:r>
    </w:p>
    <w:p w:rsidR="003917B8" w:rsidRDefault="003917B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128C" w:rsidRPr="003917B8" w:rsidRDefault="0075128C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Как экономическая категория страхование представляет систему экономических отношений, включающую совокупность форм и методов формирования целевых фондов денежных средств и их использование на возмещение ущерба при различных рисках, а также на оказание помощи застрахованным лицам при наступлении определенных событий в их жизни</w:t>
      </w:r>
      <w:r w:rsidR="00A47DED" w:rsidRPr="003917B8">
        <w:rPr>
          <w:sz w:val="28"/>
          <w:szCs w:val="28"/>
        </w:rPr>
        <w:t xml:space="preserve"> [20, с. 10]</w:t>
      </w:r>
      <w:r w:rsidRPr="003917B8">
        <w:rPr>
          <w:sz w:val="28"/>
          <w:szCs w:val="28"/>
        </w:rPr>
        <w:t xml:space="preserve">. Оно выступает, с одной стороны, средством защиты бизнеса и благосостояния людей, а с другой </w:t>
      </w:r>
      <w:r w:rsidR="00B31885" w:rsidRPr="003917B8">
        <w:rPr>
          <w:sz w:val="28"/>
          <w:szCs w:val="28"/>
        </w:rPr>
        <w:t>–</w:t>
      </w:r>
      <w:r w:rsidRPr="003917B8">
        <w:rPr>
          <w:sz w:val="28"/>
          <w:szCs w:val="28"/>
        </w:rPr>
        <w:t xml:space="preserve"> видом деятельности, приносящим доход. Источниками прибыли страховой организации служат доходы от страховой деятельности, от инвестиций временно свободных средств в объекты производственной и непроизводственной сфер деятельности, акции предприятий, банковские депозиты и т.д.</w:t>
      </w:r>
    </w:p>
    <w:p w:rsidR="0075128C" w:rsidRPr="003917B8" w:rsidRDefault="0075128C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Страхование снижает нагрузку на расходную часть бюджета (поскольку возмещаются убытки при наступлении непредвиденных природных и техногенных явлений), позволяет успешно решать вопросы социального обеспечения, являясь важнейшим элементом социальной системы государства. Страхование позволяет привлечь в экономику значительные инвестиционные ресурсы. В развитых странах страхование в силу своей специфики и выполняемых функций является стратегическим сектором экономики.</w:t>
      </w:r>
    </w:p>
    <w:p w:rsidR="00A41E14" w:rsidRPr="003917B8" w:rsidRDefault="00A41E14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Экономической сущности страхования соответствуют его </w:t>
      </w:r>
      <w:r w:rsidRPr="003917B8">
        <w:rPr>
          <w:b/>
          <w:sz w:val="28"/>
          <w:szCs w:val="28"/>
        </w:rPr>
        <w:t>функции</w:t>
      </w:r>
      <w:r w:rsidRPr="003917B8">
        <w:rPr>
          <w:sz w:val="28"/>
          <w:szCs w:val="28"/>
        </w:rPr>
        <w:t xml:space="preserve">. Большинство экономистов выделяют следующие функции: рисковая, предупредительная, контрольная и сберегающая. </w:t>
      </w:r>
    </w:p>
    <w:p w:rsidR="00A41E14" w:rsidRPr="003917B8" w:rsidRDefault="00A41E14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Главной является рисковая функция, </w:t>
      </w:r>
      <w:r w:rsidR="00F0389A" w:rsidRPr="003917B8">
        <w:rPr>
          <w:sz w:val="28"/>
          <w:szCs w:val="28"/>
        </w:rPr>
        <w:t>т.к.</w:t>
      </w:r>
      <w:r w:rsidRPr="003917B8">
        <w:rPr>
          <w:sz w:val="28"/>
          <w:szCs w:val="28"/>
        </w:rPr>
        <w:t xml:space="preserve"> страховой риск, как вероятность ущерба, связан с основным назначением страхования </w:t>
      </w:r>
      <w:r w:rsidR="00F92AA0" w:rsidRPr="003917B8">
        <w:rPr>
          <w:sz w:val="28"/>
          <w:szCs w:val="28"/>
        </w:rPr>
        <w:t xml:space="preserve">– </w:t>
      </w:r>
      <w:r w:rsidRPr="003917B8">
        <w:rPr>
          <w:sz w:val="28"/>
          <w:szCs w:val="28"/>
        </w:rPr>
        <w:t>оказани</w:t>
      </w:r>
      <w:r w:rsidR="00F92AA0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 xml:space="preserve"> денежной помощи пострадавшим лицам.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событий. </w:t>
      </w:r>
    </w:p>
    <w:p w:rsidR="00A41E14" w:rsidRPr="003917B8" w:rsidRDefault="00A41E14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Предупредительная функция предполагает широкий комплекс мер, направленных на финансирование мероприятий по недопущению или уменьшению последствий несчастных случаев. Экономическая сущность этой функции в том, что, располагая страховыми фондами, компания заинтересована в длительном использовании этих средств. Имея на защите многочисленные, в том числе однородные риски различных субъектов, страховая компания стремится к сокращению вероятности выплат пут</w:t>
      </w:r>
      <w:r w:rsidR="00F96A4F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>м уменьшения вероятности страхового случая. Для этого в тарифах на отдельные виды страхования предусматриваются определ</w:t>
      </w:r>
      <w:r w:rsidR="00F96A4F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 xml:space="preserve">нные отчисления для образования фондов предупредительных мероприятий. </w:t>
      </w:r>
    </w:p>
    <w:p w:rsidR="00A41E14" w:rsidRPr="003917B8" w:rsidRDefault="00A41E14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Контрольная функция страхования заключается в строго целевом формировании и использовании средств фонда страхования. Данная функция вытекает из указанных выше функций и проявляется одновременно с ними в конкретных страховых отношениях. В соответствии с контрольной функцией на основании законодательных и инструктивных документов осуществляется финансовый страховой контроль над правильностью проведения страховых операций. </w:t>
      </w:r>
    </w:p>
    <w:p w:rsidR="00A41E14" w:rsidRPr="003917B8" w:rsidRDefault="00A41E14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Сберегательная функция реализуется посредством </w:t>
      </w:r>
      <w:r w:rsidR="004542C1" w:rsidRPr="003917B8">
        <w:rPr>
          <w:sz w:val="28"/>
          <w:szCs w:val="28"/>
        </w:rPr>
        <w:t>накопительных видов страхования.</w:t>
      </w:r>
      <w:r w:rsidRPr="003917B8">
        <w:rPr>
          <w:sz w:val="28"/>
          <w:szCs w:val="28"/>
        </w:rPr>
        <w:t xml:space="preserve"> </w:t>
      </w:r>
    </w:p>
    <w:p w:rsidR="000A7B4C" w:rsidRPr="003917B8" w:rsidRDefault="000A7B4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Учитывая </w:t>
      </w:r>
      <w:r w:rsidR="00B31885" w:rsidRPr="003917B8">
        <w:rPr>
          <w:sz w:val="28"/>
          <w:szCs w:val="28"/>
        </w:rPr>
        <w:t>изложенное, можно сделать вывод</w:t>
      </w:r>
      <w:r w:rsidR="00CE6E49" w:rsidRPr="003917B8">
        <w:rPr>
          <w:sz w:val="28"/>
          <w:szCs w:val="28"/>
        </w:rPr>
        <w:t>:</w:t>
      </w:r>
      <w:r w:rsidR="00B31885" w:rsidRPr="003917B8">
        <w:rPr>
          <w:sz w:val="28"/>
          <w:szCs w:val="28"/>
        </w:rPr>
        <w:t xml:space="preserve"> </w:t>
      </w:r>
      <w:r w:rsidR="00CE6E49" w:rsidRPr="003917B8">
        <w:rPr>
          <w:sz w:val="28"/>
          <w:szCs w:val="28"/>
        </w:rPr>
        <w:t>с</w:t>
      </w:r>
      <w:r w:rsidR="00B31885" w:rsidRPr="003917B8">
        <w:rPr>
          <w:sz w:val="28"/>
          <w:szCs w:val="28"/>
        </w:rPr>
        <w:t>трахование является одним из важнейших элементов системы рыночных отношений и представляет собой финансовые отношения, связанные с выполнением специфических функций в экономике. Страхование сегодня обеспечивает экономические интересы отдельного человека и общества в целом.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0BF0" w:rsidRPr="003917B8" w:rsidRDefault="00130BF0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1.</w:t>
      </w:r>
      <w:r w:rsidR="00F70D41" w:rsidRPr="003917B8">
        <w:rPr>
          <w:b/>
          <w:sz w:val="28"/>
          <w:szCs w:val="28"/>
        </w:rPr>
        <w:t>3</w:t>
      </w:r>
      <w:r w:rsidRPr="003917B8">
        <w:rPr>
          <w:b/>
          <w:sz w:val="28"/>
          <w:szCs w:val="28"/>
        </w:rPr>
        <w:t>. Правовое</w:t>
      </w:r>
      <w:r w:rsidR="00BA7D7A" w:rsidRPr="003917B8">
        <w:rPr>
          <w:b/>
          <w:sz w:val="28"/>
          <w:szCs w:val="28"/>
        </w:rPr>
        <w:t xml:space="preserve"> регулирование </w:t>
      </w:r>
      <w:r w:rsidR="00BF7935" w:rsidRPr="003917B8">
        <w:rPr>
          <w:b/>
          <w:sz w:val="28"/>
          <w:szCs w:val="28"/>
        </w:rPr>
        <w:t xml:space="preserve">сферы </w:t>
      </w:r>
      <w:r w:rsidR="00BA7D7A" w:rsidRPr="003917B8">
        <w:rPr>
          <w:b/>
          <w:sz w:val="28"/>
          <w:szCs w:val="28"/>
        </w:rPr>
        <w:t>страхования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13292C" w:rsidRPr="003917B8" w:rsidRDefault="00F0389A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</w:t>
      </w:r>
      <w:r w:rsidR="0013292C" w:rsidRPr="003917B8">
        <w:rPr>
          <w:sz w:val="28"/>
          <w:szCs w:val="28"/>
        </w:rPr>
        <w:t xml:space="preserve">тношения в сфере страхования можно разделить на </w:t>
      </w:r>
      <w:r w:rsidR="007B7D06" w:rsidRPr="003917B8">
        <w:rPr>
          <w:sz w:val="28"/>
          <w:szCs w:val="28"/>
        </w:rPr>
        <w:t>две</w:t>
      </w:r>
      <w:r w:rsidR="0013292C" w:rsidRPr="003917B8">
        <w:rPr>
          <w:sz w:val="28"/>
          <w:szCs w:val="28"/>
        </w:rPr>
        <w:t xml:space="preserve"> группы:</w:t>
      </w:r>
    </w:p>
    <w:p w:rsidR="0013292C" w:rsidRPr="003917B8" w:rsidRDefault="00C63060" w:rsidP="003917B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</w:t>
      </w:r>
      <w:r w:rsidR="0013292C" w:rsidRPr="003917B8">
        <w:rPr>
          <w:sz w:val="28"/>
          <w:szCs w:val="28"/>
        </w:rPr>
        <w:t>тношения между страховщиками и страхователями (выгодоприобретателя</w:t>
      </w:r>
      <w:r w:rsidRPr="003917B8">
        <w:rPr>
          <w:sz w:val="28"/>
          <w:szCs w:val="28"/>
        </w:rPr>
        <w:t>ми)</w:t>
      </w:r>
      <w:r w:rsidR="0013292C" w:rsidRPr="003917B8">
        <w:rPr>
          <w:sz w:val="28"/>
          <w:szCs w:val="28"/>
        </w:rPr>
        <w:t xml:space="preserve"> по поводу создания и</w:t>
      </w:r>
      <w:r w:rsidR="00797EDF" w:rsidRPr="003917B8">
        <w:rPr>
          <w:sz w:val="28"/>
          <w:szCs w:val="28"/>
        </w:rPr>
        <w:t xml:space="preserve"> использования страховых фондов</w:t>
      </w:r>
      <w:r w:rsidR="0013292C" w:rsidRPr="003917B8">
        <w:rPr>
          <w:sz w:val="28"/>
          <w:szCs w:val="28"/>
        </w:rPr>
        <w:t>.</w:t>
      </w:r>
    </w:p>
    <w:p w:rsidR="0013292C" w:rsidRPr="003917B8" w:rsidRDefault="00C63060" w:rsidP="003917B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</w:t>
      </w:r>
      <w:r w:rsidR="0013292C" w:rsidRPr="003917B8">
        <w:rPr>
          <w:sz w:val="28"/>
          <w:szCs w:val="28"/>
        </w:rPr>
        <w:t>тношения по поводу надлежащего функционирования страхового фонда и обеспечения его целевого назначения между органом государственного страхового надзора, а также иными государственными органами</w:t>
      </w:r>
      <w:r w:rsidR="00797EDF" w:rsidRPr="003917B8">
        <w:rPr>
          <w:sz w:val="28"/>
          <w:szCs w:val="28"/>
        </w:rPr>
        <w:t>,</w:t>
      </w:r>
      <w:r w:rsidR="0013292C" w:rsidRPr="003917B8">
        <w:rPr>
          <w:sz w:val="28"/>
          <w:szCs w:val="28"/>
        </w:rPr>
        <w:t xml:space="preserve"> </w:t>
      </w:r>
      <w:r w:rsidR="00797EDF" w:rsidRPr="003917B8">
        <w:rPr>
          <w:sz w:val="28"/>
          <w:szCs w:val="28"/>
        </w:rPr>
        <w:t xml:space="preserve">и </w:t>
      </w:r>
      <w:r w:rsidR="0013292C" w:rsidRPr="003917B8">
        <w:rPr>
          <w:sz w:val="28"/>
          <w:szCs w:val="28"/>
        </w:rPr>
        <w:t>страховщиками, регулируемые путем властных предписаний государственных органов.</w:t>
      </w:r>
    </w:p>
    <w:p w:rsidR="0013292C" w:rsidRPr="003917B8" w:rsidRDefault="0013292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Соответственно такому разграничению общественных отношений в области страхования формируется и законодательство в этой сфере, а именно:</w:t>
      </w:r>
    </w:p>
    <w:p w:rsidR="0013292C" w:rsidRPr="003917B8" w:rsidRDefault="0013292C" w:rsidP="003917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Государственное регулирование страховой деятельности </w:t>
      </w:r>
      <w:r w:rsidR="00797EDF" w:rsidRPr="003917B8">
        <w:rPr>
          <w:sz w:val="28"/>
          <w:szCs w:val="28"/>
        </w:rPr>
        <w:t>–</w:t>
      </w:r>
      <w:r w:rsidRPr="003917B8">
        <w:rPr>
          <w:sz w:val="28"/>
          <w:szCs w:val="28"/>
        </w:rPr>
        <w:t>требования к субъектам, положения о лицензировании, формировании страховых резервов, надзор – сформулировано в Федеральном законе «О страховании» от 27.11.92 №4015-1 (с последующими изменениями и дополнениями) и в ряде других источников права в области государственного регулирования страховой деятельности.</w:t>
      </w:r>
    </w:p>
    <w:p w:rsidR="0013292C" w:rsidRPr="003917B8" w:rsidRDefault="0013292C" w:rsidP="003917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Частно-правовое регулирование </w:t>
      </w:r>
      <w:r w:rsidR="00797EDF" w:rsidRPr="003917B8">
        <w:rPr>
          <w:sz w:val="28"/>
          <w:szCs w:val="28"/>
        </w:rPr>
        <w:t xml:space="preserve">– </w:t>
      </w:r>
      <w:r w:rsidRPr="003917B8">
        <w:rPr>
          <w:sz w:val="28"/>
          <w:szCs w:val="28"/>
        </w:rPr>
        <w:t>регулирование договора страхования, отношений между страховщиком и страхователем (выгодоприобретателем) и т.п. – сформулировано в Гражданском кодексе РФ, а также в некоторых иных источниках гражданского права.</w:t>
      </w:r>
    </w:p>
    <w:p w:rsidR="0013292C" w:rsidRPr="003917B8" w:rsidRDefault="0013292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Основополагающим нормативно-правовым актом в системе государственного регулирования страховой деятельности в РФ является Закон РФ «О страховании», который с 01.01.98 действует с внесенными в него изменениями и дополнениями в новой редакции «Об организации страхового дела в Российской Федерации» от 31.12.97 №157-ФЗ. Настоящий Закон является базовым по отношению к другим законам в области страхования</w:t>
      </w:r>
      <w:r w:rsidR="00EF7DA8" w:rsidRPr="003917B8">
        <w:rPr>
          <w:sz w:val="28"/>
          <w:szCs w:val="28"/>
        </w:rPr>
        <w:t xml:space="preserve"> [16, с. 80]</w:t>
      </w:r>
      <w:r w:rsidRPr="003917B8">
        <w:rPr>
          <w:sz w:val="28"/>
          <w:szCs w:val="28"/>
        </w:rPr>
        <w:t>.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610B" w:rsidRPr="003917B8" w:rsidRDefault="00AC610B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1.</w:t>
      </w:r>
      <w:r w:rsidR="00F70D41" w:rsidRPr="003917B8">
        <w:rPr>
          <w:b/>
          <w:sz w:val="28"/>
          <w:szCs w:val="28"/>
        </w:rPr>
        <w:t>4</w:t>
      </w:r>
      <w:r w:rsidRPr="003917B8">
        <w:rPr>
          <w:b/>
          <w:sz w:val="28"/>
          <w:szCs w:val="28"/>
        </w:rPr>
        <w:t xml:space="preserve">. </w:t>
      </w:r>
      <w:r w:rsidR="008C1DE1" w:rsidRPr="003917B8">
        <w:rPr>
          <w:b/>
          <w:sz w:val="28"/>
          <w:szCs w:val="28"/>
        </w:rPr>
        <w:t>Международный опыт личного страхования на примере США</w:t>
      </w:r>
    </w:p>
    <w:p w:rsidR="003917B8" w:rsidRDefault="003917B8" w:rsidP="003917B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10B" w:rsidRPr="003917B8" w:rsidRDefault="00797EDF" w:rsidP="003917B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Американский страховой бизнес отличается огромным размахом и не имеет себе равных в мире.</w:t>
      </w:r>
      <w:r w:rsidR="00821541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="00F80C2E" w:rsidRPr="003917B8">
        <w:rPr>
          <w:rFonts w:ascii="Times New Roman" w:hAnsi="Times New Roman" w:cs="Times New Roman"/>
          <w:sz w:val="28"/>
          <w:szCs w:val="28"/>
        </w:rPr>
        <w:t xml:space="preserve">Под личным страхованием в Америке понимается страхование строений, автомобилей и другого имущества граждан, а страхование жизни и здоровья, медицинское, пенсии проводится в рамках т.н. </w:t>
      </w:r>
      <w:r w:rsidR="00AC610B" w:rsidRPr="003917B8">
        <w:rPr>
          <w:rFonts w:ascii="Times New Roman" w:hAnsi="Times New Roman" w:cs="Times New Roman"/>
          <w:sz w:val="28"/>
          <w:szCs w:val="28"/>
        </w:rPr>
        <w:t>бекифит</w:t>
      </w:r>
      <w:r w:rsidR="00F80C2E" w:rsidRPr="003917B8">
        <w:rPr>
          <w:rFonts w:ascii="Times New Roman" w:hAnsi="Times New Roman" w:cs="Times New Roman"/>
          <w:sz w:val="28"/>
          <w:szCs w:val="28"/>
        </w:rPr>
        <w:t>ов</w:t>
      </w:r>
      <w:r w:rsidR="005C6A4A" w:rsidRPr="003917B8">
        <w:rPr>
          <w:rFonts w:ascii="Times New Roman" w:hAnsi="Times New Roman" w:cs="Times New Roman"/>
          <w:sz w:val="28"/>
          <w:szCs w:val="28"/>
        </w:rPr>
        <w:t xml:space="preserve"> [3, стр. 16]</w:t>
      </w:r>
      <w:r w:rsidR="00F80C2E" w:rsidRPr="003917B8">
        <w:rPr>
          <w:rFonts w:ascii="Times New Roman" w:hAnsi="Times New Roman" w:cs="Times New Roman"/>
          <w:sz w:val="28"/>
          <w:szCs w:val="28"/>
        </w:rPr>
        <w:t>.</w:t>
      </w:r>
    </w:p>
    <w:p w:rsidR="00AC610B" w:rsidRPr="003917B8" w:rsidRDefault="00AC610B" w:rsidP="003917B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Одн</w:t>
      </w:r>
      <w:r w:rsidR="006E2D2D" w:rsidRPr="003917B8">
        <w:rPr>
          <w:rFonts w:ascii="Times New Roman" w:hAnsi="Times New Roman" w:cs="Times New Roman"/>
          <w:sz w:val="28"/>
          <w:szCs w:val="28"/>
        </w:rPr>
        <w:t>а</w:t>
      </w:r>
      <w:r w:rsidRPr="003917B8">
        <w:rPr>
          <w:rFonts w:ascii="Times New Roman" w:hAnsi="Times New Roman" w:cs="Times New Roman"/>
          <w:sz w:val="28"/>
          <w:szCs w:val="28"/>
        </w:rPr>
        <w:t xml:space="preserve"> из важнейших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особенностей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крупнейших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компаний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США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по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страхованию</w:t>
      </w:r>
      <w:r w:rsidR="0096474F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B3E56" w:rsidRPr="003917B8">
        <w:rPr>
          <w:rFonts w:ascii="Times New Roman" w:hAnsi="Times New Roman" w:cs="Times New Roman"/>
          <w:sz w:val="28"/>
          <w:szCs w:val="28"/>
        </w:rPr>
        <w:t>–</w:t>
      </w:r>
      <w:r w:rsidRPr="003917B8">
        <w:rPr>
          <w:rFonts w:ascii="Times New Roman" w:hAnsi="Times New Roman" w:cs="Times New Roman"/>
          <w:sz w:val="28"/>
          <w:szCs w:val="28"/>
        </w:rPr>
        <w:t xml:space="preserve"> в силу высокого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авторитета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страховых</w:t>
      </w:r>
      <w:r w:rsidR="00CB3E56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компаний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их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управление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передаются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многомиллиардные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средства,</w:t>
      </w:r>
      <w:r w:rsidR="00CB3E56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принадлежащие различным пенсионным фондам. Задача страховых обществ</w:t>
      </w:r>
      <w:r w:rsidR="00F0389A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="00CB3E56" w:rsidRPr="003917B8">
        <w:rPr>
          <w:rFonts w:ascii="Times New Roman" w:hAnsi="Times New Roman" w:cs="Times New Roman"/>
          <w:sz w:val="28"/>
          <w:szCs w:val="28"/>
        </w:rPr>
        <w:t xml:space="preserve">– </w:t>
      </w:r>
      <w:r w:rsidRPr="003917B8">
        <w:rPr>
          <w:rFonts w:ascii="Times New Roman" w:hAnsi="Times New Roman" w:cs="Times New Roman"/>
          <w:sz w:val="28"/>
          <w:szCs w:val="28"/>
        </w:rPr>
        <w:t>путем разумной инвестиционной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политики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обеспечить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сохранность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и</w:t>
      </w:r>
      <w:r w:rsidR="00AB5D4A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прирост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доверенных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средств.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За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управление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="00F0389A" w:rsidRPr="003917B8">
        <w:rPr>
          <w:rFonts w:ascii="Times New Roman" w:hAnsi="Times New Roman" w:cs="Times New Roman"/>
          <w:sz w:val="28"/>
          <w:szCs w:val="28"/>
        </w:rPr>
        <w:t>ими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страховые</w:t>
      </w:r>
      <w:r w:rsidR="00DF0CB8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компании взим</w:t>
      </w:r>
      <w:r w:rsidR="007E4CD7" w:rsidRPr="003917B8">
        <w:rPr>
          <w:rFonts w:ascii="Times New Roman" w:hAnsi="Times New Roman" w:cs="Times New Roman"/>
          <w:sz w:val="28"/>
          <w:szCs w:val="28"/>
        </w:rPr>
        <w:t>ают комиссионное вознаграждение</w:t>
      </w:r>
      <w:r w:rsidRPr="003917B8">
        <w:rPr>
          <w:rFonts w:ascii="Times New Roman" w:hAnsi="Times New Roman" w:cs="Times New Roman"/>
          <w:sz w:val="28"/>
          <w:szCs w:val="28"/>
        </w:rPr>
        <w:t>.</w:t>
      </w:r>
      <w:r w:rsidR="007E4CD7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="00190AF9" w:rsidRPr="003917B8">
        <w:rPr>
          <w:rFonts w:ascii="Times New Roman" w:hAnsi="Times New Roman" w:cs="Times New Roman"/>
          <w:sz w:val="28"/>
          <w:szCs w:val="28"/>
        </w:rPr>
        <w:t>О</w:t>
      </w:r>
      <w:r w:rsidRPr="003917B8">
        <w:rPr>
          <w:rFonts w:ascii="Times New Roman" w:hAnsi="Times New Roman" w:cs="Times New Roman"/>
          <w:sz w:val="28"/>
          <w:szCs w:val="28"/>
        </w:rPr>
        <w:t>громные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инвестиционные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ресурсы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превращают</w:t>
      </w:r>
      <w:r w:rsidR="00190AF9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страховые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компании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один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из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влиятельных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внешних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центров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финансового</w:t>
      </w:r>
      <w:r w:rsidR="00190AF9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контроля по отношению к промышленным корпорациям</w:t>
      </w:r>
      <w:r w:rsidR="00835875" w:rsidRPr="003917B8">
        <w:rPr>
          <w:rFonts w:ascii="Times New Roman" w:hAnsi="Times New Roman" w:cs="Times New Roman"/>
          <w:sz w:val="28"/>
          <w:szCs w:val="28"/>
        </w:rPr>
        <w:t xml:space="preserve">. </w:t>
      </w:r>
      <w:r w:rsidRPr="003917B8">
        <w:rPr>
          <w:rFonts w:ascii="Times New Roman" w:hAnsi="Times New Roman" w:cs="Times New Roman"/>
          <w:sz w:val="28"/>
          <w:szCs w:val="28"/>
        </w:rPr>
        <w:t>Впереди страховых компаний в этом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плане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только</w:t>
      </w:r>
      <w:r w:rsidR="00AB5D4A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коммерческие и инвестиционные банки.</w:t>
      </w:r>
    </w:p>
    <w:p w:rsidR="00AB5D4A" w:rsidRPr="003917B8" w:rsidRDefault="00C95355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Наибольшее развитие в США получило </w:t>
      </w:r>
      <w:r w:rsidRPr="003917B8">
        <w:rPr>
          <w:rStyle w:val="a3"/>
          <w:b w:val="0"/>
          <w:iCs/>
          <w:sz w:val="28"/>
          <w:szCs w:val="28"/>
        </w:rPr>
        <w:t>личное страхование</w:t>
      </w:r>
      <w:r w:rsidRPr="003917B8">
        <w:rPr>
          <w:sz w:val="28"/>
          <w:szCs w:val="28"/>
        </w:rPr>
        <w:t>.</w:t>
      </w:r>
      <w:r w:rsidR="004013FB" w:rsidRPr="003917B8">
        <w:rPr>
          <w:sz w:val="28"/>
          <w:szCs w:val="28"/>
        </w:rPr>
        <w:t xml:space="preserve"> </w:t>
      </w:r>
      <w:r w:rsidR="00F56D37" w:rsidRPr="003917B8">
        <w:rPr>
          <w:sz w:val="28"/>
          <w:szCs w:val="28"/>
        </w:rPr>
        <w:t>Это</w:t>
      </w:r>
      <w:r w:rsidR="00A56189" w:rsidRPr="003917B8">
        <w:rPr>
          <w:sz w:val="28"/>
          <w:szCs w:val="28"/>
        </w:rPr>
        <w:t xml:space="preserve"> в</w:t>
      </w:r>
      <w:r w:rsidR="00AB5D4A" w:rsidRPr="003917B8">
        <w:rPr>
          <w:sz w:val="28"/>
          <w:szCs w:val="28"/>
        </w:rPr>
        <w:t>ажнейш</w:t>
      </w:r>
      <w:r w:rsidR="00F56D37" w:rsidRPr="003917B8">
        <w:rPr>
          <w:sz w:val="28"/>
          <w:szCs w:val="28"/>
        </w:rPr>
        <w:t>ая</w:t>
      </w:r>
      <w:r w:rsidR="00AB5D4A" w:rsidRPr="003917B8">
        <w:rPr>
          <w:sz w:val="28"/>
          <w:szCs w:val="28"/>
        </w:rPr>
        <w:t xml:space="preserve"> сфер</w:t>
      </w:r>
      <w:r w:rsidR="00F56D37" w:rsidRPr="003917B8">
        <w:rPr>
          <w:sz w:val="28"/>
          <w:szCs w:val="28"/>
        </w:rPr>
        <w:t>а</w:t>
      </w:r>
      <w:r w:rsidR="00AB5D4A" w:rsidRPr="003917B8">
        <w:rPr>
          <w:sz w:val="28"/>
          <w:szCs w:val="28"/>
        </w:rPr>
        <w:t xml:space="preserve"> деятельности для американских страховых компаний. </w:t>
      </w:r>
      <w:r w:rsidR="002558FE" w:rsidRPr="003917B8">
        <w:rPr>
          <w:sz w:val="28"/>
          <w:szCs w:val="28"/>
        </w:rPr>
        <w:t>С</w:t>
      </w:r>
      <w:r w:rsidR="00AB5D4A" w:rsidRPr="003917B8">
        <w:rPr>
          <w:sz w:val="28"/>
          <w:szCs w:val="28"/>
        </w:rPr>
        <w:t>уществуют различные виды договоров личного страховани</w:t>
      </w:r>
      <w:r w:rsidR="004473A5" w:rsidRPr="003917B8">
        <w:rPr>
          <w:sz w:val="28"/>
          <w:szCs w:val="28"/>
        </w:rPr>
        <w:t>я:</w:t>
      </w:r>
    </w:p>
    <w:p w:rsidR="00F74E46" w:rsidRPr="003917B8" w:rsidRDefault="00F74E46" w:rsidP="003917B8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обычное страхование жизни</w:t>
      </w:r>
      <w:r w:rsidR="002C711D" w:rsidRPr="003917B8">
        <w:rPr>
          <w:rFonts w:ascii="Times New Roman" w:hAnsi="Times New Roman" w:cs="Times New Roman"/>
          <w:sz w:val="28"/>
          <w:szCs w:val="28"/>
        </w:rPr>
        <w:t>,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предусматрива</w:t>
      </w:r>
      <w:r w:rsidR="002C711D" w:rsidRPr="003917B8">
        <w:rPr>
          <w:rFonts w:ascii="Times New Roman" w:hAnsi="Times New Roman" w:cs="Times New Roman"/>
          <w:sz w:val="28"/>
          <w:szCs w:val="28"/>
        </w:rPr>
        <w:t>ющее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оплату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страхового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взноса в течение всей жизни застрахованного лица;</w:t>
      </w:r>
    </w:p>
    <w:p w:rsidR="00F74E46" w:rsidRPr="003917B8" w:rsidRDefault="00F74E46" w:rsidP="003917B8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страхование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жизни,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ограниченное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сроком,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предусматрива</w:t>
      </w:r>
      <w:r w:rsidR="002C711D" w:rsidRPr="003917B8">
        <w:rPr>
          <w:rFonts w:ascii="Times New Roman" w:hAnsi="Times New Roman" w:cs="Times New Roman"/>
          <w:sz w:val="28"/>
          <w:szCs w:val="28"/>
        </w:rPr>
        <w:t>ющее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оплату</w:t>
      </w:r>
      <w:r w:rsidR="00041525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страхового взноса в течение определенного периода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частями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или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</w:t>
      </w:r>
      <w:r w:rsidR="00041525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виде единовременной выплаты всей необходимой суммы,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после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чего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страховой</w:t>
      </w:r>
      <w:r w:rsidR="00041525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полис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считается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оплаченным.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Сумма,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указанная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договоре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страхования,</w:t>
      </w:r>
      <w:r w:rsidR="00041525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выплачивается единовременно в случае смерти застрахованного лица;</w:t>
      </w:r>
    </w:p>
    <w:p w:rsidR="00F74E46" w:rsidRPr="003917B8" w:rsidRDefault="00F74E46" w:rsidP="003917B8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страхование, предусматривающее выплату всей страховой</w:t>
      </w:r>
      <w:r w:rsidR="002B1C1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суммы по истечении указанного в полисе количества лет или в случае смерти</w:t>
      </w:r>
      <w:r w:rsidR="002B1C1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застрахованного лица;</w:t>
      </w:r>
    </w:p>
    <w:p w:rsidR="00F74E46" w:rsidRPr="003917B8" w:rsidRDefault="00F74E46" w:rsidP="003917B8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</w:rPr>
        <w:t>страхование на случай смерти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лишь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в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течение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определенного</w:t>
      </w:r>
      <w:r w:rsidR="002558FE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небольшого периода времени. Типичным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случаем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такого</w:t>
      </w:r>
      <w:r w:rsidR="002558FE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страхования является страхование жизни должника на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срок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действия</w:t>
      </w:r>
      <w:r w:rsidR="004B48D2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договора</w:t>
      </w:r>
      <w:r w:rsidR="002558FE" w:rsidRPr="003917B8">
        <w:rPr>
          <w:rFonts w:ascii="Times New Roman" w:hAnsi="Times New Roman" w:cs="Times New Roman"/>
          <w:sz w:val="28"/>
          <w:szCs w:val="28"/>
        </w:rPr>
        <w:t xml:space="preserve"> </w:t>
      </w:r>
      <w:r w:rsidRPr="003917B8">
        <w:rPr>
          <w:rFonts w:ascii="Times New Roman" w:hAnsi="Times New Roman" w:cs="Times New Roman"/>
          <w:sz w:val="28"/>
          <w:szCs w:val="28"/>
        </w:rPr>
        <w:t>займа.</w:t>
      </w:r>
    </w:p>
    <w:p w:rsidR="00AC610B" w:rsidRPr="003917B8" w:rsidRDefault="00AC610B" w:rsidP="003917B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0D" w:rsidRPr="003917B8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2D0D" w:rsidRPr="003917B8">
        <w:rPr>
          <w:b/>
          <w:sz w:val="28"/>
          <w:szCs w:val="28"/>
        </w:rPr>
        <w:t xml:space="preserve">2. </w:t>
      </w:r>
      <w:r w:rsidR="00D10909" w:rsidRPr="003917B8">
        <w:rPr>
          <w:b/>
          <w:sz w:val="28"/>
          <w:szCs w:val="28"/>
        </w:rPr>
        <w:t>АНАЛИЗ СОВРЕМЕННОГО СОСТОЯНИЯ РЫНКА ЛИЧНОГО СТРАХОВАНИЯ РОССИИ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F26" w:rsidRPr="003917B8" w:rsidRDefault="00AD2F26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 xml:space="preserve">2.1. </w:t>
      </w:r>
      <w:r w:rsidR="004551FF" w:rsidRPr="003917B8">
        <w:rPr>
          <w:b/>
          <w:sz w:val="28"/>
          <w:szCs w:val="28"/>
        </w:rPr>
        <w:t>Общая ситуация на рынке личного страхования</w:t>
      </w:r>
      <w:r w:rsidR="00454DF5" w:rsidRPr="003917B8">
        <w:rPr>
          <w:b/>
          <w:sz w:val="28"/>
          <w:szCs w:val="28"/>
        </w:rPr>
        <w:t xml:space="preserve"> 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836602" w:rsidRPr="003917B8" w:rsidRDefault="000629E3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В отличие от </w:t>
      </w:r>
      <w:r w:rsidR="00450F3D" w:rsidRPr="003917B8">
        <w:rPr>
          <w:sz w:val="28"/>
          <w:szCs w:val="28"/>
        </w:rPr>
        <w:t xml:space="preserve">экономически </w:t>
      </w:r>
      <w:r w:rsidRPr="003917B8">
        <w:rPr>
          <w:sz w:val="28"/>
          <w:szCs w:val="28"/>
        </w:rPr>
        <w:t xml:space="preserve">развитых стран, где институт страхования развивался как органический элемент социально-экономической системы, развитие страхования в </w:t>
      </w:r>
      <w:r w:rsidR="004551FF" w:rsidRPr="003917B8">
        <w:rPr>
          <w:sz w:val="28"/>
          <w:szCs w:val="28"/>
        </w:rPr>
        <w:t>России</w:t>
      </w:r>
      <w:r w:rsidRPr="003917B8">
        <w:rPr>
          <w:sz w:val="28"/>
          <w:szCs w:val="28"/>
        </w:rPr>
        <w:t xml:space="preserve"> в значительной степени </w:t>
      </w:r>
      <w:r w:rsidR="004551FF" w:rsidRPr="003917B8">
        <w:rPr>
          <w:sz w:val="28"/>
          <w:szCs w:val="28"/>
        </w:rPr>
        <w:t xml:space="preserve">происходит </w:t>
      </w:r>
      <w:r w:rsidRPr="003917B8">
        <w:rPr>
          <w:sz w:val="28"/>
          <w:szCs w:val="28"/>
        </w:rPr>
        <w:t>спонтанно.</w:t>
      </w:r>
      <w:r w:rsidR="004551FF" w:rsidRPr="003917B8">
        <w:rPr>
          <w:sz w:val="28"/>
          <w:szCs w:val="28"/>
        </w:rPr>
        <w:t xml:space="preserve"> </w:t>
      </w:r>
    </w:p>
    <w:p w:rsidR="004551FF" w:rsidRPr="003917B8" w:rsidRDefault="00A260AF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Российский с</w:t>
      </w:r>
      <w:r w:rsidR="004551FF" w:rsidRPr="003917B8">
        <w:rPr>
          <w:sz w:val="28"/>
          <w:szCs w:val="28"/>
        </w:rPr>
        <w:t>траховой рынок в своем становлении в условиях перехода к новым экономическим отношениям прошел несколько этапов</w:t>
      </w:r>
      <w:r w:rsidR="00963ADF" w:rsidRPr="003917B8">
        <w:rPr>
          <w:sz w:val="28"/>
          <w:szCs w:val="28"/>
        </w:rPr>
        <w:t>.</w:t>
      </w:r>
      <w:r w:rsidR="004551FF" w:rsidRPr="003917B8">
        <w:rPr>
          <w:sz w:val="28"/>
          <w:szCs w:val="28"/>
        </w:rPr>
        <w:t xml:space="preserve"> Условно их можно обозначить следующим образом:</w:t>
      </w:r>
    </w:p>
    <w:p w:rsidR="004551FF" w:rsidRPr="003917B8" w:rsidRDefault="004551FF" w:rsidP="003917B8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1991-1996 гг. – период формирования страхового рынка, в котором были заложены законодательные основы его функционирования;</w:t>
      </w:r>
    </w:p>
    <w:p w:rsidR="004551FF" w:rsidRPr="003917B8" w:rsidRDefault="004551FF" w:rsidP="003917B8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конец 1996 – август </w:t>
      </w:r>
      <w:smartTag w:uri="urn:schemas-microsoft-com:office:smarttags" w:element="metricconverter">
        <w:smartTagPr>
          <w:attr w:name="ProductID" w:val="1998 г"/>
        </w:smartTagPr>
        <w:r w:rsidRPr="003917B8">
          <w:rPr>
            <w:sz w:val="28"/>
            <w:szCs w:val="28"/>
          </w:rPr>
          <w:t>1998 г</w:t>
        </w:r>
      </w:smartTag>
      <w:r w:rsidRPr="003917B8">
        <w:rPr>
          <w:sz w:val="28"/>
          <w:szCs w:val="28"/>
        </w:rPr>
        <w:t>. – принятие второй части ГК РФ, совершенствование законодательства в области страховой деятельности;</w:t>
      </w:r>
    </w:p>
    <w:p w:rsidR="004551FF" w:rsidRPr="003917B8" w:rsidRDefault="004551FF" w:rsidP="003917B8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конец </w:t>
      </w:r>
      <w:smartTag w:uri="urn:schemas-microsoft-com:office:smarttags" w:element="metricconverter">
        <w:smartTagPr>
          <w:attr w:name="ProductID" w:val="1998 г"/>
        </w:smartTagPr>
        <w:r w:rsidRPr="003917B8">
          <w:rPr>
            <w:sz w:val="28"/>
            <w:szCs w:val="28"/>
          </w:rPr>
          <w:t>1998 г</w:t>
        </w:r>
      </w:smartTag>
      <w:r w:rsidRPr="003917B8">
        <w:rPr>
          <w:sz w:val="28"/>
          <w:szCs w:val="28"/>
        </w:rPr>
        <w:t>. – наст. вр.</w:t>
      </w:r>
      <w:r w:rsidR="00E72CA2" w:rsidRPr="003917B8">
        <w:rPr>
          <w:sz w:val="28"/>
          <w:szCs w:val="28"/>
        </w:rPr>
        <w:t xml:space="preserve"> – современный этап. Для </w:t>
      </w:r>
      <w:r w:rsidR="00963ADF" w:rsidRPr="003917B8">
        <w:rPr>
          <w:sz w:val="28"/>
          <w:szCs w:val="28"/>
        </w:rPr>
        <w:t xml:space="preserve">его </w:t>
      </w:r>
      <w:r w:rsidR="00E72CA2" w:rsidRPr="003917B8">
        <w:rPr>
          <w:sz w:val="28"/>
          <w:szCs w:val="28"/>
        </w:rPr>
        <w:t xml:space="preserve">начала была характерна тенденция устойчивого сокращения числа и прибыли страховых организаций, но уже в 1999-2000 гг. </w:t>
      </w:r>
      <w:r w:rsidR="00963ADF" w:rsidRPr="003917B8">
        <w:rPr>
          <w:sz w:val="28"/>
          <w:szCs w:val="28"/>
        </w:rPr>
        <w:t>она</w:t>
      </w:r>
      <w:r w:rsidR="00E72CA2" w:rsidRPr="003917B8">
        <w:rPr>
          <w:sz w:val="28"/>
          <w:szCs w:val="28"/>
        </w:rPr>
        <w:t xml:space="preserve"> была успешно преодолена.</w:t>
      </w:r>
    </w:p>
    <w:p w:rsidR="00E72CA2" w:rsidRPr="003917B8" w:rsidRDefault="00477576" w:rsidP="003917B8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17B8">
        <w:rPr>
          <w:sz w:val="28"/>
          <w:szCs w:val="28"/>
        </w:rPr>
        <w:t>И</w:t>
      </w:r>
      <w:r w:rsidR="00920AFE" w:rsidRPr="003917B8">
        <w:rPr>
          <w:sz w:val="28"/>
          <w:szCs w:val="28"/>
        </w:rPr>
        <w:t>нтерес</w:t>
      </w:r>
      <w:r w:rsidRPr="003917B8">
        <w:rPr>
          <w:sz w:val="28"/>
          <w:szCs w:val="28"/>
        </w:rPr>
        <w:t>ен</w:t>
      </w:r>
      <w:r w:rsidR="00920AFE" w:rsidRPr="003917B8">
        <w:rPr>
          <w:sz w:val="28"/>
          <w:szCs w:val="28"/>
        </w:rPr>
        <w:t xml:space="preserve"> анализ количественных и качественных тенденций, сложившихся </w:t>
      </w:r>
      <w:r w:rsidR="005C6A4A" w:rsidRPr="003917B8">
        <w:rPr>
          <w:sz w:val="28"/>
          <w:szCs w:val="28"/>
        </w:rPr>
        <w:t>в</w:t>
      </w:r>
      <w:r w:rsidR="00920AFE" w:rsidRPr="003917B8">
        <w:rPr>
          <w:sz w:val="28"/>
          <w:szCs w:val="28"/>
        </w:rPr>
        <w:t xml:space="preserve"> </w:t>
      </w:r>
      <w:r w:rsidR="005C6A4A" w:rsidRPr="003917B8">
        <w:rPr>
          <w:sz w:val="28"/>
          <w:szCs w:val="28"/>
        </w:rPr>
        <w:t>сфере</w:t>
      </w:r>
      <w:r w:rsidR="00920AFE" w:rsidRPr="003917B8">
        <w:rPr>
          <w:sz w:val="28"/>
          <w:szCs w:val="28"/>
        </w:rPr>
        <w:t xml:space="preserve"> личного страхования </w:t>
      </w:r>
      <w:r w:rsidR="00565EC2" w:rsidRPr="003917B8">
        <w:rPr>
          <w:sz w:val="28"/>
          <w:szCs w:val="28"/>
        </w:rPr>
        <w:t>за</w:t>
      </w:r>
      <w:r w:rsidR="005C6A4A" w:rsidRPr="003917B8">
        <w:rPr>
          <w:sz w:val="28"/>
          <w:szCs w:val="28"/>
        </w:rPr>
        <w:t xml:space="preserve"> последние годы  </w:t>
      </w:r>
      <w:r w:rsidR="00920AFE" w:rsidRPr="003917B8">
        <w:rPr>
          <w:sz w:val="28"/>
          <w:szCs w:val="28"/>
        </w:rPr>
        <w:t>(</w:t>
      </w:r>
      <w:r w:rsidR="002C4148" w:rsidRPr="003917B8">
        <w:rPr>
          <w:sz w:val="28"/>
          <w:szCs w:val="28"/>
        </w:rPr>
        <w:t>Т</w:t>
      </w:r>
      <w:r w:rsidR="009F7900" w:rsidRPr="003917B8">
        <w:rPr>
          <w:sz w:val="28"/>
          <w:szCs w:val="28"/>
        </w:rPr>
        <w:t>абл</w:t>
      </w:r>
      <w:r w:rsidR="007A1043" w:rsidRPr="003917B8">
        <w:rPr>
          <w:sz w:val="28"/>
          <w:szCs w:val="28"/>
        </w:rPr>
        <w:t>иц</w:t>
      </w:r>
      <w:r w:rsidR="0017226F" w:rsidRPr="003917B8">
        <w:rPr>
          <w:sz w:val="28"/>
          <w:szCs w:val="28"/>
        </w:rPr>
        <w:t>а</w:t>
      </w:r>
      <w:r w:rsidR="00920AFE" w:rsidRPr="003917B8">
        <w:rPr>
          <w:sz w:val="28"/>
          <w:szCs w:val="28"/>
        </w:rPr>
        <w:t xml:space="preserve"> 1</w:t>
      </w:r>
      <w:r w:rsidR="0017226F" w:rsidRPr="003917B8">
        <w:rPr>
          <w:sz w:val="28"/>
          <w:szCs w:val="28"/>
        </w:rPr>
        <w:t>, Прил</w:t>
      </w:r>
      <w:r w:rsidR="00CB149E" w:rsidRPr="003917B8">
        <w:rPr>
          <w:sz w:val="28"/>
          <w:szCs w:val="28"/>
        </w:rPr>
        <w:t>.</w:t>
      </w:r>
      <w:r w:rsidR="00920AFE" w:rsidRPr="003917B8">
        <w:rPr>
          <w:sz w:val="28"/>
          <w:szCs w:val="28"/>
        </w:rPr>
        <w:t>)</w:t>
      </w:r>
      <w:r w:rsidR="007E583E" w:rsidRPr="003917B8">
        <w:rPr>
          <w:sz w:val="28"/>
          <w:szCs w:val="28"/>
        </w:rPr>
        <w:t xml:space="preserve"> [14</w:t>
      </w:r>
      <w:r w:rsidR="005C6A4A" w:rsidRPr="003917B8">
        <w:rPr>
          <w:sz w:val="28"/>
          <w:szCs w:val="28"/>
        </w:rPr>
        <w:t>; 6, с. 7</w:t>
      </w:r>
      <w:r w:rsidR="007E583E" w:rsidRPr="003917B8">
        <w:rPr>
          <w:sz w:val="28"/>
          <w:szCs w:val="28"/>
        </w:rPr>
        <w:t>]</w:t>
      </w:r>
      <w:r w:rsidR="00920AFE" w:rsidRPr="003917B8">
        <w:rPr>
          <w:sz w:val="28"/>
          <w:szCs w:val="28"/>
        </w:rPr>
        <w:t>.</w:t>
      </w:r>
    </w:p>
    <w:p w:rsidR="00E04770" w:rsidRP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F7900" w:rsidRPr="003917B8">
        <w:rPr>
          <w:iCs/>
          <w:sz w:val="28"/>
          <w:szCs w:val="28"/>
        </w:rPr>
        <w:t>Таблица</w:t>
      </w:r>
      <w:r w:rsidR="00E04770" w:rsidRPr="003917B8">
        <w:rPr>
          <w:iCs/>
          <w:sz w:val="28"/>
          <w:szCs w:val="28"/>
        </w:rPr>
        <w:t xml:space="preserve"> 1</w:t>
      </w:r>
      <w:r w:rsidR="00920AFE" w:rsidRPr="003917B8">
        <w:rPr>
          <w:iCs/>
          <w:sz w:val="28"/>
          <w:szCs w:val="28"/>
        </w:rPr>
        <w:t xml:space="preserve"> –</w:t>
      </w:r>
      <w:r w:rsidR="00E04770" w:rsidRPr="003917B8">
        <w:rPr>
          <w:iCs/>
          <w:sz w:val="28"/>
          <w:szCs w:val="28"/>
        </w:rPr>
        <w:t xml:space="preserve"> </w:t>
      </w:r>
      <w:r w:rsidR="007055A2" w:rsidRPr="003917B8">
        <w:rPr>
          <w:iCs/>
          <w:sz w:val="28"/>
          <w:szCs w:val="28"/>
        </w:rPr>
        <w:t>Страховые премии</w:t>
      </w:r>
      <w:r w:rsidR="00E04770" w:rsidRPr="003917B8">
        <w:rPr>
          <w:iCs/>
          <w:sz w:val="28"/>
          <w:szCs w:val="28"/>
        </w:rPr>
        <w:t xml:space="preserve"> по </w:t>
      </w:r>
      <w:r w:rsidR="00646AEB" w:rsidRPr="003917B8">
        <w:rPr>
          <w:iCs/>
          <w:sz w:val="28"/>
          <w:szCs w:val="28"/>
        </w:rPr>
        <w:t>РФ</w:t>
      </w:r>
      <w:r w:rsidR="00AE1155" w:rsidRPr="003917B8">
        <w:rPr>
          <w:iCs/>
          <w:sz w:val="28"/>
          <w:szCs w:val="28"/>
        </w:rPr>
        <w:t>,</w:t>
      </w:r>
      <w:r w:rsidR="00E04770" w:rsidRPr="003917B8">
        <w:rPr>
          <w:iCs/>
          <w:sz w:val="28"/>
          <w:szCs w:val="28"/>
        </w:rPr>
        <w:t xml:space="preserve"> 200</w:t>
      </w:r>
      <w:r w:rsidR="0061198B" w:rsidRPr="003917B8">
        <w:rPr>
          <w:iCs/>
          <w:sz w:val="28"/>
          <w:szCs w:val="28"/>
        </w:rPr>
        <w:t>4-</w:t>
      </w:r>
      <w:r w:rsidR="00E04770" w:rsidRPr="003917B8">
        <w:rPr>
          <w:iCs/>
          <w:sz w:val="28"/>
          <w:szCs w:val="28"/>
        </w:rPr>
        <w:t>2006 гг., млн. руб.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8"/>
        <w:gridCol w:w="1228"/>
        <w:gridCol w:w="1070"/>
        <w:gridCol w:w="1145"/>
        <w:gridCol w:w="1260"/>
        <w:gridCol w:w="1111"/>
      </w:tblGrid>
      <w:tr w:rsidR="004D2ABB" w:rsidRPr="003917B8">
        <w:trPr>
          <w:trHeight w:val="360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Отрасли и виды страхования</w:t>
            </w:r>
          </w:p>
        </w:tc>
        <w:tc>
          <w:tcPr>
            <w:tcW w:w="1198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61198B" w:rsidRPr="003917B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61198B" w:rsidRPr="003917B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</w:t>
            </w:r>
            <w:r w:rsidR="0061198B" w:rsidRPr="003917B8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30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61198B" w:rsidRPr="003917B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</w:t>
            </w:r>
            <w:r w:rsidR="0061198B" w:rsidRPr="003917B8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4D2ABB" w:rsidRPr="003917B8">
        <w:trPr>
          <w:trHeight w:val="23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198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198" w:type="dxa"/>
            <w:vAlign w:val="center"/>
          </w:tcPr>
          <w:p w:rsidR="004D2ABB" w:rsidRPr="003917B8" w:rsidRDefault="00646AE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102 200</w:t>
            </w:r>
          </w:p>
        </w:tc>
        <w:tc>
          <w:tcPr>
            <w:tcW w:w="104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25 </w:t>
            </w:r>
            <w:r w:rsidR="00646AEB" w:rsidRPr="003917B8">
              <w:rPr>
                <w:color w:val="000000"/>
                <w:sz w:val="20"/>
                <w:szCs w:val="20"/>
              </w:rPr>
              <w:t>30</w:t>
            </w: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vAlign w:val="center"/>
          </w:tcPr>
          <w:p w:rsidR="004D2ABB" w:rsidRPr="003917B8" w:rsidRDefault="005A2F84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</w:t>
            </w:r>
            <w:r w:rsidR="00906368" w:rsidRPr="003917B8">
              <w:rPr>
                <w:sz w:val="20"/>
                <w:szCs w:val="20"/>
              </w:rPr>
              <w:t>75</w:t>
            </w:r>
          </w:p>
        </w:tc>
        <w:tc>
          <w:tcPr>
            <w:tcW w:w="123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15 984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-37</w:t>
            </w: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личное страхование</w:t>
            </w:r>
          </w:p>
        </w:tc>
        <w:tc>
          <w:tcPr>
            <w:tcW w:w="1198" w:type="dxa"/>
            <w:vAlign w:val="center"/>
          </w:tcPr>
          <w:p w:rsidR="004D2ABB" w:rsidRPr="003917B8" w:rsidRDefault="00646AE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52 900</w:t>
            </w:r>
          </w:p>
        </w:tc>
        <w:tc>
          <w:tcPr>
            <w:tcW w:w="104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64 </w:t>
            </w:r>
            <w:r w:rsidR="00646AEB" w:rsidRPr="003917B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5" w:type="dxa"/>
            <w:vAlign w:val="center"/>
          </w:tcPr>
          <w:p w:rsidR="004D2ABB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21</w:t>
            </w:r>
          </w:p>
        </w:tc>
        <w:tc>
          <w:tcPr>
            <w:tcW w:w="123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76 950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198" w:type="dxa"/>
            <w:vAlign w:val="center"/>
          </w:tcPr>
          <w:p w:rsidR="004D2ABB" w:rsidRPr="003917B8" w:rsidRDefault="00646AE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153 100</w:t>
            </w:r>
          </w:p>
        </w:tc>
        <w:tc>
          <w:tcPr>
            <w:tcW w:w="104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18</w:t>
            </w:r>
            <w:r w:rsidR="00646AEB" w:rsidRPr="003917B8">
              <w:rPr>
                <w:color w:val="000000"/>
                <w:sz w:val="20"/>
                <w:szCs w:val="20"/>
              </w:rPr>
              <w:t>5</w:t>
            </w:r>
            <w:r w:rsidRPr="003917B8">
              <w:rPr>
                <w:color w:val="000000"/>
                <w:sz w:val="20"/>
                <w:szCs w:val="20"/>
              </w:rPr>
              <w:t> </w:t>
            </w:r>
            <w:r w:rsidR="00646AEB" w:rsidRPr="003917B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15" w:type="dxa"/>
            <w:vAlign w:val="center"/>
          </w:tcPr>
          <w:p w:rsidR="004D2ABB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21</w:t>
            </w:r>
          </w:p>
        </w:tc>
        <w:tc>
          <w:tcPr>
            <w:tcW w:w="123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227 912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23</w:t>
            </w: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ответственности</w:t>
            </w:r>
          </w:p>
        </w:tc>
        <w:tc>
          <w:tcPr>
            <w:tcW w:w="1198" w:type="dxa"/>
            <w:vAlign w:val="center"/>
          </w:tcPr>
          <w:p w:rsidR="004D2ABB" w:rsidRPr="003917B8" w:rsidRDefault="00646AE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12 200</w:t>
            </w:r>
          </w:p>
        </w:tc>
        <w:tc>
          <w:tcPr>
            <w:tcW w:w="104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</w:t>
            </w:r>
            <w:r w:rsidR="00646AEB" w:rsidRPr="003917B8">
              <w:rPr>
                <w:color w:val="000000"/>
                <w:sz w:val="20"/>
                <w:szCs w:val="20"/>
              </w:rPr>
              <w:t>6</w:t>
            </w:r>
            <w:r w:rsidRPr="003917B8">
              <w:rPr>
                <w:color w:val="000000"/>
                <w:sz w:val="20"/>
                <w:szCs w:val="20"/>
              </w:rPr>
              <w:t> </w:t>
            </w:r>
            <w:r w:rsidR="00646AEB" w:rsidRPr="003917B8">
              <w:rPr>
                <w:color w:val="000000"/>
                <w:sz w:val="20"/>
                <w:szCs w:val="20"/>
              </w:rPr>
              <w:t>2</w:t>
            </w:r>
            <w:r w:rsidR="00CD08A0" w:rsidRPr="003917B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5" w:type="dxa"/>
            <w:vAlign w:val="center"/>
          </w:tcPr>
          <w:p w:rsidR="004D2ABB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33</w:t>
            </w:r>
          </w:p>
        </w:tc>
        <w:tc>
          <w:tcPr>
            <w:tcW w:w="1230" w:type="dxa"/>
            <w:vAlign w:val="center"/>
          </w:tcPr>
          <w:p w:rsidR="004D2ABB" w:rsidRPr="003917B8" w:rsidRDefault="0061198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16 533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</w:t>
            </w: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4D2ABB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1198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4D2ABB" w:rsidRPr="003917B8" w:rsidRDefault="004D2ABB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ABB" w:rsidRPr="003917B8">
        <w:trPr>
          <w:trHeight w:val="23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7A2A33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пассажиров</w:t>
            </w:r>
          </w:p>
        </w:tc>
        <w:tc>
          <w:tcPr>
            <w:tcW w:w="1198" w:type="dxa"/>
            <w:vAlign w:val="center"/>
          </w:tcPr>
          <w:p w:rsidR="004D2ABB" w:rsidRPr="003917B8" w:rsidRDefault="007A2A33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vAlign w:val="center"/>
          </w:tcPr>
          <w:p w:rsidR="004D2ABB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5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vAlign w:val="center"/>
          </w:tcPr>
          <w:p w:rsidR="004D2ABB" w:rsidRPr="003917B8" w:rsidRDefault="00123F1C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2ABB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4D2ABB" w:rsidRPr="003917B8" w:rsidRDefault="007A2A33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сотрудников ГНС РФ</w:t>
            </w:r>
          </w:p>
        </w:tc>
        <w:tc>
          <w:tcPr>
            <w:tcW w:w="1198" w:type="dxa"/>
            <w:vAlign w:val="center"/>
          </w:tcPr>
          <w:p w:rsidR="004D2ABB" w:rsidRPr="003917B8" w:rsidRDefault="008A7444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0,7</w:t>
            </w:r>
          </w:p>
        </w:tc>
        <w:tc>
          <w:tcPr>
            <w:tcW w:w="1040" w:type="dxa"/>
            <w:vAlign w:val="center"/>
          </w:tcPr>
          <w:p w:rsidR="004D2ABB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:rsidR="004D2ABB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43</w:t>
            </w:r>
          </w:p>
        </w:tc>
        <w:tc>
          <w:tcPr>
            <w:tcW w:w="1230" w:type="dxa"/>
            <w:vAlign w:val="center"/>
          </w:tcPr>
          <w:p w:rsidR="004D2ABB" w:rsidRPr="003917B8" w:rsidRDefault="00123F1C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vAlign w:val="center"/>
          </w:tcPr>
          <w:p w:rsidR="004D2ABB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4A86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CA4A86" w:rsidRPr="003917B8" w:rsidRDefault="007A2A33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военнослужащих и прирав. к ним в обяз. гос. страховании лиц</w:t>
            </w:r>
          </w:p>
        </w:tc>
        <w:tc>
          <w:tcPr>
            <w:tcW w:w="1198" w:type="dxa"/>
            <w:vAlign w:val="center"/>
          </w:tcPr>
          <w:p w:rsidR="00CA4A86" w:rsidRPr="003917B8" w:rsidRDefault="007A4FDD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430</w:t>
            </w:r>
          </w:p>
        </w:tc>
        <w:tc>
          <w:tcPr>
            <w:tcW w:w="1040" w:type="dxa"/>
            <w:vAlign w:val="center"/>
          </w:tcPr>
          <w:p w:rsidR="00CA4A86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15" w:type="dxa"/>
            <w:vAlign w:val="center"/>
          </w:tcPr>
          <w:p w:rsidR="00CA4A86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vAlign w:val="center"/>
          </w:tcPr>
          <w:p w:rsidR="00CA4A86" w:rsidRPr="003917B8" w:rsidRDefault="00123F1C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66" w:type="dxa"/>
            <w:vAlign w:val="center"/>
          </w:tcPr>
          <w:p w:rsidR="00CA4A86" w:rsidRPr="003917B8" w:rsidRDefault="00B22E11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A2A33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7A2A33" w:rsidRPr="003917B8" w:rsidRDefault="007A2A33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198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49 200</w:t>
            </w:r>
          </w:p>
        </w:tc>
        <w:tc>
          <w:tcPr>
            <w:tcW w:w="1040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53 700</w:t>
            </w:r>
          </w:p>
        </w:tc>
        <w:tc>
          <w:tcPr>
            <w:tcW w:w="1115" w:type="dxa"/>
            <w:vAlign w:val="center"/>
          </w:tcPr>
          <w:p w:rsidR="007A2A33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63 874</w:t>
            </w:r>
          </w:p>
        </w:tc>
        <w:tc>
          <w:tcPr>
            <w:tcW w:w="1066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</w:t>
            </w:r>
            <w:r w:rsidR="00B22E11" w:rsidRPr="003917B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A2A33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7A2A33" w:rsidRPr="003917B8" w:rsidRDefault="007A2A33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198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97 200</w:t>
            </w:r>
          </w:p>
        </w:tc>
        <w:tc>
          <w:tcPr>
            <w:tcW w:w="1040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140 700</w:t>
            </w:r>
          </w:p>
        </w:tc>
        <w:tc>
          <w:tcPr>
            <w:tcW w:w="1115" w:type="dxa"/>
            <w:vAlign w:val="center"/>
          </w:tcPr>
          <w:p w:rsidR="007A2A33" w:rsidRPr="003917B8" w:rsidRDefault="00906368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45</w:t>
            </w:r>
          </w:p>
        </w:tc>
        <w:tc>
          <w:tcPr>
            <w:tcW w:w="1230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203 534</w:t>
            </w:r>
          </w:p>
        </w:tc>
        <w:tc>
          <w:tcPr>
            <w:tcW w:w="1066" w:type="dxa"/>
            <w:vAlign w:val="center"/>
          </w:tcPr>
          <w:p w:rsidR="007A2A33" w:rsidRPr="003917B8" w:rsidRDefault="007A2A33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</w:t>
            </w:r>
            <w:r w:rsidR="00B22E11" w:rsidRPr="003917B8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7194" w:rsidRPr="003917B8">
        <w:trPr>
          <w:trHeight w:val="247"/>
          <w:tblCellSpacing w:w="15" w:type="dxa"/>
          <w:jc w:val="center"/>
        </w:trPr>
        <w:tc>
          <w:tcPr>
            <w:tcW w:w="3723" w:type="dxa"/>
            <w:vAlign w:val="bottom"/>
          </w:tcPr>
          <w:p w:rsidR="00BF7194" w:rsidRPr="003917B8" w:rsidRDefault="00BF7194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Страховая премия</w:t>
            </w:r>
            <w:r w:rsidRPr="003917B8">
              <w:rPr>
                <w:color w:val="000000"/>
                <w:sz w:val="20"/>
                <w:szCs w:val="20"/>
              </w:rPr>
              <w:t xml:space="preserve"> (всего)</w:t>
            </w:r>
          </w:p>
        </w:tc>
        <w:tc>
          <w:tcPr>
            <w:tcW w:w="1198" w:type="dxa"/>
            <w:vAlign w:val="center"/>
          </w:tcPr>
          <w:p w:rsidR="00BF7194" w:rsidRPr="003917B8" w:rsidRDefault="00BF7194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467 281</w:t>
            </w:r>
          </w:p>
        </w:tc>
        <w:tc>
          <w:tcPr>
            <w:tcW w:w="1040" w:type="dxa"/>
            <w:vAlign w:val="center"/>
          </w:tcPr>
          <w:p w:rsidR="00BF7194" w:rsidRPr="003917B8" w:rsidRDefault="006904F2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194 911</w:t>
            </w:r>
          </w:p>
        </w:tc>
        <w:tc>
          <w:tcPr>
            <w:tcW w:w="1115" w:type="dxa"/>
            <w:vAlign w:val="center"/>
          </w:tcPr>
          <w:p w:rsidR="00BF7194" w:rsidRPr="003917B8" w:rsidRDefault="006904F2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-59</w:t>
            </w:r>
          </w:p>
        </w:tc>
        <w:tc>
          <w:tcPr>
            <w:tcW w:w="1230" w:type="dxa"/>
            <w:vAlign w:val="center"/>
          </w:tcPr>
          <w:p w:rsidR="00BF7194" w:rsidRPr="003917B8" w:rsidRDefault="00BF7194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228 493</w:t>
            </w:r>
          </w:p>
        </w:tc>
        <w:tc>
          <w:tcPr>
            <w:tcW w:w="1066" w:type="dxa"/>
            <w:vAlign w:val="center"/>
          </w:tcPr>
          <w:p w:rsidR="00BF7194" w:rsidRPr="003917B8" w:rsidRDefault="00861052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163</w:t>
            </w:r>
          </w:p>
        </w:tc>
      </w:tr>
    </w:tbl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AB3E80" w:rsidRPr="003917B8" w:rsidRDefault="0045037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Важным</w:t>
      </w:r>
      <w:r w:rsidR="002A36F2" w:rsidRPr="003917B8">
        <w:rPr>
          <w:sz w:val="28"/>
          <w:szCs w:val="28"/>
        </w:rPr>
        <w:t xml:space="preserve"> индикатором динамики и текущего состояния страхового рынка явля</w:t>
      </w:r>
      <w:r w:rsidR="00BE194C" w:rsidRPr="003917B8">
        <w:rPr>
          <w:sz w:val="28"/>
          <w:szCs w:val="28"/>
        </w:rPr>
        <w:t>ются данные о страховых премиях</w:t>
      </w:r>
      <w:r w:rsidR="00462560" w:rsidRPr="003917B8">
        <w:rPr>
          <w:sz w:val="28"/>
          <w:szCs w:val="28"/>
        </w:rPr>
        <w:t xml:space="preserve"> и выплатах</w:t>
      </w:r>
      <w:r w:rsidR="00BE194C" w:rsidRPr="003917B8">
        <w:rPr>
          <w:sz w:val="28"/>
          <w:szCs w:val="28"/>
        </w:rPr>
        <w:t xml:space="preserve">. </w:t>
      </w:r>
      <w:r w:rsidR="00262E82" w:rsidRPr="003917B8">
        <w:rPr>
          <w:sz w:val="28"/>
          <w:szCs w:val="28"/>
        </w:rPr>
        <w:t>В период 2004-2006 гг. д</w:t>
      </w:r>
      <w:r w:rsidR="00015CCB" w:rsidRPr="003917B8">
        <w:rPr>
          <w:sz w:val="28"/>
          <w:szCs w:val="28"/>
        </w:rPr>
        <w:t xml:space="preserve">оля страховых премий по личному страхованию </w:t>
      </w:r>
      <w:r w:rsidR="00D47FAD" w:rsidRPr="003917B8">
        <w:rPr>
          <w:sz w:val="28"/>
          <w:szCs w:val="28"/>
        </w:rPr>
        <w:t xml:space="preserve">и страхованию жизни </w:t>
      </w:r>
      <w:r w:rsidRPr="003917B8">
        <w:rPr>
          <w:sz w:val="28"/>
          <w:szCs w:val="28"/>
        </w:rPr>
        <w:t xml:space="preserve">на </w:t>
      </w:r>
      <w:r w:rsidR="00262E82" w:rsidRPr="003917B8">
        <w:rPr>
          <w:sz w:val="28"/>
          <w:szCs w:val="28"/>
        </w:rPr>
        <w:t xml:space="preserve">общем </w:t>
      </w:r>
      <w:r w:rsidRPr="003917B8">
        <w:rPr>
          <w:sz w:val="28"/>
          <w:szCs w:val="28"/>
        </w:rPr>
        <w:t xml:space="preserve">страховом рынке </w:t>
      </w:r>
      <w:r w:rsidR="00515A93" w:rsidRPr="003917B8">
        <w:rPr>
          <w:sz w:val="28"/>
          <w:szCs w:val="28"/>
        </w:rPr>
        <w:t xml:space="preserve">РФ </w:t>
      </w:r>
      <w:r w:rsidRPr="003917B8">
        <w:rPr>
          <w:sz w:val="28"/>
          <w:szCs w:val="28"/>
        </w:rPr>
        <w:t>составляла</w:t>
      </w:r>
      <w:r w:rsidR="00515A93" w:rsidRPr="003917B8">
        <w:rPr>
          <w:sz w:val="28"/>
          <w:szCs w:val="28"/>
        </w:rPr>
        <w:t xml:space="preserve"> 33%, 18% и 15% соответственно</w:t>
      </w:r>
      <w:r w:rsidR="00F63502" w:rsidRPr="003917B8">
        <w:rPr>
          <w:sz w:val="28"/>
          <w:szCs w:val="28"/>
        </w:rPr>
        <w:t>, показывая отрицательную динамику</w:t>
      </w:r>
      <w:r w:rsidR="00515A93" w:rsidRPr="003917B8">
        <w:rPr>
          <w:sz w:val="28"/>
          <w:szCs w:val="28"/>
        </w:rPr>
        <w:t xml:space="preserve">. Доля страховых выплат в этот период </w:t>
      </w:r>
      <w:r w:rsidR="00F63502" w:rsidRPr="003917B8">
        <w:rPr>
          <w:sz w:val="28"/>
          <w:szCs w:val="28"/>
        </w:rPr>
        <w:t>была</w:t>
      </w:r>
      <w:r w:rsidR="00515A93" w:rsidRPr="003917B8">
        <w:rPr>
          <w:sz w:val="28"/>
          <w:szCs w:val="28"/>
        </w:rPr>
        <w:t xml:space="preserve"> 52%, 23% и 37%.</w:t>
      </w:r>
      <w:r w:rsidR="00F63502" w:rsidRPr="003917B8">
        <w:rPr>
          <w:sz w:val="28"/>
          <w:szCs w:val="28"/>
        </w:rPr>
        <w:t xml:space="preserve"> </w:t>
      </w:r>
    </w:p>
    <w:p w:rsidR="00F63502" w:rsidRPr="003917B8" w:rsidRDefault="005F3751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На страховом рынке Новосибирска в рассматриваемые годы показатели были следующие: премии </w:t>
      </w:r>
      <w:r w:rsidR="007C73BB" w:rsidRPr="003917B8">
        <w:rPr>
          <w:sz w:val="28"/>
          <w:szCs w:val="28"/>
        </w:rPr>
        <w:t xml:space="preserve">25%, 16% и 16%, </w:t>
      </w:r>
      <w:r w:rsidRPr="003917B8">
        <w:rPr>
          <w:sz w:val="28"/>
          <w:szCs w:val="28"/>
        </w:rPr>
        <w:t>выплаты</w:t>
      </w:r>
      <w:r w:rsidR="00832D56" w:rsidRPr="003917B8">
        <w:rPr>
          <w:sz w:val="28"/>
          <w:szCs w:val="28"/>
        </w:rPr>
        <w:t xml:space="preserve"> – 31%, 15% и 13%.</w:t>
      </w:r>
      <w:r w:rsidR="00F63502" w:rsidRPr="003917B8">
        <w:rPr>
          <w:sz w:val="28"/>
          <w:szCs w:val="28"/>
        </w:rPr>
        <w:t xml:space="preserve"> Видно, что имеется отрицательный прирост доли премий и выплат в общем страховом рынке</w:t>
      </w:r>
      <w:r w:rsidR="00A26583" w:rsidRPr="003917B8">
        <w:rPr>
          <w:sz w:val="28"/>
          <w:szCs w:val="28"/>
        </w:rPr>
        <w:t>.</w:t>
      </w:r>
      <w:r w:rsidR="00F63502" w:rsidRPr="003917B8">
        <w:rPr>
          <w:sz w:val="28"/>
          <w:szCs w:val="28"/>
        </w:rPr>
        <w:t xml:space="preserve"> </w:t>
      </w:r>
      <w:r w:rsidR="00A26583" w:rsidRPr="003917B8">
        <w:rPr>
          <w:sz w:val="28"/>
          <w:szCs w:val="28"/>
        </w:rPr>
        <w:t>П</w:t>
      </w:r>
      <w:r w:rsidR="00F63502" w:rsidRPr="003917B8">
        <w:rPr>
          <w:sz w:val="28"/>
          <w:szCs w:val="28"/>
        </w:rPr>
        <w:t xml:space="preserve">ри этом абсолютные показатели </w:t>
      </w:r>
      <w:r w:rsidR="00A26583" w:rsidRPr="003917B8">
        <w:rPr>
          <w:sz w:val="28"/>
          <w:szCs w:val="28"/>
        </w:rPr>
        <w:t xml:space="preserve">по личному страхованию </w:t>
      </w:r>
      <w:r w:rsidR="00F63502" w:rsidRPr="003917B8">
        <w:rPr>
          <w:sz w:val="28"/>
          <w:szCs w:val="28"/>
        </w:rPr>
        <w:t xml:space="preserve">демонстрируют рост, </w:t>
      </w:r>
      <w:r w:rsidR="0017226F" w:rsidRPr="003917B8">
        <w:rPr>
          <w:sz w:val="28"/>
          <w:szCs w:val="28"/>
        </w:rPr>
        <w:t xml:space="preserve"> а по страхованию жизни – спад. </w:t>
      </w:r>
      <w:r w:rsidR="00F63502" w:rsidRPr="003917B8">
        <w:rPr>
          <w:sz w:val="28"/>
          <w:szCs w:val="28"/>
        </w:rPr>
        <w:t xml:space="preserve">Из этого следует, что сфера личного страхования </w:t>
      </w:r>
      <w:r w:rsidR="00D35004" w:rsidRPr="003917B8">
        <w:rPr>
          <w:sz w:val="28"/>
          <w:szCs w:val="28"/>
        </w:rPr>
        <w:t xml:space="preserve">развивается, но </w:t>
      </w:r>
      <w:r w:rsidR="00F63502" w:rsidRPr="003917B8">
        <w:rPr>
          <w:sz w:val="28"/>
          <w:szCs w:val="28"/>
        </w:rPr>
        <w:t>в динамике своего развития уступает другим видам страхования.</w:t>
      </w:r>
      <w:r w:rsidR="00E96C32" w:rsidRPr="003917B8">
        <w:rPr>
          <w:sz w:val="28"/>
          <w:szCs w:val="28"/>
        </w:rPr>
        <w:t xml:space="preserve"> Относительно страхования жизни можно сказать, что оно теряет популярность у страхователей.</w:t>
      </w:r>
    </w:p>
    <w:p w:rsidR="00AB3E80" w:rsidRPr="003917B8" w:rsidRDefault="00A2398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Личное страхование (кроме страхования жизни) занимает небольшую долю в портфелях российских страховщиков. Основными потребителями услуг по личному страхованию являются корпоративные клиенты, для которых оно становится важным элементом «социального пакета».</w:t>
      </w:r>
      <w:r w:rsidR="007B7D06" w:rsidRPr="003917B8">
        <w:rPr>
          <w:sz w:val="28"/>
          <w:szCs w:val="28"/>
        </w:rPr>
        <w:t xml:space="preserve"> </w:t>
      </w:r>
    </w:p>
    <w:p w:rsidR="00A2398C" w:rsidRPr="003917B8" w:rsidRDefault="00A2398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По данным Всероссийского союза страховщиков (ВСС), около 80-85% взносов и 90-95% выплат по личному страхованию (кроме страхования жизни) приходится на добровольное медицинское страхование (ДМС), а 15-20% взносов и 5-10% выплат – на страхование от несчастного случая</w:t>
      </w:r>
      <w:r w:rsidR="00983D87" w:rsidRPr="003917B8">
        <w:rPr>
          <w:sz w:val="28"/>
          <w:szCs w:val="28"/>
        </w:rPr>
        <w:t xml:space="preserve"> [1]</w:t>
      </w:r>
      <w:r w:rsidRPr="003917B8">
        <w:rPr>
          <w:sz w:val="28"/>
          <w:szCs w:val="28"/>
        </w:rPr>
        <w:t>.</w:t>
      </w:r>
      <w:r w:rsidR="0017226F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>Особенностью российской практики ДМС является доминирование доли юридических лиц в премиях и выплатах. Подавляющее большинство договоро</w:t>
      </w:r>
      <w:r w:rsidR="00C52490" w:rsidRPr="003917B8">
        <w:rPr>
          <w:sz w:val="28"/>
          <w:szCs w:val="28"/>
        </w:rPr>
        <w:t>в</w:t>
      </w:r>
      <w:r w:rsidRPr="003917B8">
        <w:rPr>
          <w:sz w:val="28"/>
          <w:szCs w:val="28"/>
        </w:rPr>
        <w:t xml:space="preserve"> ДМС заключено с физическими лицами, но более 90% взносов и выплат приходится на коллективные договоры по ДМС за счет юридических лиц.</w:t>
      </w:r>
      <w:r w:rsidR="0005492B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 xml:space="preserve">По оценкам ВВС, </w:t>
      </w:r>
      <w:r w:rsidR="00C52490" w:rsidRPr="003917B8">
        <w:rPr>
          <w:sz w:val="28"/>
          <w:szCs w:val="28"/>
        </w:rPr>
        <w:t xml:space="preserve">в настоящее время </w:t>
      </w:r>
      <w:r w:rsidRPr="003917B8">
        <w:rPr>
          <w:sz w:val="28"/>
          <w:szCs w:val="28"/>
        </w:rPr>
        <w:t>не более 8% населения России могут получать медицинскую помощь по программам добровольного медицинского страхования, что, однако, в четыре раза больше аналогичного показателя в 2000-</w:t>
      </w:r>
      <w:smartTag w:uri="urn:schemas-microsoft-com:office:smarttags" w:element="metricconverter">
        <w:smartTagPr>
          <w:attr w:name="ProductID" w:val="2001 г"/>
        </w:smartTagPr>
        <w:r w:rsidRPr="003917B8">
          <w:rPr>
            <w:sz w:val="28"/>
            <w:szCs w:val="28"/>
          </w:rPr>
          <w:t>2001 г</w:t>
        </w:r>
      </w:smartTag>
      <w:r w:rsidRPr="003917B8">
        <w:rPr>
          <w:sz w:val="28"/>
          <w:szCs w:val="28"/>
        </w:rPr>
        <w:t>.</w:t>
      </w:r>
    </w:p>
    <w:p w:rsidR="00A2398C" w:rsidRPr="003917B8" w:rsidRDefault="00A2398C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Основные тенденции последних лет на рынке ДМС связаны с повышением стоимости медицинских услуг, что вызвано как общеэкономичес</w:t>
      </w:r>
      <w:r w:rsidR="007B7D06" w:rsidRPr="003917B8">
        <w:rPr>
          <w:sz w:val="28"/>
          <w:szCs w:val="28"/>
        </w:rPr>
        <w:t>кими факторами</w:t>
      </w:r>
      <w:r w:rsidRPr="003917B8">
        <w:rPr>
          <w:sz w:val="28"/>
          <w:szCs w:val="28"/>
        </w:rPr>
        <w:t>, так и почти полной исчерпанностью свободных ресурсов медицинских учреждений, оказывающих качественные медицинские услуги.</w:t>
      </w:r>
    </w:p>
    <w:p w:rsidR="00A260AF" w:rsidRPr="003917B8" w:rsidRDefault="00C52490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Что касается п</w:t>
      </w:r>
      <w:r w:rsidR="00A260AF" w:rsidRPr="003917B8">
        <w:rPr>
          <w:sz w:val="28"/>
          <w:szCs w:val="28"/>
        </w:rPr>
        <w:t>енсионно</w:t>
      </w:r>
      <w:r w:rsidRPr="003917B8">
        <w:rPr>
          <w:sz w:val="28"/>
          <w:szCs w:val="28"/>
        </w:rPr>
        <w:t>го</w:t>
      </w:r>
      <w:r w:rsidR="00A260AF" w:rsidRPr="003917B8">
        <w:rPr>
          <w:sz w:val="28"/>
          <w:szCs w:val="28"/>
        </w:rPr>
        <w:t xml:space="preserve"> страховани</w:t>
      </w:r>
      <w:r w:rsidRPr="003917B8">
        <w:rPr>
          <w:sz w:val="28"/>
          <w:szCs w:val="28"/>
        </w:rPr>
        <w:t xml:space="preserve">я, то </w:t>
      </w:r>
      <w:r w:rsidR="00A260AF" w:rsidRPr="003917B8">
        <w:rPr>
          <w:sz w:val="28"/>
          <w:szCs w:val="28"/>
        </w:rPr>
        <w:t xml:space="preserve">в России </w:t>
      </w:r>
      <w:r w:rsidRPr="003917B8">
        <w:rPr>
          <w:sz w:val="28"/>
          <w:szCs w:val="28"/>
        </w:rPr>
        <w:t xml:space="preserve">оно </w:t>
      </w:r>
      <w:r w:rsidR="00A260AF" w:rsidRPr="003917B8">
        <w:rPr>
          <w:sz w:val="28"/>
          <w:szCs w:val="28"/>
        </w:rPr>
        <w:t>пока практически не развито. Фактически, этот вид страхования предлагают лишь несколько страховых компаний.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E7084" w:rsidRPr="003917B8" w:rsidRDefault="004E7084" w:rsidP="003917B8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917B8">
        <w:rPr>
          <w:b/>
          <w:bCs/>
          <w:iCs/>
          <w:sz w:val="28"/>
          <w:szCs w:val="28"/>
        </w:rPr>
        <w:t xml:space="preserve">2.2. </w:t>
      </w:r>
      <w:r w:rsidRPr="003917B8">
        <w:rPr>
          <w:b/>
          <w:sz w:val="28"/>
          <w:szCs w:val="28"/>
        </w:rPr>
        <w:t>Сравнительны</w:t>
      </w:r>
      <w:r w:rsidR="006B688B" w:rsidRPr="003917B8">
        <w:rPr>
          <w:b/>
          <w:sz w:val="28"/>
          <w:szCs w:val="28"/>
        </w:rPr>
        <w:t>й</w:t>
      </w:r>
      <w:r w:rsidRPr="003917B8">
        <w:rPr>
          <w:b/>
          <w:sz w:val="28"/>
          <w:szCs w:val="28"/>
        </w:rPr>
        <w:t xml:space="preserve"> </w:t>
      </w:r>
      <w:r w:rsidR="006B688B" w:rsidRPr="003917B8">
        <w:rPr>
          <w:b/>
          <w:sz w:val="28"/>
          <w:szCs w:val="28"/>
        </w:rPr>
        <w:t>анализ</w:t>
      </w:r>
      <w:r w:rsidRPr="003917B8">
        <w:rPr>
          <w:b/>
          <w:sz w:val="28"/>
          <w:szCs w:val="28"/>
        </w:rPr>
        <w:t xml:space="preserve"> видов личного страхования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BC0896" w:rsidRPr="003917B8" w:rsidRDefault="00BC0896" w:rsidP="003917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917B8">
        <w:rPr>
          <w:sz w:val="28"/>
          <w:szCs w:val="28"/>
        </w:rPr>
        <w:t>Объем преми</w:t>
      </w:r>
      <w:r w:rsidR="00FF1D4F" w:rsidRPr="003917B8">
        <w:rPr>
          <w:sz w:val="28"/>
          <w:szCs w:val="28"/>
        </w:rPr>
        <w:t>й</w:t>
      </w:r>
      <w:r w:rsidRPr="003917B8">
        <w:rPr>
          <w:sz w:val="28"/>
          <w:szCs w:val="28"/>
        </w:rPr>
        <w:t xml:space="preserve"> по страхованию жизни за 2006 год составил 1</w:t>
      </w:r>
      <w:r w:rsidR="002D3473" w:rsidRPr="003917B8">
        <w:rPr>
          <w:sz w:val="28"/>
          <w:szCs w:val="28"/>
        </w:rPr>
        <w:t>6</w:t>
      </w:r>
      <w:r w:rsidRPr="003917B8">
        <w:rPr>
          <w:sz w:val="28"/>
          <w:szCs w:val="28"/>
        </w:rPr>
        <w:t xml:space="preserve"> млрд. руб., уменьшившись по сравнению с 2005 годом на </w:t>
      </w:r>
      <w:r w:rsidR="009726FE" w:rsidRPr="003917B8">
        <w:rPr>
          <w:sz w:val="28"/>
          <w:szCs w:val="28"/>
        </w:rPr>
        <w:t>3</w:t>
      </w:r>
      <w:r w:rsidR="00601D49" w:rsidRPr="003917B8">
        <w:rPr>
          <w:sz w:val="28"/>
          <w:szCs w:val="28"/>
        </w:rPr>
        <w:t>7</w:t>
      </w:r>
      <w:r w:rsidRPr="003917B8">
        <w:rPr>
          <w:sz w:val="28"/>
          <w:szCs w:val="28"/>
        </w:rPr>
        <w:t xml:space="preserve">%. Объем страховых выплат – </w:t>
      </w:r>
      <w:r w:rsidR="0003686F" w:rsidRPr="003917B8">
        <w:rPr>
          <w:sz w:val="28"/>
          <w:szCs w:val="28"/>
        </w:rPr>
        <w:t>1</w:t>
      </w:r>
      <w:r w:rsidR="009726FE" w:rsidRPr="003917B8">
        <w:rPr>
          <w:sz w:val="28"/>
          <w:szCs w:val="28"/>
        </w:rPr>
        <w:t>6</w:t>
      </w:r>
      <w:r w:rsidR="0003686F" w:rsidRPr="003917B8">
        <w:rPr>
          <w:sz w:val="28"/>
          <w:szCs w:val="28"/>
        </w:rPr>
        <w:t>,6</w:t>
      </w:r>
      <w:r w:rsidRPr="003917B8">
        <w:rPr>
          <w:sz w:val="28"/>
          <w:szCs w:val="28"/>
        </w:rPr>
        <w:t xml:space="preserve"> млрд. руб., </w:t>
      </w:r>
      <w:r w:rsidR="00BF6769" w:rsidRPr="003917B8">
        <w:rPr>
          <w:sz w:val="28"/>
          <w:szCs w:val="28"/>
        </w:rPr>
        <w:t xml:space="preserve">уменьшение на </w:t>
      </w:r>
      <w:r w:rsidR="0003686F" w:rsidRPr="003917B8">
        <w:rPr>
          <w:sz w:val="28"/>
          <w:szCs w:val="28"/>
        </w:rPr>
        <w:t>34</w:t>
      </w:r>
      <w:r w:rsidR="00BF6769" w:rsidRPr="003917B8">
        <w:rPr>
          <w:sz w:val="28"/>
          <w:szCs w:val="28"/>
        </w:rPr>
        <w:t>%</w:t>
      </w:r>
      <w:r w:rsidRPr="003917B8">
        <w:rPr>
          <w:sz w:val="28"/>
          <w:szCs w:val="28"/>
        </w:rPr>
        <w:t>.</w:t>
      </w:r>
      <w:r w:rsidR="00071BB3" w:rsidRPr="003917B8">
        <w:rPr>
          <w:sz w:val="28"/>
          <w:szCs w:val="28"/>
        </w:rPr>
        <w:t xml:space="preserve"> В 2005 году, по сравнению с 2004 годом, </w:t>
      </w:r>
      <w:r w:rsidR="00FF1D4F" w:rsidRPr="003917B8">
        <w:rPr>
          <w:sz w:val="28"/>
          <w:szCs w:val="28"/>
        </w:rPr>
        <w:t xml:space="preserve">эти </w:t>
      </w:r>
      <w:r w:rsidR="00FE53A5" w:rsidRPr="003917B8">
        <w:rPr>
          <w:sz w:val="28"/>
          <w:szCs w:val="28"/>
        </w:rPr>
        <w:t>цифры</w:t>
      </w:r>
      <w:r w:rsidR="00FF1D4F" w:rsidRPr="003917B8">
        <w:rPr>
          <w:sz w:val="28"/>
          <w:szCs w:val="28"/>
        </w:rPr>
        <w:t xml:space="preserve"> составляли </w:t>
      </w:r>
      <w:r w:rsidR="00601D49" w:rsidRPr="003917B8">
        <w:rPr>
          <w:sz w:val="28"/>
          <w:szCs w:val="28"/>
        </w:rPr>
        <w:t>75</w:t>
      </w:r>
      <w:r w:rsidR="00FF1D4F" w:rsidRPr="003917B8">
        <w:rPr>
          <w:sz w:val="28"/>
          <w:szCs w:val="28"/>
        </w:rPr>
        <w:t xml:space="preserve">% и </w:t>
      </w:r>
      <w:r w:rsidR="0003686F" w:rsidRPr="003917B8">
        <w:rPr>
          <w:sz w:val="28"/>
          <w:szCs w:val="28"/>
        </w:rPr>
        <w:t>80</w:t>
      </w:r>
      <w:r w:rsidR="00FF1D4F" w:rsidRPr="003917B8">
        <w:rPr>
          <w:sz w:val="28"/>
          <w:szCs w:val="28"/>
        </w:rPr>
        <w:t>% соответственно</w:t>
      </w:r>
      <w:r w:rsidR="00601D49" w:rsidRPr="003917B8">
        <w:rPr>
          <w:sz w:val="28"/>
          <w:szCs w:val="28"/>
        </w:rPr>
        <w:t>, динамика также отрицательная</w:t>
      </w:r>
      <w:r w:rsidR="00BE555A" w:rsidRPr="003917B8">
        <w:rPr>
          <w:sz w:val="28"/>
          <w:szCs w:val="28"/>
        </w:rPr>
        <w:t xml:space="preserve"> (Рисунок 1)</w:t>
      </w:r>
      <w:r w:rsidR="00CB149E" w:rsidRPr="003917B8">
        <w:rPr>
          <w:sz w:val="28"/>
          <w:szCs w:val="28"/>
        </w:rPr>
        <w:t xml:space="preserve"> [12]</w:t>
      </w:r>
      <w:r w:rsidR="009726FE" w:rsidRPr="003917B8">
        <w:rPr>
          <w:sz w:val="28"/>
          <w:szCs w:val="28"/>
        </w:rPr>
        <w:t>.</w:t>
      </w:r>
    </w:p>
    <w:p w:rsidR="00957F83" w:rsidRPr="003917B8" w:rsidRDefault="00977398" w:rsidP="003917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49.25pt">
            <v:imagedata r:id="rId7" o:title=""/>
          </v:shape>
        </w:pict>
      </w:r>
    </w:p>
    <w:p w:rsidR="007E583E" w:rsidRPr="003917B8" w:rsidRDefault="007E583E" w:rsidP="003917B8">
      <w:pPr>
        <w:spacing w:line="360" w:lineRule="auto"/>
        <w:ind w:firstLine="709"/>
        <w:jc w:val="center"/>
        <w:rPr>
          <w:sz w:val="28"/>
          <w:szCs w:val="28"/>
        </w:rPr>
      </w:pPr>
      <w:r w:rsidRPr="003917B8">
        <w:rPr>
          <w:iCs/>
          <w:sz w:val="28"/>
          <w:szCs w:val="28"/>
        </w:rPr>
        <w:t>Рисунок 1 – Поквартальная динамика премий и выплат по страхованию жизни, 2004-2007 гг., млн. руб.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BC0896" w:rsidRPr="003917B8" w:rsidRDefault="007B7D06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Поквартальный а</w:t>
      </w:r>
      <w:r w:rsidR="006F1AF1" w:rsidRPr="003917B8">
        <w:rPr>
          <w:sz w:val="28"/>
          <w:szCs w:val="28"/>
        </w:rPr>
        <w:t>нализ сегмента показывает</w:t>
      </w:r>
      <w:r w:rsidR="00076A7F" w:rsidRPr="003917B8">
        <w:rPr>
          <w:sz w:val="28"/>
          <w:szCs w:val="28"/>
        </w:rPr>
        <w:t>, что сравнительная динамика преми</w:t>
      </w:r>
      <w:r w:rsidR="00C52490" w:rsidRPr="003917B8">
        <w:rPr>
          <w:sz w:val="28"/>
          <w:szCs w:val="28"/>
        </w:rPr>
        <w:t>й</w:t>
      </w:r>
      <w:r w:rsidR="00076A7F" w:rsidRPr="003917B8">
        <w:rPr>
          <w:sz w:val="28"/>
          <w:szCs w:val="28"/>
        </w:rPr>
        <w:t xml:space="preserve"> </w:t>
      </w:r>
      <w:r w:rsidR="006F1AF1" w:rsidRPr="003917B8">
        <w:rPr>
          <w:sz w:val="28"/>
          <w:szCs w:val="28"/>
        </w:rPr>
        <w:t xml:space="preserve"> </w:t>
      </w:r>
      <w:r w:rsidR="00076A7F" w:rsidRPr="003917B8">
        <w:rPr>
          <w:sz w:val="28"/>
          <w:szCs w:val="28"/>
        </w:rPr>
        <w:t xml:space="preserve">по рынку страхования жизни остается отрицательной. </w:t>
      </w:r>
    </w:p>
    <w:p w:rsidR="003F2AF7" w:rsidRPr="003917B8" w:rsidRDefault="00BC0896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Комплексный анализ показателей сбора премий и выплат по </w:t>
      </w:r>
      <w:r w:rsidR="00676047" w:rsidRPr="003917B8">
        <w:rPr>
          <w:sz w:val="28"/>
          <w:szCs w:val="28"/>
        </w:rPr>
        <w:t xml:space="preserve">крупнейшим </w:t>
      </w:r>
      <w:r w:rsidRPr="003917B8">
        <w:rPr>
          <w:sz w:val="28"/>
          <w:szCs w:val="28"/>
        </w:rPr>
        <w:t>оператор</w:t>
      </w:r>
      <w:r w:rsidR="00676047" w:rsidRPr="003917B8">
        <w:rPr>
          <w:sz w:val="28"/>
          <w:szCs w:val="28"/>
        </w:rPr>
        <w:t>ам</w:t>
      </w:r>
      <w:r w:rsidRPr="003917B8">
        <w:rPr>
          <w:sz w:val="28"/>
          <w:szCs w:val="28"/>
        </w:rPr>
        <w:t xml:space="preserve"> сегмента страхования жизни за перв</w:t>
      </w:r>
      <w:r w:rsidR="00CE7DDD" w:rsidRPr="003917B8">
        <w:rPr>
          <w:sz w:val="28"/>
          <w:szCs w:val="28"/>
        </w:rPr>
        <w:t>ое</w:t>
      </w:r>
      <w:r w:rsidRPr="003917B8">
        <w:rPr>
          <w:sz w:val="28"/>
          <w:szCs w:val="28"/>
        </w:rPr>
        <w:t xml:space="preserve"> </w:t>
      </w:r>
      <w:r w:rsidR="00CE7DDD" w:rsidRPr="003917B8">
        <w:rPr>
          <w:sz w:val="28"/>
          <w:szCs w:val="28"/>
        </w:rPr>
        <w:t>полугодие</w:t>
      </w:r>
      <w:r w:rsidRPr="003917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3917B8">
          <w:rPr>
            <w:sz w:val="28"/>
            <w:szCs w:val="28"/>
          </w:rPr>
          <w:t>2007 г</w:t>
        </w:r>
      </w:smartTag>
      <w:r w:rsidRPr="003917B8">
        <w:rPr>
          <w:sz w:val="28"/>
          <w:szCs w:val="28"/>
        </w:rPr>
        <w:t xml:space="preserve">. и аналогичные периоды прошлых лет позволил выявить поступательное развитие классических операций. Сбор премий по долгосрочному страхованию жизни составил 1,8 млрд. руб., превысив аналогичный показатель прошлого года на 32% (1,3 млрд. руб.). Рост классического страхования, а также рост операций по неклассическим краткосрочным договорам позволили сегменту страхования жизни впервые с </w:t>
      </w:r>
      <w:smartTag w:uri="urn:schemas-microsoft-com:office:smarttags" w:element="metricconverter">
        <w:smartTagPr>
          <w:attr w:name="ProductID" w:val="2003 г"/>
        </w:smartTagPr>
        <w:r w:rsidRPr="003917B8">
          <w:rPr>
            <w:sz w:val="28"/>
            <w:szCs w:val="28"/>
          </w:rPr>
          <w:t>2003 г</w:t>
        </w:r>
      </w:smartTag>
      <w:r w:rsidRPr="003917B8">
        <w:rPr>
          <w:sz w:val="28"/>
          <w:szCs w:val="28"/>
        </w:rPr>
        <w:t xml:space="preserve">. показать положительную динамику роста. </w:t>
      </w:r>
    </w:p>
    <w:p w:rsidR="00BC0896" w:rsidRPr="003917B8" w:rsidRDefault="00BC0896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Анализ крупнейших операторов сегмента (</w:t>
      </w:r>
      <w:r w:rsidR="00FC18EA" w:rsidRPr="003917B8">
        <w:rPr>
          <w:sz w:val="28"/>
          <w:szCs w:val="28"/>
        </w:rPr>
        <w:t>Таблица</w:t>
      </w:r>
      <w:r w:rsidRPr="003917B8">
        <w:rPr>
          <w:sz w:val="28"/>
          <w:szCs w:val="28"/>
        </w:rPr>
        <w:t xml:space="preserve"> </w:t>
      </w:r>
      <w:r w:rsidR="0017226F" w:rsidRPr="003917B8">
        <w:rPr>
          <w:sz w:val="28"/>
          <w:szCs w:val="28"/>
        </w:rPr>
        <w:t>2</w:t>
      </w:r>
      <w:r w:rsidRPr="003917B8">
        <w:rPr>
          <w:sz w:val="28"/>
          <w:szCs w:val="28"/>
        </w:rPr>
        <w:t>) позволил выявить ряд положительных тенденций</w:t>
      </w:r>
      <w:r w:rsidR="00CB149E" w:rsidRPr="003917B8">
        <w:rPr>
          <w:sz w:val="28"/>
          <w:szCs w:val="28"/>
        </w:rPr>
        <w:t xml:space="preserve"> [12]</w:t>
      </w:r>
      <w:r w:rsidRPr="003917B8">
        <w:rPr>
          <w:sz w:val="28"/>
          <w:szCs w:val="28"/>
        </w:rPr>
        <w:t xml:space="preserve">. Среди лидеров сегмента становится все больше компаний, давно известных на рынке. Лидером </w:t>
      </w:r>
      <w:r w:rsidR="0001651A" w:rsidRPr="003917B8">
        <w:rPr>
          <w:sz w:val="28"/>
          <w:szCs w:val="28"/>
        </w:rPr>
        <w:t>является компания «Согаз</w:t>
      </w:r>
      <w:r w:rsidRPr="003917B8">
        <w:rPr>
          <w:sz w:val="28"/>
          <w:szCs w:val="28"/>
        </w:rPr>
        <w:t>», увеличившая сбор преми</w:t>
      </w:r>
      <w:r w:rsidR="00C52490" w:rsidRPr="003917B8">
        <w:rPr>
          <w:sz w:val="28"/>
          <w:szCs w:val="28"/>
        </w:rPr>
        <w:t>й</w:t>
      </w:r>
      <w:r w:rsidRPr="003917B8">
        <w:rPr>
          <w:sz w:val="28"/>
          <w:szCs w:val="28"/>
        </w:rPr>
        <w:t xml:space="preserve"> за год в </w:t>
      </w:r>
      <w:r w:rsidR="00F32606" w:rsidRPr="003917B8">
        <w:rPr>
          <w:sz w:val="28"/>
          <w:szCs w:val="28"/>
        </w:rPr>
        <w:t>1,7</w:t>
      </w:r>
      <w:r w:rsidRPr="003917B8">
        <w:rPr>
          <w:sz w:val="28"/>
          <w:szCs w:val="28"/>
        </w:rPr>
        <w:t xml:space="preserve"> раза, до </w:t>
      </w:r>
      <w:r w:rsidR="00F32606" w:rsidRPr="003917B8">
        <w:rPr>
          <w:sz w:val="28"/>
          <w:szCs w:val="28"/>
        </w:rPr>
        <w:t>2</w:t>
      </w:r>
      <w:r w:rsidRPr="003917B8">
        <w:rPr>
          <w:sz w:val="28"/>
          <w:szCs w:val="28"/>
        </w:rPr>
        <w:t>,</w:t>
      </w:r>
      <w:r w:rsidR="00F32606" w:rsidRPr="003917B8">
        <w:rPr>
          <w:sz w:val="28"/>
          <w:szCs w:val="28"/>
        </w:rPr>
        <w:t>7</w:t>
      </w:r>
      <w:r w:rsidRPr="003917B8">
        <w:rPr>
          <w:sz w:val="28"/>
          <w:szCs w:val="28"/>
        </w:rPr>
        <w:t xml:space="preserve"> млрд. руб. </w:t>
      </w:r>
    </w:p>
    <w:p w:rsidR="00BC0896" w:rsidRP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C0896" w:rsidRPr="003917B8">
        <w:rPr>
          <w:iCs/>
          <w:sz w:val="28"/>
          <w:szCs w:val="28"/>
        </w:rPr>
        <w:t xml:space="preserve">Таблица </w:t>
      </w:r>
      <w:r w:rsidR="0017226F" w:rsidRPr="003917B8">
        <w:rPr>
          <w:iCs/>
          <w:sz w:val="28"/>
          <w:szCs w:val="28"/>
        </w:rPr>
        <w:t>2</w:t>
      </w:r>
      <w:r w:rsidR="00BC0896" w:rsidRPr="003917B8">
        <w:rPr>
          <w:iCs/>
          <w:sz w:val="28"/>
          <w:szCs w:val="28"/>
        </w:rPr>
        <w:t xml:space="preserve"> – Лидеры по страхованию жизни</w:t>
      </w:r>
      <w:r w:rsidR="00562C5C" w:rsidRPr="003917B8">
        <w:rPr>
          <w:iCs/>
          <w:sz w:val="28"/>
          <w:szCs w:val="28"/>
        </w:rPr>
        <w:t>,</w:t>
      </w:r>
      <w:r w:rsidR="00BC0896" w:rsidRPr="003917B8">
        <w:rPr>
          <w:iCs/>
          <w:sz w:val="28"/>
          <w:szCs w:val="28"/>
        </w:rPr>
        <w:t xml:space="preserve"> </w:t>
      </w:r>
      <w:r w:rsidR="00562C5C" w:rsidRPr="003917B8">
        <w:rPr>
          <w:iCs/>
          <w:sz w:val="28"/>
          <w:szCs w:val="28"/>
        </w:rPr>
        <w:t>1-е</w:t>
      </w:r>
      <w:r w:rsidR="00BC0896" w:rsidRPr="003917B8">
        <w:rPr>
          <w:iCs/>
          <w:sz w:val="28"/>
          <w:szCs w:val="28"/>
        </w:rPr>
        <w:t xml:space="preserve"> </w:t>
      </w:r>
      <w:r w:rsidR="003D5D74" w:rsidRPr="003917B8">
        <w:rPr>
          <w:iCs/>
          <w:sz w:val="28"/>
          <w:szCs w:val="28"/>
        </w:rPr>
        <w:t>полугоди</w:t>
      </w:r>
      <w:r w:rsidR="00562C5C" w:rsidRPr="003917B8">
        <w:rPr>
          <w:iCs/>
          <w:sz w:val="28"/>
          <w:szCs w:val="28"/>
        </w:rPr>
        <w:t>е</w:t>
      </w:r>
      <w:r w:rsidR="00BC0896" w:rsidRPr="003917B8">
        <w:rPr>
          <w:iCs/>
          <w:sz w:val="28"/>
          <w:szCs w:val="28"/>
        </w:rPr>
        <w:t xml:space="preserve"> 2005-200</w:t>
      </w:r>
      <w:r w:rsidR="009E7298" w:rsidRPr="003917B8">
        <w:rPr>
          <w:iCs/>
          <w:sz w:val="28"/>
          <w:szCs w:val="28"/>
        </w:rPr>
        <w:t>7</w:t>
      </w:r>
      <w:r w:rsidR="00BC0896" w:rsidRPr="003917B8">
        <w:rPr>
          <w:iCs/>
          <w:sz w:val="28"/>
          <w:szCs w:val="28"/>
        </w:rPr>
        <w:t xml:space="preserve"> гг.</w:t>
      </w:r>
      <w:r w:rsidR="00152AE9" w:rsidRPr="003917B8">
        <w:rPr>
          <w:iCs/>
          <w:sz w:val="28"/>
          <w:szCs w:val="28"/>
        </w:rPr>
        <w:t>, тыс. руб.</w:t>
      </w:r>
      <w:r w:rsidR="00BC0896" w:rsidRPr="003917B8">
        <w:rPr>
          <w:iCs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2"/>
        <w:gridCol w:w="1383"/>
        <w:gridCol w:w="1352"/>
        <w:gridCol w:w="1551"/>
        <w:gridCol w:w="1189"/>
        <w:gridCol w:w="2042"/>
      </w:tblGrid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Наименование компании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Прирост 2006 к 2005</w:t>
            </w:r>
            <w:r w:rsidR="00D311CF" w:rsidRPr="003917B8">
              <w:rPr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Прирост 2007 к 2006</w:t>
            </w:r>
            <w:r w:rsidR="00D311CF" w:rsidRPr="003917B8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 xml:space="preserve">Согаз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200 530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1 571 608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D311CF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684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2 724 740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69A" w:rsidRPr="003917B8" w:rsidRDefault="00D311CF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73</w:t>
            </w:r>
          </w:p>
        </w:tc>
      </w:tr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Русский стандарт страх</w:t>
            </w:r>
            <w:r w:rsidR="00D311CF" w:rsidRPr="003917B8">
              <w:rPr>
                <w:bCs/>
                <w:sz w:val="20"/>
                <w:szCs w:val="20"/>
              </w:rPr>
              <w:t>ование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2 179 731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</w:t>
            </w:r>
          </w:p>
        </w:tc>
      </w:tr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 xml:space="preserve">Чулпан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325 299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362 831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12%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2 142 644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69A" w:rsidRPr="003917B8" w:rsidRDefault="00D311CF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491</w:t>
            </w:r>
          </w:p>
        </w:tc>
      </w:tr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АИГ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554 685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906 716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63%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1 335 727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47%</w:t>
            </w:r>
          </w:p>
        </w:tc>
      </w:tr>
      <w:tr w:rsidR="0099469A" w:rsidRPr="003917B8">
        <w:trPr>
          <w:tblCellSpacing w:w="15" w:type="dxa"/>
        </w:trPr>
        <w:tc>
          <w:tcPr>
            <w:tcW w:w="19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 xml:space="preserve">Городская СК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2 499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386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D311CF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-57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527 323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69A" w:rsidRPr="003917B8" w:rsidRDefault="00D311CF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136 512</w:t>
            </w:r>
          </w:p>
        </w:tc>
      </w:tr>
    </w:tbl>
    <w:p w:rsidR="00957F83" w:rsidRPr="003917B8" w:rsidRDefault="00957F83" w:rsidP="003917B8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80736" w:rsidRPr="003917B8" w:rsidRDefault="00980736" w:rsidP="003917B8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17B8">
        <w:rPr>
          <w:sz w:val="28"/>
          <w:szCs w:val="28"/>
        </w:rPr>
        <w:t>По оценкам экспертов, в настоящее время в России классическое накопительное страхование жизни занимает небольшую долю в портфелях страховых организаций, в то время как в странах ЕС доля этого вида страхования в общем объеме страхового рынка достигает 45-60%, а в Японии и Великобритании – 80%</w:t>
      </w:r>
      <w:r w:rsidR="00983D87" w:rsidRPr="003917B8">
        <w:rPr>
          <w:sz w:val="28"/>
          <w:szCs w:val="28"/>
        </w:rPr>
        <w:t xml:space="preserve"> [19]</w:t>
      </w:r>
      <w:r w:rsidRPr="003917B8">
        <w:rPr>
          <w:sz w:val="28"/>
          <w:szCs w:val="28"/>
        </w:rPr>
        <w:t xml:space="preserve">. </w:t>
      </w:r>
    </w:p>
    <w:p w:rsidR="00DA2B50" w:rsidRPr="003917B8" w:rsidRDefault="00DA2B50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Объем премий по личному страхованию за 2006 год составил 76,</w:t>
      </w:r>
      <w:r w:rsidR="002D3473" w:rsidRPr="003917B8">
        <w:rPr>
          <w:sz w:val="28"/>
          <w:szCs w:val="28"/>
        </w:rPr>
        <w:t>9</w:t>
      </w:r>
      <w:r w:rsidRPr="003917B8">
        <w:rPr>
          <w:sz w:val="28"/>
          <w:szCs w:val="28"/>
        </w:rPr>
        <w:t xml:space="preserve"> млрд. руб., </w:t>
      </w:r>
      <w:r w:rsidR="00CB7B9F" w:rsidRPr="003917B8">
        <w:rPr>
          <w:sz w:val="28"/>
          <w:szCs w:val="28"/>
        </w:rPr>
        <w:t xml:space="preserve">показав </w:t>
      </w:r>
      <w:r w:rsidRPr="003917B8">
        <w:rPr>
          <w:sz w:val="28"/>
          <w:szCs w:val="28"/>
        </w:rPr>
        <w:t>увелич</w:t>
      </w:r>
      <w:r w:rsidR="00CB7B9F" w:rsidRPr="003917B8">
        <w:rPr>
          <w:sz w:val="28"/>
          <w:szCs w:val="28"/>
        </w:rPr>
        <w:t>ение</w:t>
      </w:r>
      <w:r w:rsidRPr="003917B8">
        <w:rPr>
          <w:sz w:val="28"/>
          <w:szCs w:val="28"/>
        </w:rPr>
        <w:t xml:space="preserve"> по сравнению с 2005 годом на </w:t>
      </w:r>
      <w:r w:rsidR="009439C9" w:rsidRPr="003917B8">
        <w:rPr>
          <w:sz w:val="28"/>
          <w:szCs w:val="28"/>
        </w:rPr>
        <w:t>20</w:t>
      </w:r>
      <w:r w:rsidRPr="003917B8">
        <w:rPr>
          <w:sz w:val="28"/>
          <w:szCs w:val="28"/>
        </w:rPr>
        <w:t xml:space="preserve">%. </w:t>
      </w:r>
      <w:r w:rsidR="0017226F" w:rsidRPr="003917B8">
        <w:rPr>
          <w:sz w:val="28"/>
          <w:szCs w:val="28"/>
        </w:rPr>
        <w:t>С</w:t>
      </w:r>
      <w:r w:rsidRPr="003917B8">
        <w:rPr>
          <w:sz w:val="28"/>
          <w:szCs w:val="28"/>
        </w:rPr>
        <w:t>траховы</w:t>
      </w:r>
      <w:r w:rsidR="0017226F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 xml:space="preserve"> выплат</w:t>
      </w:r>
      <w:r w:rsidR="0017226F" w:rsidRPr="003917B8">
        <w:rPr>
          <w:sz w:val="28"/>
          <w:szCs w:val="28"/>
        </w:rPr>
        <w:t>ы</w:t>
      </w:r>
      <w:r w:rsidRPr="003917B8">
        <w:rPr>
          <w:sz w:val="28"/>
          <w:szCs w:val="28"/>
        </w:rPr>
        <w:t xml:space="preserve"> </w:t>
      </w:r>
      <w:r w:rsidR="00CB7B9F" w:rsidRPr="003917B8">
        <w:rPr>
          <w:sz w:val="28"/>
          <w:szCs w:val="28"/>
        </w:rPr>
        <w:t>составил</w:t>
      </w:r>
      <w:r w:rsidR="0017226F" w:rsidRPr="003917B8">
        <w:rPr>
          <w:sz w:val="28"/>
          <w:szCs w:val="28"/>
        </w:rPr>
        <w:t>и</w:t>
      </w:r>
      <w:r w:rsidRPr="003917B8">
        <w:rPr>
          <w:sz w:val="28"/>
          <w:szCs w:val="28"/>
        </w:rPr>
        <w:t xml:space="preserve"> 4</w:t>
      </w:r>
      <w:r w:rsidR="004B5EA1" w:rsidRPr="003917B8">
        <w:rPr>
          <w:sz w:val="28"/>
          <w:szCs w:val="28"/>
        </w:rPr>
        <w:t>2</w:t>
      </w:r>
      <w:r w:rsidRPr="003917B8">
        <w:rPr>
          <w:sz w:val="28"/>
          <w:szCs w:val="28"/>
        </w:rPr>
        <w:t xml:space="preserve"> млрд. руб., динамика также положительная – </w:t>
      </w:r>
      <w:r w:rsidR="004E52A6" w:rsidRPr="003917B8">
        <w:rPr>
          <w:sz w:val="28"/>
          <w:szCs w:val="28"/>
        </w:rPr>
        <w:t>увеличение на 8</w:t>
      </w:r>
      <w:r w:rsidRPr="003917B8">
        <w:rPr>
          <w:sz w:val="28"/>
          <w:szCs w:val="28"/>
        </w:rPr>
        <w:t xml:space="preserve">%. В 2005 году, по сравнению с 2004 годом, эти цифры составляли </w:t>
      </w:r>
      <w:r w:rsidR="009439C9" w:rsidRPr="003917B8">
        <w:rPr>
          <w:sz w:val="28"/>
          <w:szCs w:val="28"/>
        </w:rPr>
        <w:t>17</w:t>
      </w:r>
      <w:r w:rsidRPr="003917B8">
        <w:rPr>
          <w:sz w:val="28"/>
          <w:szCs w:val="28"/>
        </w:rPr>
        <w:t xml:space="preserve">% и </w:t>
      </w:r>
      <w:r w:rsidR="009439C9" w:rsidRPr="003917B8">
        <w:rPr>
          <w:sz w:val="28"/>
          <w:szCs w:val="28"/>
        </w:rPr>
        <w:t>21</w:t>
      </w:r>
      <w:r w:rsidRPr="003917B8">
        <w:rPr>
          <w:sz w:val="28"/>
          <w:szCs w:val="28"/>
        </w:rPr>
        <w:t>% соответственно</w:t>
      </w:r>
      <w:r w:rsidR="00BE555A" w:rsidRPr="003917B8">
        <w:rPr>
          <w:sz w:val="28"/>
          <w:szCs w:val="28"/>
        </w:rPr>
        <w:t xml:space="preserve"> (Рисунок 2)</w:t>
      </w:r>
      <w:r w:rsidR="00CB149E" w:rsidRPr="003917B8">
        <w:rPr>
          <w:sz w:val="28"/>
          <w:szCs w:val="28"/>
        </w:rPr>
        <w:t xml:space="preserve"> [12]</w:t>
      </w:r>
      <w:r w:rsidRPr="003917B8">
        <w:rPr>
          <w:sz w:val="28"/>
          <w:szCs w:val="28"/>
        </w:rPr>
        <w:t>.</w:t>
      </w:r>
    </w:p>
    <w:p w:rsidR="0015767C" w:rsidRPr="003917B8" w:rsidRDefault="00977398" w:rsidP="003917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1.5pt;height:150pt">
            <v:imagedata r:id="rId8" o:title=""/>
          </v:shape>
        </w:pict>
      </w:r>
    </w:p>
    <w:p w:rsidR="007E583E" w:rsidRPr="003917B8" w:rsidRDefault="007E583E" w:rsidP="003917B8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3917B8">
        <w:rPr>
          <w:iCs/>
          <w:sz w:val="28"/>
          <w:szCs w:val="28"/>
        </w:rPr>
        <w:t>Рисунок 2 – Поквартальная динамика премий и выплат по личному страхованию в 2004 – 2007 гг., млн. руб</w:t>
      </w:r>
      <w:r w:rsidRPr="003917B8">
        <w:rPr>
          <w:i/>
          <w:iCs/>
          <w:sz w:val="28"/>
          <w:szCs w:val="28"/>
        </w:rPr>
        <w:t>.</w:t>
      </w:r>
    </w:p>
    <w:p w:rsidR="003758CE" w:rsidRPr="003917B8" w:rsidRDefault="00B65C10" w:rsidP="003917B8">
      <w:pPr>
        <w:pStyle w:val="1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17B8">
        <w:rPr>
          <w:sz w:val="28"/>
          <w:szCs w:val="28"/>
        </w:rPr>
        <w:t>Поквартальная динамика показывает стабильное увеличение сбора преми</w:t>
      </w:r>
      <w:r w:rsidR="00C52490" w:rsidRPr="003917B8">
        <w:rPr>
          <w:sz w:val="28"/>
          <w:szCs w:val="28"/>
        </w:rPr>
        <w:t>й</w:t>
      </w:r>
      <w:r w:rsidRPr="003917B8">
        <w:rPr>
          <w:sz w:val="28"/>
          <w:szCs w:val="28"/>
        </w:rPr>
        <w:t xml:space="preserve"> и объема выплат в первом и четвертом квартале каждого года</w:t>
      </w:r>
      <w:r w:rsidR="003758CE" w:rsidRPr="003917B8">
        <w:rPr>
          <w:sz w:val="28"/>
          <w:szCs w:val="28"/>
        </w:rPr>
        <w:t xml:space="preserve">. </w:t>
      </w:r>
      <w:r w:rsidR="00283AF8" w:rsidRPr="003917B8">
        <w:rPr>
          <w:sz w:val="28"/>
          <w:szCs w:val="28"/>
        </w:rPr>
        <w:t>Р</w:t>
      </w:r>
      <w:r w:rsidRPr="003917B8">
        <w:rPr>
          <w:sz w:val="28"/>
          <w:szCs w:val="28"/>
        </w:rPr>
        <w:t>азвити</w:t>
      </w:r>
      <w:r w:rsidR="00283AF8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 xml:space="preserve"> рынка личного страхования </w:t>
      </w:r>
      <w:r w:rsidR="003758CE" w:rsidRPr="003917B8">
        <w:rPr>
          <w:sz w:val="28"/>
          <w:szCs w:val="28"/>
        </w:rPr>
        <w:t xml:space="preserve">можно </w:t>
      </w:r>
      <w:r w:rsidR="00283AF8" w:rsidRPr="003917B8">
        <w:rPr>
          <w:sz w:val="28"/>
          <w:szCs w:val="28"/>
        </w:rPr>
        <w:t>охарактеризовать</w:t>
      </w:r>
      <w:r w:rsidR="003758CE" w:rsidRPr="003917B8">
        <w:rPr>
          <w:sz w:val="28"/>
          <w:szCs w:val="28"/>
        </w:rPr>
        <w:t xml:space="preserve"> следующим образом:</w:t>
      </w:r>
    </w:p>
    <w:p w:rsidR="003758CE" w:rsidRPr="003917B8" w:rsidRDefault="003758CE" w:rsidP="003917B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сокращается доля операций с монополисами в </w:t>
      </w:r>
      <w:r w:rsidR="00283AF8" w:rsidRPr="003917B8">
        <w:rPr>
          <w:sz w:val="28"/>
          <w:szCs w:val="28"/>
        </w:rPr>
        <w:t>ДМС</w:t>
      </w:r>
      <w:r w:rsidRPr="003917B8">
        <w:rPr>
          <w:sz w:val="28"/>
          <w:szCs w:val="28"/>
        </w:rPr>
        <w:t>, где выплаты соответствуют уплаченной премии</w:t>
      </w:r>
      <w:r w:rsidR="00E96661" w:rsidRPr="003917B8">
        <w:rPr>
          <w:sz w:val="28"/>
          <w:szCs w:val="28"/>
        </w:rPr>
        <w:t>,</w:t>
      </w:r>
      <w:r w:rsidRPr="003917B8">
        <w:rPr>
          <w:sz w:val="28"/>
          <w:szCs w:val="28"/>
        </w:rPr>
        <w:t xml:space="preserve"> т.е. прирост выплат замедляется</w:t>
      </w:r>
      <w:r w:rsidR="00E96661" w:rsidRPr="003917B8">
        <w:rPr>
          <w:sz w:val="28"/>
          <w:szCs w:val="28"/>
        </w:rPr>
        <w:t>;</w:t>
      </w:r>
    </w:p>
    <w:p w:rsidR="003758CE" w:rsidRPr="003917B8" w:rsidRDefault="003758CE" w:rsidP="003917B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налоговые инициативы для развития корпоративного личного страхования (прежде всего ДМС) остаются пока только в законопроектах;</w:t>
      </w:r>
    </w:p>
    <w:p w:rsidR="003758CE" w:rsidRPr="003917B8" w:rsidRDefault="003758CE" w:rsidP="003917B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растут премии по страхованию от несчастных случаев в розничном сегменте, что обусловлено развитием страхования жизни и здоровья при автокредитовании и ипотечном кредитовании, при страховании пассажиров железнодорожного и авиационного транспорта.</w:t>
      </w:r>
    </w:p>
    <w:p w:rsidR="00CB7B9F" w:rsidRPr="003917B8" w:rsidRDefault="00CB7B9F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Динамика показателей крупнейших операторов сегмента демонстрирует следующее (Таблиц</w:t>
      </w:r>
      <w:r w:rsidR="00003FB5" w:rsidRPr="003917B8">
        <w:rPr>
          <w:sz w:val="28"/>
          <w:szCs w:val="28"/>
        </w:rPr>
        <w:t>а</w:t>
      </w:r>
      <w:r w:rsidRPr="003917B8">
        <w:rPr>
          <w:sz w:val="28"/>
          <w:szCs w:val="28"/>
        </w:rPr>
        <w:t xml:space="preserve"> </w:t>
      </w:r>
      <w:r w:rsidR="00122F76" w:rsidRPr="003917B8">
        <w:rPr>
          <w:sz w:val="28"/>
          <w:szCs w:val="28"/>
        </w:rPr>
        <w:t>3</w:t>
      </w:r>
      <w:r w:rsidRPr="003917B8">
        <w:rPr>
          <w:sz w:val="28"/>
          <w:szCs w:val="28"/>
        </w:rPr>
        <w:t>)</w:t>
      </w:r>
      <w:r w:rsidR="00CB149E" w:rsidRPr="003917B8">
        <w:rPr>
          <w:sz w:val="28"/>
          <w:szCs w:val="28"/>
        </w:rPr>
        <w:t xml:space="preserve"> [12]</w:t>
      </w:r>
      <w:r w:rsidRPr="003917B8">
        <w:rPr>
          <w:sz w:val="28"/>
          <w:szCs w:val="28"/>
        </w:rPr>
        <w:t xml:space="preserve">. </w:t>
      </w:r>
    </w:p>
    <w:p w:rsidR="00CB7B9F" w:rsidRPr="003917B8" w:rsidRDefault="00CB7B9F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iCs/>
          <w:sz w:val="28"/>
          <w:szCs w:val="28"/>
        </w:rPr>
        <w:t xml:space="preserve">Таблица </w:t>
      </w:r>
      <w:r w:rsidR="00122F76" w:rsidRPr="003917B8">
        <w:rPr>
          <w:iCs/>
          <w:sz w:val="28"/>
          <w:szCs w:val="28"/>
        </w:rPr>
        <w:t>3</w:t>
      </w:r>
      <w:r w:rsidRPr="003917B8">
        <w:rPr>
          <w:iCs/>
          <w:sz w:val="28"/>
          <w:szCs w:val="28"/>
        </w:rPr>
        <w:t xml:space="preserve"> – Лидеры в личном страховании</w:t>
      </w:r>
      <w:r w:rsidR="00562C5C" w:rsidRPr="003917B8">
        <w:rPr>
          <w:iCs/>
          <w:sz w:val="28"/>
          <w:szCs w:val="28"/>
        </w:rPr>
        <w:t>,</w:t>
      </w:r>
      <w:r w:rsidRPr="003917B8">
        <w:rPr>
          <w:iCs/>
          <w:sz w:val="28"/>
          <w:szCs w:val="28"/>
        </w:rPr>
        <w:t xml:space="preserve"> </w:t>
      </w:r>
      <w:r w:rsidR="00562C5C" w:rsidRPr="003917B8">
        <w:rPr>
          <w:iCs/>
          <w:sz w:val="28"/>
          <w:szCs w:val="28"/>
        </w:rPr>
        <w:t>1-е</w:t>
      </w:r>
      <w:r w:rsidRPr="003917B8">
        <w:rPr>
          <w:iCs/>
          <w:sz w:val="28"/>
          <w:szCs w:val="28"/>
        </w:rPr>
        <w:t xml:space="preserve"> </w:t>
      </w:r>
      <w:r w:rsidR="00CA0881" w:rsidRPr="003917B8">
        <w:rPr>
          <w:iCs/>
          <w:sz w:val="28"/>
          <w:szCs w:val="28"/>
        </w:rPr>
        <w:t>полугоди</w:t>
      </w:r>
      <w:r w:rsidR="00562C5C" w:rsidRPr="003917B8">
        <w:rPr>
          <w:iCs/>
          <w:sz w:val="28"/>
          <w:szCs w:val="28"/>
        </w:rPr>
        <w:t>е</w:t>
      </w:r>
      <w:r w:rsidRPr="003917B8">
        <w:rPr>
          <w:iCs/>
          <w:sz w:val="28"/>
          <w:szCs w:val="28"/>
        </w:rPr>
        <w:t xml:space="preserve"> 2005-</w:t>
      </w:r>
      <w:smartTag w:uri="urn:schemas-microsoft-com:office:smarttags" w:element="metricconverter">
        <w:smartTagPr>
          <w:attr w:name="ProductID" w:val="2007 г"/>
        </w:smartTagPr>
        <w:r w:rsidRPr="003917B8">
          <w:rPr>
            <w:iCs/>
            <w:sz w:val="28"/>
            <w:szCs w:val="28"/>
          </w:rPr>
          <w:t>2007 г</w:t>
        </w:r>
      </w:smartTag>
      <w:r w:rsidRPr="003917B8">
        <w:rPr>
          <w:iCs/>
          <w:sz w:val="28"/>
          <w:szCs w:val="28"/>
        </w:rPr>
        <w:t>., тыс. руб.</w:t>
      </w:r>
    </w:p>
    <w:tbl>
      <w:tblPr>
        <w:tblW w:w="9915" w:type="dxa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1522"/>
        <w:gridCol w:w="1435"/>
        <w:gridCol w:w="1620"/>
        <w:gridCol w:w="1615"/>
        <w:gridCol w:w="1975"/>
      </w:tblGrid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92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2005</w:t>
            </w:r>
          </w:p>
        </w:tc>
        <w:tc>
          <w:tcPr>
            <w:tcW w:w="1405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2006</w:t>
            </w:r>
          </w:p>
        </w:tc>
        <w:tc>
          <w:tcPr>
            <w:tcW w:w="1590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Прирост 2006</w:t>
            </w:r>
          </w:p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к 2005</w:t>
            </w:r>
            <w:r w:rsidR="00F012B6" w:rsidRPr="003917B8">
              <w:rPr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585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1 пг. 2007</w:t>
            </w:r>
          </w:p>
        </w:tc>
        <w:tc>
          <w:tcPr>
            <w:tcW w:w="1930" w:type="dxa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/>
                <w:bCs/>
                <w:sz w:val="20"/>
                <w:szCs w:val="20"/>
              </w:rPr>
              <w:t>Прирост 2007 к 2006</w:t>
            </w:r>
            <w:r w:rsidR="00F012B6" w:rsidRPr="003917B8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Согаз</w:t>
            </w:r>
          </w:p>
        </w:tc>
        <w:tc>
          <w:tcPr>
            <w:tcW w:w="1492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5 868 215</w:t>
            </w:r>
          </w:p>
        </w:tc>
        <w:tc>
          <w:tcPr>
            <w:tcW w:w="140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7 938 681</w:t>
            </w:r>
          </w:p>
        </w:tc>
        <w:tc>
          <w:tcPr>
            <w:tcW w:w="159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35%</w:t>
            </w:r>
          </w:p>
        </w:tc>
        <w:tc>
          <w:tcPr>
            <w:tcW w:w="158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9 793 950</w:t>
            </w:r>
          </w:p>
        </w:tc>
        <w:tc>
          <w:tcPr>
            <w:tcW w:w="193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23%</w:t>
            </w:r>
          </w:p>
        </w:tc>
      </w:tr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Жасо</w:t>
            </w:r>
          </w:p>
        </w:tc>
        <w:tc>
          <w:tcPr>
            <w:tcW w:w="1492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4 606 656</w:t>
            </w:r>
          </w:p>
        </w:tc>
        <w:tc>
          <w:tcPr>
            <w:tcW w:w="140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4 665 976</w:t>
            </w:r>
          </w:p>
        </w:tc>
        <w:tc>
          <w:tcPr>
            <w:tcW w:w="159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1%</w:t>
            </w:r>
          </w:p>
        </w:tc>
        <w:tc>
          <w:tcPr>
            <w:tcW w:w="158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5 092 740</w:t>
            </w:r>
          </w:p>
        </w:tc>
        <w:tc>
          <w:tcPr>
            <w:tcW w:w="193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9%</w:t>
            </w:r>
          </w:p>
        </w:tc>
      </w:tr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Росно</w:t>
            </w:r>
          </w:p>
        </w:tc>
        <w:tc>
          <w:tcPr>
            <w:tcW w:w="1492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2 452 538</w:t>
            </w:r>
          </w:p>
        </w:tc>
        <w:tc>
          <w:tcPr>
            <w:tcW w:w="140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3 951 951</w:t>
            </w:r>
          </w:p>
        </w:tc>
        <w:tc>
          <w:tcPr>
            <w:tcW w:w="159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61%</w:t>
            </w:r>
          </w:p>
        </w:tc>
        <w:tc>
          <w:tcPr>
            <w:tcW w:w="158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4 588 997</w:t>
            </w:r>
          </w:p>
        </w:tc>
        <w:tc>
          <w:tcPr>
            <w:tcW w:w="193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16%</w:t>
            </w:r>
          </w:p>
        </w:tc>
      </w:tr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Ингосстрах</w:t>
            </w:r>
          </w:p>
        </w:tc>
        <w:tc>
          <w:tcPr>
            <w:tcW w:w="1492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1 571 534</w:t>
            </w:r>
          </w:p>
        </w:tc>
        <w:tc>
          <w:tcPr>
            <w:tcW w:w="140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2 143 974</w:t>
            </w:r>
          </w:p>
        </w:tc>
        <w:tc>
          <w:tcPr>
            <w:tcW w:w="159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36%</w:t>
            </w:r>
          </w:p>
        </w:tc>
        <w:tc>
          <w:tcPr>
            <w:tcW w:w="158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2 899 381</w:t>
            </w:r>
          </w:p>
        </w:tc>
        <w:tc>
          <w:tcPr>
            <w:tcW w:w="193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35%</w:t>
            </w:r>
          </w:p>
        </w:tc>
      </w:tr>
      <w:tr w:rsidR="0099469A" w:rsidRPr="003917B8">
        <w:trPr>
          <w:tblCellSpacing w:w="15" w:type="dxa"/>
        </w:trPr>
        <w:tc>
          <w:tcPr>
            <w:tcW w:w="1703" w:type="dxa"/>
          </w:tcPr>
          <w:p w:rsidR="0099469A" w:rsidRPr="003917B8" w:rsidRDefault="0099469A" w:rsidP="003917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Ресо-Гарантия</w:t>
            </w:r>
          </w:p>
        </w:tc>
        <w:tc>
          <w:tcPr>
            <w:tcW w:w="1492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1 566 986</w:t>
            </w:r>
          </w:p>
        </w:tc>
        <w:tc>
          <w:tcPr>
            <w:tcW w:w="140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1 863 357</w:t>
            </w:r>
          </w:p>
        </w:tc>
        <w:tc>
          <w:tcPr>
            <w:tcW w:w="159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19%</w:t>
            </w:r>
          </w:p>
        </w:tc>
        <w:tc>
          <w:tcPr>
            <w:tcW w:w="1585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2 659 196</w:t>
            </w:r>
          </w:p>
        </w:tc>
        <w:tc>
          <w:tcPr>
            <w:tcW w:w="1930" w:type="dxa"/>
            <w:vAlign w:val="center"/>
          </w:tcPr>
          <w:p w:rsidR="0099469A" w:rsidRPr="003917B8" w:rsidRDefault="0099469A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43%</w:t>
            </w:r>
          </w:p>
        </w:tc>
      </w:tr>
    </w:tbl>
    <w:p w:rsidR="0017226F" w:rsidRPr="003917B8" w:rsidRDefault="0017226F" w:rsidP="003917B8">
      <w:pPr>
        <w:pStyle w:val="1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F5EED" w:rsidRPr="003917B8" w:rsidRDefault="003758CE" w:rsidP="003917B8">
      <w:pPr>
        <w:pStyle w:val="1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17B8">
        <w:rPr>
          <w:sz w:val="28"/>
          <w:szCs w:val="28"/>
        </w:rPr>
        <w:t>Ведущие страховщики, которые задают темп развития всему рынку личного страхования, развивают данный вид страхования не только за счет пролонгирования корпоративных договоров ДМС. Прирост преми</w:t>
      </w:r>
      <w:r w:rsidR="00C52490" w:rsidRPr="003917B8">
        <w:rPr>
          <w:sz w:val="28"/>
          <w:szCs w:val="28"/>
        </w:rPr>
        <w:t>й</w:t>
      </w:r>
      <w:r w:rsidRPr="003917B8">
        <w:rPr>
          <w:sz w:val="28"/>
          <w:szCs w:val="28"/>
        </w:rPr>
        <w:t xml:space="preserve"> данных страховщиков обеспечивают также новые клиенты, в том числе страхователи</w:t>
      </w:r>
      <w:r w:rsidR="00E440C2" w:rsidRPr="003917B8">
        <w:rPr>
          <w:sz w:val="28"/>
          <w:szCs w:val="28"/>
        </w:rPr>
        <w:t xml:space="preserve"> – </w:t>
      </w:r>
      <w:r w:rsidRPr="003917B8">
        <w:rPr>
          <w:sz w:val="28"/>
          <w:szCs w:val="28"/>
        </w:rPr>
        <w:t xml:space="preserve">физические лица. </w:t>
      </w:r>
    </w:p>
    <w:p w:rsidR="00920AFE" w:rsidRPr="003917B8" w:rsidRDefault="003758CE" w:rsidP="003917B8">
      <w:pPr>
        <w:pStyle w:val="1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17B8">
        <w:rPr>
          <w:sz w:val="28"/>
          <w:szCs w:val="28"/>
        </w:rPr>
        <w:t xml:space="preserve">Состав группы первых </w:t>
      </w:r>
      <w:r w:rsidR="00DF5EED" w:rsidRPr="003917B8">
        <w:rPr>
          <w:sz w:val="28"/>
          <w:szCs w:val="28"/>
        </w:rPr>
        <w:t>пяти</w:t>
      </w:r>
      <w:r w:rsidRPr="003917B8">
        <w:rPr>
          <w:sz w:val="28"/>
          <w:szCs w:val="28"/>
        </w:rPr>
        <w:t xml:space="preserve"> компаний, лидирующих по сбору премии на рынке личного страхования, </w:t>
      </w:r>
      <w:r w:rsidR="00DF5EED" w:rsidRPr="003917B8">
        <w:rPr>
          <w:sz w:val="28"/>
          <w:szCs w:val="28"/>
        </w:rPr>
        <w:t xml:space="preserve">за последние 3 года </w:t>
      </w:r>
      <w:r w:rsidRPr="003917B8">
        <w:rPr>
          <w:sz w:val="28"/>
          <w:szCs w:val="28"/>
        </w:rPr>
        <w:t>практически не изменился, менялись лишь внутренние позиции</w:t>
      </w:r>
      <w:r w:rsidR="0017226F" w:rsidRPr="003917B8">
        <w:rPr>
          <w:sz w:val="28"/>
          <w:szCs w:val="28"/>
        </w:rPr>
        <w:t xml:space="preserve"> отдельных компаний</w:t>
      </w:r>
      <w:r w:rsidRPr="003917B8">
        <w:rPr>
          <w:sz w:val="28"/>
          <w:szCs w:val="28"/>
        </w:rPr>
        <w:t>.</w:t>
      </w:r>
      <w:r w:rsidR="0017226F" w:rsidRPr="003917B8">
        <w:rPr>
          <w:sz w:val="28"/>
          <w:szCs w:val="28"/>
        </w:rPr>
        <w:t xml:space="preserve"> </w:t>
      </w:r>
      <w:r w:rsidR="00920AFE" w:rsidRPr="003917B8">
        <w:rPr>
          <w:sz w:val="28"/>
          <w:szCs w:val="28"/>
        </w:rPr>
        <w:t xml:space="preserve">Заметные сдвиги произошли внутри самого страхового сектора – возросла доля крупных страховщиков в ущерб небольшим страховым компаниям. Эта тенденция в значительной мере должна определить наметившуюся консолидацию страхового рынка. 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5A8E" w:rsidRPr="003917B8" w:rsidRDefault="00395A8E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2.3. Страхователи и страховщики: анализ взаимоотношений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395A8E" w:rsidRPr="003917B8" w:rsidRDefault="00395A8E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Обзор рынка личного страхования был бы неполным без </w:t>
      </w:r>
      <w:r w:rsidR="00BD6206" w:rsidRPr="003917B8">
        <w:rPr>
          <w:sz w:val="28"/>
          <w:szCs w:val="28"/>
        </w:rPr>
        <w:t>анализа</w:t>
      </w:r>
      <w:r w:rsidRPr="003917B8">
        <w:rPr>
          <w:sz w:val="28"/>
          <w:szCs w:val="28"/>
        </w:rPr>
        <w:t xml:space="preserve"> отношения целевой аудитории к страхованию. </w:t>
      </w:r>
      <w:r w:rsidRPr="003917B8">
        <w:rPr>
          <w:color w:val="000000"/>
          <w:sz w:val="28"/>
          <w:szCs w:val="28"/>
        </w:rPr>
        <w:t>«Универсальное рейтинговое агентство» провело аналитическое исследование, опрос</w:t>
      </w:r>
      <w:r w:rsidR="00BD6206" w:rsidRPr="003917B8">
        <w:rPr>
          <w:color w:val="000000"/>
          <w:sz w:val="28"/>
          <w:szCs w:val="28"/>
        </w:rPr>
        <w:t>ив</w:t>
      </w:r>
      <w:r w:rsidRPr="003917B8">
        <w:rPr>
          <w:color w:val="000000"/>
          <w:sz w:val="28"/>
          <w:szCs w:val="28"/>
        </w:rPr>
        <w:t xml:space="preserve"> более 1200 физических лиц в разных регионах России. </w:t>
      </w:r>
      <w:r w:rsidR="00BD6206" w:rsidRPr="003917B8">
        <w:rPr>
          <w:sz w:val="28"/>
          <w:szCs w:val="28"/>
        </w:rPr>
        <w:t>Исследование</w:t>
      </w:r>
      <w:r w:rsidRPr="003917B8">
        <w:rPr>
          <w:sz w:val="28"/>
          <w:szCs w:val="28"/>
        </w:rPr>
        <w:t xml:space="preserve"> показало, что очень малый процент опрошенных в настоящее время заключили договор на страхование жизни (рис. 3)</w:t>
      </w:r>
      <w:r w:rsidR="00CB149E" w:rsidRPr="003917B8">
        <w:rPr>
          <w:sz w:val="28"/>
          <w:szCs w:val="28"/>
        </w:rPr>
        <w:t xml:space="preserve"> </w:t>
      </w:r>
      <w:r w:rsidR="00CB149E" w:rsidRPr="003917B8">
        <w:rPr>
          <w:color w:val="000000"/>
          <w:sz w:val="28"/>
          <w:szCs w:val="28"/>
        </w:rPr>
        <w:t>[10]</w:t>
      </w:r>
      <w:r w:rsidRPr="003917B8">
        <w:rPr>
          <w:sz w:val="28"/>
          <w:szCs w:val="28"/>
        </w:rPr>
        <w:t xml:space="preserve">. </w:t>
      </w:r>
    </w:p>
    <w:p w:rsidR="00395A8E" w:rsidRPr="003917B8" w:rsidRDefault="0097739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5.75pt;height:121.5pt">
            <v:imagedata r:id="rId9" o:title=""/>
          </v:shape>
        </w:pic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17B8">
        <w:rPr>
          <w:sz w:val="28"/>
          <w:szCs w:val="28"/>
        </w:rPr>
        <w:t>Рисунок 3 – Застрахованные и незастрахованные респонденты</w: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Однако если ознакомиться со следующими результатами, становится понятно, что лишь 7% от числа застрахованных сделали это самостоятельно (рис. 4). </w:t>
      </w:r>
    </w:p>
    <w:p w:rsidR="00395A8E" w:rsidRPr="003917B8" w:rsidRDefault="0097739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4.5pt;height:121.5pt">
            <v:imagedata r:id="rId10" o:title=""/>
          </v:shape>
        </w:pic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17B8">
        <w:rPr>
          <w:sz w:val="28"/>
          <w:szCs w:val="28"/>
        </w:rPr>
        <w:t xml:space="preserve">Рисунок 4 – Застрахованные по личной инициативе и корпоративно </w:t>
      </w:r>
    </w:p>
    <w:p w:rsidR="00395A8E" w:rsidRPr="003917B8" w:rsidRDefault="00BD6206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Такое п</w:t>
      </w:r>
      <w:r w:rsidR="00395A8E" w:rsidRPr="003917B8">
        <w:rPr>
          <w:sz w:val="28"/>
          <w:szCs w:val="28"/>
        </w:rPr>
        <w:t xml:space="preserve">оложение связано с тем, что во многих компаниях страхование работников входит в компенсационный пакет. Из более чем 1200 респондентов было выявлено всего лишь 24 человека, которые самостоятельно застраховали свою жизнь. Как выяснилось, причина – в крайне низкой информированности (рис. 5). </w:t>
      </w:r>
    </w:p>
    <w:p w:rsidR="00395A8E" w:rsidRPr="003917B8" w:rsidRDefault="0097739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4.5pt;height:121.5pt">
            <v:imagedata r:id="rId11" o:title=""/>
          </v:shape>
        </w:pic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17B8">
        <w:rPr>
          <w:sz w:val="28"/>
          <w:szCs w:val="28"/>
        </w:rPr>
        <w:t>Рисунок 5 – Информированность респондентов в области страхования</w: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Таким образом, подавляющее количество опрошенных не имеют полного представления о страховании жизни. Между тем, из них как минимум 70% являются потенциальной целевой аудиторией данного вида страхования (рис. 6). </w:t>
      </w:r>
    </w:p>
    <w:p w:rsidR="00395A8E" w:rsidRPr="003917B8" w:rsidRDefault="0097739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95.5pt;height:121.5pt">
            <v:imagedata r:id="rId12" o:title=""/>
          </v:shape>
        </w:pic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17B8">
        <w:rPr>
          <w:sz w:val="28"/>
          <w:szCs w:val="28"/>
        </w:rPr>
        <w:t>Рисунок 6 – Отношение опрошенных к страхованию жизни</w:t>
      </w:r>
    </w:p>
    <w:p w:rsidR="00395A8E" w:rsidRPr="003917B8" w:rsidRDefault="007C094A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Очевидно</w:t>
      </w:r>
      <w:r w:rsidR="00395A8E" w:rsidRPr="003917B8">
        <w:rPr>
          <w:sz w:val="28"/>
          <w:szCs w:val="28"/>
        </w:rPr>
        <w:t xml:space="preserve">, что емкость рынка достаточно высока, но осведомленность </w:t>
      </w:r>
      <w:r w:rsidRPr="003917B8">
        <w:rPr>
          <w:sz w:val="28"/>
          <w:szCs w:val="28"/>
        </w:rPr>
        <w:t>людей</w:t>
      </w:r>
      <w:r w:rsidR="00395A8E" w:rsidRPr="003917B8">
        <w:rPr>
          <w:sz w:val="28"/>
          <w:szCs w:val="28"/>
        </w:rPr>
        <w:t xml:space="preserve"> низкая. Так как при продаже любых товаров информированность целевой аудитории прямо пропорциональна экономическому эффекту, становится понятно, почему сегодня страхование жизни относится к категории «активно развивающихся» продуктов и одновременно так далеко отстоит от категории «успешно продающихся». </w:t>
      </w:r>
      <w:r w:rsidR="00183705" w:rsidRPr="003917B8">
        <w:rPr>
          <w:sz w:val="28"/>
          <w:szCs w:val="28"/>
        </w:rPr>
        <w:t xml:space="preserve">Одна из причин – </w:t>
      </w:r>
      <w:r w:rsidRPr="003917B8">
        <w:rPr>
          <w:sz w:val="28"/>
          <w:szCs w:val="28"/>
        </w:rPr>
        <w:t>не</w:t>
      </w:r>
      <w:r w:rsidR="00395A8E" w:rsidRPr="003917B8">
        <w:rPr>
          <w:sz w:val="28"/>
          <w:szCs w:val="28"/>
        </w:rPr>
        <w:t>довери</w:t>
      </w:r>
      <w:r w:rsidR="00183705" w:rsidRPr="003917B8">
        <w:rPr>
          <w:sz w:val="28"/>
          <w:szCs w:val="28"/>
        </w:rPr>
        <w:t>е</w:t>
      </w:r>
      <w:r w:rsidR="00395A8E" w:rsidRPr="003917B8">
        <w:rPr>
          <w:sz w:val="28"/>
          <w:szCs w:val="28"/>
        </w:rPr>
        <w:t xml:space="preserve"> к страховщикам (рис.7). </w:t>
      </w:r>
    </w:p>
    <w:p w:rsidR="00395A8E" w:rsidRPr="003917B8" w:rsidRDefault="0097739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30.5pt;height:179.25pt">
            <v:imagedata r:id="rId13" o:title=""/>
          </v:shape>
        </w:pic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17B8">
        <w:rPr>
          <w:sz w:val="28"/>
          <w:szCs w:val="28"/>
        </w:rPr>
        <w:t>Рисунок 7 – Показатели доверия к страховщикам</w:t>
      </w:r>
    </w:p>
    <w:p w:rsidR="00395A8E" w:rsidRPr="003917B8" w:rsidRDefault="00395A8E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Данные </w:t>
      </w:r>
      <w:r w:rsidR="00BD6206" w:rsidRPr="003917B8">
        <w:rPr>
          <w:sz w:val="28"/>
          <w:szCs w:val="28"/>
        </w:rPr>
        <w:t>показывают</w:t>
      </w:r>
      <w:r w:rsidRPr="003917B8">
        <w:rPr>
          <w:sz w:val="28"/>
          <w:szCs w:val="28"/>
        </w:rPr>
        <w:t xml:space="preserve"> высок</w:t>
      </w:r>
      <w:r w:rsidR="00BD6206" w:rsidRPr="003917B8">
        <w:rPr>
          <w:sz w:val="28"/>
          <w:szCs w:val="28"/>
        </w:rPr>
        <w:t>ую</w:t>
      </w:r>
      <w:r w:rsidRPr="003917B8">
        <w:rPr>
          <w:sz w:val="28"/>
          <w:szCs w:val="28"/>
        </w:rPr>
        <w:t xml:space="preserve"> неуверенност</w:t>
      </w:r>
      <w:r w:rsidR="00BD6206" w:rsidRPr="003917B8">
        <w:rPr>
          <w:sz w:val="28"/>
          <w:szCs w:val="28"/>
        </w:rPr>
        <w:t>ь</w:t>
      </w:r>
      <w:r w:rsidRPr="003917B8">
        <w:rPr>
          <w:sz w:val="28"/>
          <w:szCs w:val="28"/>
        </w:rPr>
        <w:t xml:space="preserve"> страхователей в отношении страховых компаний. Основная проблем – боязнь быть обманутыми после наступления страхового случая. Подавляющее большинство респондентов считают, что после их смерти выгодоприобретатель не сможет легко и без проблем получить страховую сумму. Из них 77% считают, что страховая сумма будет выдана не в полном объеме, а 23% – что не будет выдана вообще. </w:t>
      </w:r>
      <w:r w:rsidR="007C094A" w:rsidRPr="003917B8">
        <w:rPr>
          <w:sz w:val="28"/>
          <w:szCs w:val="28"/>
        </w:rPr>
        <w:t>С</w:t>
      </w:r>
      <w:r w:rsidRPr="003917B8">
        <w:rPr>
          <w:sz w:val="28"/>
          <w:szCs w:val="28"/>
        </w:rPr>
        <w:t xml:space="preserve">тановится очевидно, что страховщикам предстоят значительные шаги по укреплению своей репутации. </w:t>
      </w:r>
    </w:p>
    <w:p w:rsidR="00D868FE" w:rsidRPr="003917B8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8FE" w:rsidRPr="003917B8">
        <w:rPr>
          <w:b/>
          <w:sz w:val="28"/>
          <w:szCs w:val="28"/>
        </w:rPr>
        <w:t xml:space="preserve">3. </w:t>
      </w:r>
      <w:r w:rsidR="006A0662" w:rsidRPr="003917B8">
        <w:rPr>
          <w:b/>
          <w:sz w:val="28"/>
          <w:szCs w:val="28"/>
        </w:rPr>
        <w:t>ЛИЧНОЕ СТРАХОВАНИЕ – СОЦИАЛЬНАЯ ЗАЩИТА НАСЕЛЕНИЯ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688B" w:rsidRPr="003917B8" w:rsidRDefault="006B688B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3.1. Роль личного страхования в жизни общества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6B688B" w:rsidRPr="003917B8" w:rsidRDefault="006B688B" w:rsidP="003917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7B8">
        <w:rPr>
          <w:sz w:val="28"/>
          <w:szCs w:val="28"/>
        </w:rPr>
        <w:t xml:space="preserve">Страхование, и особенно страхование жизни, в современном обществе играет большую роль в функционировании экономики и поддержке жизненного уровня населения. </w:t>
      </w:r>
      <w:r w:rsidRPr="003917B8">
        <w:rPr>
          <w:color w:val="000000"/>
          <w:sz w:val="28"/>
          <w:szCs w:val="28"/>
        </w:rPr>
        <w:t>Поэтому в странах Западной Европы, США и Японии страхование жизни – самый популярный вид страхования, его доля на рынке – от 60% до 80%</w:t>
      </w:r>
      <w:r w:rsidR="00F84BD4" w:rsidRPr="003917B8">
        <w:rPr>
          <w:color w:val="000000"/>
          <w:sz w:val="28"/>
          <w:szCs w:val="28"/>
        </w:rPr>
        <w:t xml:space="preserve"> [9, с. 70]</w:t>
      </w:r>
      <w:r w:rsidRPr="003917B8">
        <w:rPr>
          <w:color w:val="000000"/>
          <w:sz w:val="28"/>
          <w:szCs w:val="28"/>
        </w:rPr>
        <w:t xml:space="preserve">. </w:t>
      </w:r>
    </w:p>
    <w:p w:rsidR="006B688B" w:rsidRPr="003917B8" w:rsidRDefault="006B688B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Аккумулируя огромные средства и являясь важным средоточием концентрации капитала, страхование является стратегически важной отраслью экономики, обеспечивая подавляющую часть инвестиций в ее развитие и освобождая государственные бюджеты от расходов на возмещение убытков от непредвиденных событий. Основной ролью личного страхования является повышение социальной защищенности населения путем выплат денежных компенсаций в случае потери здоровья, жизни или трудоспособности, повышение объема пенсий за счет выплат рент (аннуитетов), обеспечение населения качественным медицинским обслуживанием и многое другое. В свою очередь, высокая социальная защищенность населения способствует повышению доверия к правительству, стабилизации политической обстановки, что можно считать политической ролью личного страхования.</w:t>
      </w:r>
    </w:p>
    <w:p w:rsidR="006B688B" w:rsidRPr="003917B8" w:rsidRDefault="006B688B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Экономическая роль личного страхования заключается в том, что страховые выплаты по договорам личного страхования уменьшают расходную часть государственного бюджета на социальные программы, а денежные средства, аккумулируемые страховыми компаниями, могут стать источником значительных долгосрочных инвестиций в экономику государства. В России это имеет особое значение в связи с кризисом пенсионной системы и неблагоприятными демографическими тенденциями. В условиях дефицита инвестиционных ресурсов привлечение с помощью страховых технологий сбережений населения может стать существенным элементом государственной финансовой политики и способствовать снижению внешних заимствований.</w:t>
      </w:r>
    </w:p>
    <w:p w:rsidR="006B688B" w:rsidRPr="003917B8" w:rsidRDefault="006B688B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Страхование, как метод управления рисками, способствует защите интересов граждан, их безопасности. Роль страхования особенно важна в контексте экономических реформ, поскольку оно стимулирует развитие рыночных отношений и деловой активности, улучшает инвестиционный климат. Значимость страхования существенно возрастает в период перехода к рынку и укрепления частной собственности. В отличие от планово-административной системы, государство перестает нести ответственность за возмещение ущерба в случае неблагоприятных событий, стихийных бедствий и катастроф. В свою очередь, это способствует формированию спроса на страховые услуги. </w:t>
      </w:r>
    </w:p>
    <w:p w:rsidR="006B688B" w:rsidRPr="003917B8" w:rsidRDefault="006B688B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sz w:val="28"/>
          <w:szCs w:val="28"/>
        </w:rPr>
        <w:t>Степень развития страхового рынка отражает возможности экономического роста страны. Способствуя перераспределению рисков между экономическими субъектами и возмещению убытков за счет накопления, страхование позволяет повысить эффективность экономики, поэтому развитие национальной системы страхования – одна из важных стратегических задач в области создания инфраструктуры рынка.</w:t>
      </w:r>
    </w:p>
    <w:p w:rsid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17B8" w:rsidRDefault="00CA153D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3.</w:t>
      </w:r>
      <w:r w:rsidR="006B688B" w:rsidRPr="003917B8">
        <w:rPr>
          <w:b/>
          <w:sz w:val="28"/>
          <w:szCs w:val="28"/>
        </w:rPr>
        <w:t>2</w:t>
      </w:r>
      <w:r w:rsidRPr="003917B8">
        <w:rPr>
          <w:b/>
          <w:sz w:val="28"/>
          <w:szCs w:val="28"/>
        </w:rPr>
        <w:t xml:space="preserve">. </w:t>
      </w:r>
      <w:r w:rsidR="00101BA4" w:rsidRPr="003917B8">
        <w:rPr>
          <w:b/>
          <w:sz w:val="28"/>
          <w:szCs w:val="28"/>
        </w:rPr>
        <w:t>П</w:t>
      </w:r>
      <w:r w:rsidRPr="003917B8">
        <w:rPr>
          <w:b/>
          <w:sz w:val="28"/>
          <w:szCs w:val="28"/>
        </w:rPr>
        <w:t xml:space="preserve">роблемы развития </w:t>
      </w:r>
      <w:r w:rsidR="00256038" w:rsidRPr="003917B8">
        <w:rPr>
          <w:b/>
          <w:sz w:val="28"/>
          <w:szCs w:val="28"/>
        </w:rPr>
        <w:t xml:space="preserve">сферы </w:t>
      </w:r>
      <w:r w:rsidRPr="003917B8">
        <w:rPr>
          <w:b/>
          <w:sz w:val="28"/>
          <w:szCs w:val="28"/>
        </w:rPr>
        <w:t xml:space="preserve">личного страхования и пути их </w:t>
      </w:r>
    </w:p>
    <w:p w:rsidR="00CA153D" w:rsidRPr="003917B8" w:rsidRDefault="00CA153D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решения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CA153D" w:rsidRPr="003917B8" w:rsidRDefault="00CA153D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Личное страхование, и особенно страхование жизни, - развитая и экономически значимая отрасль страхования в европейских странах. В России существует ряд проблем, препятствующих развитию данной отрасли.</w:t>
      </w:r>
      <w:r w:rsidR="00256038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 xml:space="preserve">Сложности с развитием страхования жизни объясняются тем, что в российской практике оно часто используется как способ оптимизации налоговой нагрузки на предприятия и слабо связано с реальной защитой интересов страхователей. </w:t>
      </w:r>
    </w:p>
    <w:p w:rsidR="00CA153D" w:rsidRPr="003917B8" w:rsidRDefault="00CA153D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Исходя из опыта западных стран, можно заключить, что долгосрочное страхование жизни является наиболее перспективным и массовым видом страхования: на его долю приходится от 40</w:t>
      </w:r>
      <w:r w:rsidR="004E2689" w:rsidRPr="003917B8">
        <w:rPr>
          <w:sz w:val="28"/>
          <w:szCs w:val="28"/>
        </w:rPr>
        <w:t>%</w:t>
      </w:r>
      <w:r w:rsidRPr="003917B8">
        <w:rPr>
          <w:sz w:val="28"/>
          <w:szCs w:val="28"/>
        </w:rPr>
        <w:t xml:space="preserve"> до 80% всей собираемой страховой премии</w:t>
      </w:r>
      <w:r w:rsidR="00F84BD4" w:rsidRPr="003917B8">
        <w:rPr>
          <w:sz w:val="28"/>
          <w:szCs w:val="28"/>
        </w:rPr>
        <w:t xml:space="preserve"> [11, </w:t>
      </w:r>
      <w:r w:rsidR="00F84BD4" w:rsidRPr="003917B8">
        <w:rPr>
          <w:sz w:val="28"/>
          <w:szCs w:val="28"/>
          <w:lang w:val="en-US"/>
        </w:rPr>
        <w:t>c</w:t>
      </w:r>
      <w:r w:rsidR="00F84BD4" w:rsidRPr="003917B8">
        <w:rPr>
          <w:sz w:val="28"/>
          <w:szCs w:val="28"/>
        </w:rPr>
        <w:t>. 115]</w:t>
      </w:r>
      <w:r w:rsidRPr="003917B8">
        <w:rPr>
          <w:sz w:val="28"/>
          <w:szCs w:val="28"/>
        </w:rPr>
        <w:t>. Для быстрого развития этого вида страхования необходимо наличие как минимум двух условий: нужно поддерживать долгосрочную надежность и устойчивость финансовой системы в целом, что обеспечит сохранность вложений; доходность накопительного страхования должна быть сравнима с другими инвестиционными инструментами при сопоставимом уровне риска (например, банковский депозит).</w:t>
      </w:r>
    </w:p>
    <w:p w:rsidR="00CA153D" w:rsidRPr="003917B8" w:rsidRDefault="00CA153D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Одна из основных проблем в развитии страхования жизни – слабые стимулы к накоплению, в том числе и налогового характера. Сегодня налоговое законодательство устанавливает практически запретительные барьеры на пути развития данного вида страхования. Например, накопительное страхование за счет средств работодателя облагается: во-первых, единым социальным налогом, во-вторых, подоходным налогом на страховые взносы (также на выплаты, если они производятся), в-третьих, налогом на прибыль, если сумма взносов превышает 12% от суммы расходов на оплату труда</w:t>
      </w:r>
      <w:r w:rsidR="00F84BD4" w:rsidRPr="003917B8">
        <w:rPr>
          <w:sz w:val="28"/>
          <w:szCs w:val="28"/>
        </w:rPr>
        <w:t xml:space="preserve"> [5, с. 74]</w:t>
      </w:r>
      <w:r w:rsidRPr="003917B8">
        <w:rPr>
          <w:sz w:val="28"/>
          <w:szCs w:val="28"/>
        </w:rPr>
        <w:t>.</w:t>
      </w:r>
      <w:r w:rsidR="00D71EE2" w:rsidRPr="003917B8">
        <w:rPr>
          <w:sz w:val="28"/>
          <w:szCs w:val="28"/>
        </w:rPr>
        <w:t xml:space="preserve"> </w:t>
      </w:r>
      <w:r w:rsidRPr="003917B8">
        <w:rPr>
          <w:sz w:val="28"/>
          <w:szCs w:val="28"/>
        </w:rPr>
        <w:t>Кроме того, приемлемая доходность инвестиций может быть обеспечена только при длительных сроках действия договоров – от 10 лет и более. Однако такие договоры не пользуются у страхователей спросом из-за высокой рискованности долгосрочных вложений.</w:t>
      </w:r>
    </w:p>
    <w:p w:rsidR="00CA153D" w:rsidRPr="003917B8" w:rsidRDefault="00CA153D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Таким образом, можно сделать вывод, что основными факторами, способствующими развитию системы страхования вообще и личного в частности, являются: наличие страхового интереса, платежеспособного спроса, эффективных каналов продаж, благоприятного налогового климата, политической и экономической стабильности, доверия населения к власти и финансово-экономическим институтам, формирование рыночного отношения к вопросам социальной защиты.</w:t>
      </w:r>
    </w:p>
    <w:p w:rsidR="00500893" w:rsidRPr="003917B8" w:rsidRDefault="003917B8" w:rsidP="003917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737E" w:rsidRPr="003917B8">
        <w:rPr>
          <w:b/>
          <w:sz w:val="28"/>
          <w:szCs w:val="28"/>
        </w:rPr>
        <w:t>3.</w:t>
      </w:r>
      <w:r w:rsidR="006B688B" w:rsidRPr="003917B8">
        <w:rPr>
          <w:b/>
          <w:sz w:val="28"/>
          <w:szCs w:val="28"/>
        </w:rPr>
        <w:t>3</w:t>
      </w:r>
      <w:r w:rsidR="00442173" w:rsidRPr="003917B8">
        <w:rPr>
          <w:b/>
          <w:sz w:val="28"/>
          <w:szCs w:val="28"/>
        </w:rPr>
        <w:t xml:space="preserve">. </w:t>
      </w:r>
      <w:r w:rsidR="00936141" w:rsidRPr="003917B8">
        <w:rPr>
          <w:b/>
          <w:sz w:val="28"/>
          <w:szCs w:val="28"/>
        </w:rPr>
        <w:t xml:space="preserve">Перспективы </w:t>
      </w:r>
      <w:r w:rsidR="00CA36AE" w:rsidRPr="003917B8">
        <w:rPr>
          <w:b/>
          <w:sz w:val="28"/>
          <w:szCs w:val="28"/>
        </w:rPr>
        <w:t xml:space="preserve">развития </w:t>
      </w:r>
      <w:r w:rsidR="00936141" w:rsidRPr="003917B8">
        <w:rPr>
          <w:b/>
          <w:sz w:val="28"/>
          <w:szCs w:val="28"/>
        </w:rPr>
        <w:t xml:space="preserve">рынка </w:t>
      </w:r>
      <w:r w:rsidR="00980736" w:rsidRPr="003917B8">
        <w:rPr>
          <w:b/>
          <w:sz w:val="28"/>
          <w:szCs w:val="28"/>
        </w:rPr>
        <w:t xml:space="preserve">личного </w:t>
      </w:r>
      <w:r w:rsidR="00936141" w:rsidRPr="003917B8">
        <w:rPr>
          <w:b/>
          <w:sz w:val="28"/>
          <w:szCs w:val="28"/>
        </w:rPr>
        <w:t>страхования</w:t>
      </w:r>
    </w:p>
    <w:p w:rsidR="003917B8" w:rsidRDefault="003917B8" w:rsidP="003917B8">
      <w:pPr>
        <w:spacing w:line="360" w:lineRule="auto"/>
        <w:ind w:firstLine="709"/>
        <w:jc w:val="both"/>
        <w:rPr>
          <w:sz w:val="28"/>
          <w:szCs w:val="28"/>
        </w:rPr>
      </w:pPr>
    </w:p>
    <w:p w:rsidR="008B7E7E" w:rsidRPr="003917B8" w:rsidRDefault="00936141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Во всех </w:t>
      </w:r>
      <w:r w:rsidR="00ED3F4A" w:rsidRPr="003917B8">
        <w:rPr>
          <w:sz w:val="28"/>
          <w:szCs w:val="28"/>
        </w:rPr>
        <w:t xml:space="preserve">экономически </w:t>
      </w:r>
      <w:r w:rsidRPr="003917B8">
        <w:rPr>
          <w:sz w:val="28"/>
          <w:szCs w:val="28"/>
        </w:rPr>
        <w:t>развит</w:t>
      </w:r>
      <w:r w:rsidR="002B1C12" w:rsidRPr="003917B8">
        <w:rPr>
          <w:sz w:val="28"/>
          <w:szCs w:val="28"/>
        </w:rPr>
        <w:t>ых странах страхование является</w:t>
      </w:r>
      <w:r w:rsidRPr="003917B8">
        <w:rPr>
          <w:sz w:val="28"/>
          <w:szCs w:val="28"/>
        </w:rPr>
        <w:t xml:space="preserve"> стратегическим сектором экономики. Объ</w:t>
      </w:r>
      <w:r w:rsidR="00F96A4F" w:rsidRPr="003917B8">
        <w:rPr>
          <w:sz w:val="28"/>
          <w:szCs w:val="28"/>
        </w:rPr>
        <w:t>е</w:t>
      </w:r>
      <w:r w:rsidRPr="003917B8">
        <w:rPr>
          <w:sz w:val="28"/>
          <w:szCs w:val="28"/>
        </w:rPr>
        <w:t>м резервов и сроки, на которые размещаются средства, превращают страховые компании в мощнейшие финансовые кредитующие институты. По</w:t>
      </w:r>
      <w:r w:rsidR="00ED3F4A" w:rsidRPr="003917B8">
        <w:rPr>
          <w:sz w:val="28"/>
          <w:szCs w:val="28"/>
        </w:rPr>
        <w:t>средство</w:t>
      </w:r>
      <w:r w:rsidRPr="003917B8">
        <w:rPr>
          <w:sz w:val="28"/>
          <w:szCs w:val="28"/>
        </w:rPr>
        <w:t xml:space="preserve">м своей деятельности они концентрируют в своих руках огромную финансовую мощь. </w:t>
      </w:r>
      <w:r w:rsidR="00ED3F4A" w:rsidRPr="003917B8">
        <w:rPr>
          <w:sz w:val="28"/>
          <w:szCs w:val="28"/>
        </w:rPr>
        <w:t>Поэтому очевидно, что сферу страхования необходимо развивать</w:t>
      </w:r>
      <w:r w:rsidR="00812DDD" w:rsidRPr="003917B8">
        <w:rPr>
          <w:sz w:val="28"/>
          <w:szCs w:val="28"/>
        </w:rPr>
        <w:t xml:space="preserve"> и что ее ждет большое будущее</w:t>
      </w:r>
      <w:r w:rsidR="00ED3F4A" w:rsidRPr="003917B8">
        <w:rPr>
          <w:sz w:val="28"/>
          <w:szCs w:val="28"/>
        </w:rPr>
        <w:t>.</w:t>
      </w:r>
    </w:p>
    <w:p w:rsidR="00ED3F4A" w:rsidRPr="003917B8" w:rsidRDefault="00936141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Перспективы развития страхового рынка в России трудно предугадать, так как они во многом зависят от состояния экономики страны, уровня ее развития, благосостояния и страховой культуры </w:t>
      </w:r>
      <w:r w:rsidR="00ED3F4A" w:rsidRPr="003917B8">
        <w:rPr>
          <w:sz w:val="28"/>
          <w:szCs w:val="28"/>
        </w:rPr>
        <w:t>людей</w:t>
      </w:r>
      <w:r w:rsidRPr="003917B8">
        <w:rPr>
          <w:sz w:val="28"/>
          <w:szCs w:val="28"/>
        </w:rPr>
        <w:t xml:space="preserve">. </w:t>
      </w:r>
      <w:r w:rsidR="00ED3F4A" w:rsidRPr="003917B8">
        <w:rPr>
          <w:sz w:val="28"/>
          <w:szCs w:val="28"/>
        </w:rPr>
        <w:t>Совершенно очевидно</w:t>
      </w:r>
      <w:r w:rsidRPr="003917B8">
        <w:rPr>
          <w:sz w:val="28"/>
          <w:szCs w:val="28"/>
        </w:rPr>
        <w:t>, что в стране с непредсказуемым экономическим курсом население, живущее потребностями одного дня</w:t>
      </w:r>
      <w:r w:rsidR="00A65072" w:rsidRPr="003917B8">
        <w:rPr>
          <w:sz w:val="28"/>
          <w:szCs w:val="28"/>
        </w:rPr>
        <w:t>,</w:t>
      </w:r>
      <w:r w:rsidRPr="003917B8">
        <w:rPr>
          <w:sz w:val="28"/>
          <w:szCs w:val="28"/>
        </w:rPr>
        <w:t xml:space="preserve"> </w:t>
      </w:r>
      <w:r w:rsidR="004D24FC" w:rsidRPr="003917B8">
        <w:rPr>
          <w:sz w:val="28"/>
          <w:szCs w:val="28"/>
        </w:rPr>
        <w:t xml:space="preserve">не </w:t>
      </w:r>
      <w:r w:rsidRPr="003917B8">
        <w:rPr>
          <w:sz w:val="28"/>
          <w:szCs w:val="28"/>
        </w:rPr>
        <w:t xml:space="preserve">будет заботиться о накоплении с каждым днем обесценивающегося капитала. В таких экономических условиях долгосрочные накопительные страховые программы не работают. </w:t>
      </w:r>
    </w:p>
    <w:p w:rsidR="003917B8" w:rsidRDefault="002240C9" w:rsidP="003917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У</w:t>
      </w:r>
      <w:r w:rsidR="00A324AC" w:rsidRPr="003917B8">
        <w:rPr>
          <w:sz w:val="28"/>
          <w:szCs w:val="28"/>
        </w:rPr>
        <w:t xml:space="preserve"> рынка страхования жизни большой потенциал. По консервативным прогнозам, в 2006-2010 годах рынок классического накопительного страхования жизни в России будет расти в среднем</w:t>
      </w:r>
      <w:r w:rsidRPr="003917B8">
        <w:rPr>
          <w:sz w:val="28"/>
          <w:szCs w:val="28"/>
        </w:rPr>
        <w:t xml:space="preserve"> </w:t>
      </w:r>
      <w:r w:rsidR="00A324AC" w:rsidRPr="003917B8">
        <w:rPr>
          <w:sz w:val="28"/>
          <w:szCs w:val="28"/>
        </w:rPr>
        <w:t xml:space="preserve">на 30-40% в год и к 2010 году составит $1–1,5 млрд. </w:t>
      </w:r>
      <w:r w:rsidR="00B56397" w:rsidRPr="003917B8">
        <w:rPr>
          <w:sz w:val="28"/>
          <w:szCs w:val="28"/>
        </w:rPr>
        <w:t xml:space="preserve">[4, с. 58]. </w:t>
      </w:r>
      <w:r w:rsidR="00A324AC" w:rsidRPr="003917B8">
        <w:rPr>
          <w:sz w:val="28"/>
          <w:szCs w:val="28"/>
        </w:rPr>
        <w:t>Основн</w:t>
      </w:r>
      <w:r w:rsidR="00980736" w:rsidRPr="003917B8">
        <w:rPr>
          <w:sz w:val="28"/>
          <w:szCs w:val="28"/>
        </w:rPr>
        <w:t>ой</w:t>
      </w:r>
      <w:r w:rsidR="00A324AC" w:rsidRPr="003917B8">
        <w:rPr>
          <w:sz w:val="28"/>
          <w:szCs w:val="28"/>
        </w:rPr>
        <w:t xml:space="preserve"> </w:t>
      </w:r>
      <w:r w:rsidR="00980736" w:rsidRPr="003917B8">
        <w:rPr>
          <w:sz w:val="28"/>
          <w:szCs w:val="28"/>
        </w:rPr>
        <w:t>движущей силой</w:t>
      </w:r>
      <w:r w:rsidR="00A324AC" w:rsidRPr="003917B8">
        <w:rPr>
          <w:sz w:val="28"/>
          <w:szCs w:val="28"/>
        </w:rPr>
        <w:t xml:space="preserve"> развития рынка страхования жизни станут корпоративные клиенты, а наиболее интересным продуктом – смешанное страхование жизни. Именно на этот вид страхования делают ставку ведущие страховщики. </w:t>
      </w:r>
    </w:p>
    <w:p w:rsidR="00A324AC" w:rsidRPr="003917B8" w:rsidRDefault="002240C9" w:rsidP="003917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rStyle w:val="a3"/>
          <w:b w:val="0"/>
          <w:color w:val="000000"/>
          <w:sz w:val="28"/>
          <w:szCs w:val="28"/>
        </w:rPr>
        <w:t>Н</w:t>
      </w:r>
      <w:r w:rsidR="007242EC" w:rsidRPr="003917B8">
        <w:rPr>
          <w:rStyle w:val="a3"/>
          <w:b w:val="0"/>
          <w:color w:val="000000"/>
          <w:sz w:val="28"/>
          <w:szCs w:val="28"/>
        </w:rPr>
        <w:t>ынешнее положение страхования в финансовой системе России</w:t>
      </w:r>
      <w:r w:rsidR="007242EC" w:rsidRPr="003917B8">
        <w:rPr>
          <w:color w:val="000000"/>
          <w:sz w:val="28"/>
          <w:szCs w:val="28"/>
        </w:rPr>
        <w:t xml:space="preserve"> не соответствует задачам, которые должны стоять перед страховой отраслью. </w:t>
      </w:r>
      <w:r w:rsidR="007242EC" w:rsidRPr="003917B8">
        <w:rPr>
          <w:rStyle w:val="a3"/>
          <w:b w:val="0"/>
          <w:color w:val="000000"/>
          <w:sz w:val="28"/>
          <w:szCs w:val="28"/>
        </w:rPr>
        <w:t>Страхование</w:t>
      </w:r>
      <w:r w:rsidR="007242EC" w:rsidRPr="003917B8">
        <w:rPr>
          <w:color w:val="000000"/>
          <w:sz w:val="28"/>
          <w:szCs w:val="28"/>
        </w:rPr>
        <w:t xml:space="preserve"> — это единственный </w:t>
      </w:r>
      <w:r w:rsidR="007242EC" w:rsidRPr="003917B8">
        <w:rPr>
          <w:rStyle w:val="a3"/>
          <w:b w:val="0"/>
          <w:color w:val="000000"/>
          <w:sz w:val="28"/>
          <w:szCs w:val="28"/>
        </w:rPr>
        <w:t>вид экономической деятельности</w:t>
      </w:r>
      <w:r w:rsidR="007242EC" w:rsidRPr="003917B8">
        <w:rPr>
          <w:color w:val="000000"/>
          <w:sz w:val="28"/>
          <w:szCs w:val="28"/>
        </w:rPr>
        <w:t xml:space="preserve">, который сопровождает </w:t>
      </w:r>
      <w:r w:rsidR="00980736" w:rsidRPr="003917B8">
        <w:rPr>
          <w:color w:val="000000"/>
          <w:sz w:val="28"/>
          <w:szCs w:val="28"/>
        </w:rPr>
        <w:t xml:space="preserve">человека </w:t>
      </w:r>
      <w:r w:rsidR="007242EC" w:rsidRPr="003917B8">
        <w:rPr>
          <w:color w:val="000000"/>
          <w:sz w:val="28"/>
          <w:szCs w:val="28"/>
        </w:rPr>
        <w:t>всю жизнь</w:t>
      </w:r>
      <w:r w:rsidR="00980736" w:rsidRPr="003917B8">
        <w:rPr>
          <w:color w:val="000000"/>
          <w:sz w:val="28"/>
          <w:szCs w:val="28"/>
        </w:rPr>
        <w:t>:</w:t>
      </w:r>
      <w:r w:rsidR="007242EC" w:rsidRPr="003917B8">
        <w:rPr>
          <w:color w:val="000000"/>
          <w:sz w:val="28"/>
          <w:szCs w:val="28"/>
        </w:rPr>
        <w:t xml:space="preserve"> еще до его рождения и даже после его смерти. Это программы медицинского страхования, накопительного страхования жизни, страхования путешествующих, то есть все от беременности до выплат после смерти застрахованного. В </w:t>
      </w:r>
      <w:r w:rsidR="007242EC" w:rsidRPr="003917B8">
        <w:rPr>
          <w:rStyle w:val="a3"/>
          <w:b w:val="0"/>
          <w:color w:val="000000"/>
          <w:sz w:val="28"/>
          <w:szCs w:val="28"/>
        </w:rPr>
        <w:t>странах с развитой рыночной экономикой история страхования</w:t>
      </w:r>
      <w:r w:rsidR="007242EC" w:rsidRPr="003917B8">
        <w:rPr>
          <w:color w:val="000000"/>
          <w:sz w:val="28"/>
          <w:szCs w:val="28"/>
        </w:rPr>
        <w:t xml:space="preserve"> насчитывает уже более двухсот лет. </w:t>
      </w:r>
      <w:r w:rsidR="00980736" w:rsidRPr="003917B8">
        <w:rPr>
          <w:color w:val="000000"/>
          <w:sz w:val="28"/>
          <w:szCs w:val="28"/>
        </w:rPr>
        <w:t>В России же, следует признать,</w:t>
      </w:r>
      <w:r w:rsidR="007242EC" w:rsidRPr="003917B8">
        <w:rPr>
          <w:color w:val="000000"/>
          <w:sz w:val="28"/>
          <w:szCs w:val="28"/>
        </w:rPr>
        <w:t xml:space="preserve"> страхование находится пока в самом начале своего развития. </w:t>
      </w:r>
    </w:p>
    <w:p w:rsidR="003917B8" w:rsidRDefault="00CA153D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 </w:t>
      </w:r>
    </w:p>
    <w:p w:rsidR="00192692" w:rsidRPr="003917B8" w:rsidRDefault="003917B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662" w:rsidRPr="003917B8">
        <w:rPr>
          <w:b/>
          <w:sz w:val="28"/>
          <w:szCs w:val="28"/>
        </w:rPr>
        <w:t>ЗАКЛЮЧЕНИЕ</w:t>
      </w:r>
    </w:p>
    <w:p w:rsidR="003917B8" w:rsidRDefault="003917B8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4E98" w:rsidRPr="003917B8" w:rsidRDefault="00960A77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Подводя итог работы, можно сделать вывод, что страхование – стратегически важный элемент экономической системы. Оно позволяет создавать крупные инвестиционные ресурсы, освобождает государственный бюджет от необходимости возмещения убытков от непредвиденных событий, повышает социальную защищенность граждан. </w:t>
      </w:r>
      <w:r w:rsidR="003E4E98" w:rsidRPr="003917B8">
        <w:rPr>
          <w:sz w:val="28"/>
          <w:szCs w:val="28"/>
        </w:rPr>
        <w:t>Личное страхование выполняет важную социальную функцию, поскольку затрагивают интересы каждого человека. Поэтому развитию и поддержанию личного страхования необходимо уделить особое внимание. В развитых странах личное страхование занимает первое место среди других отраслей страхования по объемам собираемой премии.</w:t>
      </w:r>
    </w:p>
    <w:p w:rsidR="00891851" w:rsidRPr="003917B8" w:rsidRDefault="00EE7CAD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Система страхования в России в настоящее время еще не </w:t>
      </w:r>
      <w:r w:rsidR="00DD52A0" w:rsidRPr="003917B8">
        <w:rPr>
          <w:sz w:val="28"/>
          <w:szCs w:val="28"/>
        </w:rPr>
        <w:t>окончательно с</w:t>
      </w:r>
      <w:r w:rsidRPr="003917B8">
        <w:rPr>
          <w:sz w:val="28"/>
          <w:szCs w:val="28"/>
        </w:rPr>
        <w:t>формирована и продолжает свое развитие.</w:t>
      </w:r>
      <w:r w:rsidR="00126D4F" w:rsidRPr="003917B8">
        <w:rPr>
          <w:sz w:val="28"/>
          <w:szCs w:val="28"/>
        </w:rPr>
        <w:t xml:space="preserve"> </w:t>
      </w:r>
      <w:r w:rsidR="00891851" w:rsidRPr="003917B8">
        <w:rPr>
          <w:sz w:val="28"/>
          <w:szCs w:val="28"/>
        </w:rPr>
        <w:t>Тенденции на рынке личного страхования в 2005-2007 гг. показывают увеличение динамики развития рынка</w:t>
      </w:r>
      <w:r w:rsidR="005E169B" w:rsidRPr="003917B8">
        <w:rPr>
          <w:sz w:val="28"/>
          <w:szCs w:val="28"/>
        </w:rPr>
        <w:t>, но существует ряд проблем, мешающих его развитию</w:t>
      </w:r>
      <w:r w:rsidR="00891851" w:rsidRPr="003917B8">
        <w:rPr>
          <w:sz w:val="28"/>
          <w:szCs w:val="28"/>
        </w:rPr>
        <w:t xml:space="preserve">. </w:t>
      </w:r>
      <w:r w:rsidR="005E169B" w:rsidRPr="003917B8">
        <w:rPr>
          <w:sz w:val="28"/>
          <w:szCs w:val="28"/>
        </w:rPr>
        <w:t xml:space="preserve">На мой взгляд, </w:t>
      </w:r>
      <w:r w:rsidR="000F71B5" w:rsidRPr="003917B8">
        <w:rPr>
          <w:sz w:val="28"/>
          <w:szCs w:val="28"/>
        </w:rPr>
        <w:t xml:space="preserve">одна из </w:t>
      </w:r>
      <w:r w:rsidR="005E169B" w:rsidRPr="003917B8">
        <w:rPr>
          <w:sz w:val="28"/>
          <w:szCs w:val="28"/>
        </w:rPr>
        <w:t>главн</w:t>
      </w:r>
      <w:r w:rsidR="000F71B5" w:rsidRPr="003917B8">
        <w:rPr>
          <w:sz w:val="28"/>
          <w:szCs w:val="28"/>
        </w:rPr>
        <w:t>ых</w:t>
      </w:r>
      <w:r w:rsidR="005E169B" w:rsidRPr="003917B8">
        <w:rPr>
          <w:sz w:val="28"/>
          <w:szCs w:val="28"/>
        </w:rPr>
        <w:t xml:space="preserve"> проблем – не</w:t>
      </w:r>
      <w:r w:rsidR="00D14290" w:rsidRPr="003917B8">
        <w:rPr>
          <w:sz w:val="28"/>
          <w:szCs w:val="28"/>
        </w:rPr>
        <w:t>возможность точного прогнозирования</w:t>
      </w:r>
      <w:r w:rsidR="005E169B" w:rsidRPr="003917B8">
        <w:rPr>
          <w:sz w:val="28"/>
          <w:szCs w:val="28"/>
        </w:rPr>
        <w:t xml:space="preserve"> экономическо</w:t>
      </w:r>
      <w:r w:rsidR="00D14290" w:rsidRPr="003917B8">
        <w:rPr>
          <w:sz w:val="28"/>
          <w:szCs w:val="28"/>
        </w:rPr>
        <w:t xml:space="preserve">го развития России, как следствие – недоверие граждан к долгосрочному вложению денег. </w:t>
      </w:r>
      <w:r w:rsidR="00E07A6A" w:rsidRPr="003917B8">
        <w:rPr>
          <w:sz w:val="28"/>
          <w:szCs w:val="28"/>
        </w:rPr>
        <w:t>В</w:t>
      </w:r>
      <w:r w:rsidR="004033DF" w:rsidRPr="003917B8">
        <w:rPr>
          <w:sz w:val="28"/>
          <w:szCs w:val="28"/>
        </w:rPr>
        <w:t xml:space="preserve"> нашем обществе, в отличие от стран со сложивш</w:t>
      </w:r>
      <w:r w:rsidR="003E4E98" w:rsidRPr="003917B8">
        <w:rPr>
          <w:sz w:val="28"/>
          <w:szCs w:val="28"/>
        </w:rPr>
        <w:t>им</w:t>
      </w:r>
      <w:r w:rsidR="004033DF" w:rsidRPr="003917B8">
        <w:rPr>
          <w:sz w:val="28"/>
          <w:szCs w:val="28"/>
        </w:rPr>
        <w:t xml:space="preserve">ся </w:t>
      </w:r>
      <w:r w:rsidR="003E4E98" w:rsidRPr="003917B8">
        <w:rPr>
          <w:sz w:val="28"/>
          <w:szCs w:val="28"/>
        </w:rPr>
        <w:t>институтом</w:t>
      </w:r>
      <w:r w:rsidR="004033DF" w:rsidRPr="003917B8">
        <w:rPr>
          <w:sz w:val="28"/>
          <w:szCs w:val="28"/>
        </w:rPr>
        <w:t xml:space="preserve"> страхования, отсутствует </w:t>
      </w:r>
      <w:r w:rsidR="003E4E98" w:rsidRPr="003917B8">
        <w:rPr>
          <w:sz w:val="28"/>
          <w:szCs w:val="28"/>
        </w:rPr>
        <w:t>страховая культура населения</w:t>
      </w:r>
      <w:r w:rsidR="00E07A6A" w:rsidRPr="003917B8">
        <w:rPr>
          <w:sz w:val="28"/>
          <w:szCs w:val="28"/>
        </w:rPr>
        <w:t xml:space="preserve"> и, по результатам социологических исследований, обнаруживается </w:t>
      </w:r>
      <w:r w:rsidR="00C42733" w:rsidRPr="003917B8">
        <w:rPr>
          <w:sz w:val="28"/>
          <w:szCs w:val="28"/>
        </w:rPr>
        <w:t xml:space="preserve">низкий уровень информированности </w:t>
      </w:r>
      <w:r w:rsidR="00E07A6A" w:rsidRPr="003917B8">
        <w:rPr>
          <w:sz w:val="28"/>
          <w:szCs w:val="28"/>
        </w:rPr>
        <w:t xml:space="preserve">людей </w:t>
      </w:r>
      <w:r w:rsidR="00C42733" w:rsidRPr="003917B8">
        <w:rPr>
          <w:sz w:val="28"/>
          <w:szCs w:val="28"/>
        </w:rPr>
        <w:t>в области страхования</w:t>
      </w:r>
      <w:r w:rsidR="000F71B5" w:rsidRPr="003917B8">
        <w:rPr>
          <w:sz w:val="28"/>
          <w:szCs w:val="28"/>
        </w:rPr>
        <w:t>.</w:t>
      </w:r>
    </w:p>
    <w:p w:rsidR="004033DF" w:rsidRPr="003917B8" w:rsidRDefault="004033DF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К числу основных </w:t>
      </w:r>
      <w:r w:rsidR="00AE6F28" w:rsidRPr="003917B8">
        <w:rPr>
          <w:sz w:val="28"/>
          <w:szCs w:val="28"/>
        </w:rPr>
        <w:t>направлений</w:t>
      </w:r>
      <w:r w:rsidRPr="003917B8">
        <w:rPr>
          <w:sz w:val="28"/>
          <w:szCs w:val="28"/>
        </w:rPr>
        <w:t xml:space="preserve"> развития сферы страхования относятся:</w:t>
      </w:r>
    </w:p>
    <w:p w:rsidR="004033DF" w:rsidRPr="003917B8" w:rsidRDefault="000F71B5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совершенствование</w:t>
      </w:r>
      <w:r w:rsidR="003E4E98" w:rsidRPr="003917B8">
        <w:rPr>
          <w:sz w:val="28"/>
          <w:szCs w:val="28"/>
        </w:rPr>
        <w:t xml:space="preserve"> законодательной базы и механизма защиты интересов страхователя</w:t>
      </w:r>
      <w:r w:rsidR="004033DF" w:rsidRPr="003917B8">
        <w:rPr>
          <w:sz w:val="28"/>
          <w:szCs w:val="28"/>
        </w:rPr>
        <w:t xml:space="preserve">; </w:t>
      </w:r>
    </w:p>
    <w:p w:rsidR="00AE6F28" w:rsidRPr="003917B8" w:rsidRDefault="00AE6F28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повышение надежности системы страхования;</w:t>
      </w:r>
    </w:p>
    <w:p w:rsidR="004033DF" w:rsidRPr="003917B8" w:rsidRDefault="004033DF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увеличение финансового потенциала российских страховщиков; </w:t>
      </w:r>
    </w:p>
    <w:p w:rsidR="00BF4881" w:rsidRPr="003917B8" w:rsidRDefault="00BF4881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создание эффективных </w:t>
      </w:r>
      <w:r w:rsidR="003056EB" w:rsidRPr="003917B8">
        <w:rPr>
          <w:sz w:val="28"/>
          <w:szCs w:val="28"/>
        </w:rPr>
        <w:t>сфер</w:t>
      </w:r>
      <w:r w:rsidRPr="003917B8">
        <w:rPr>
          <w:sz w:val="28"/>
          <w:szCs w:val="28"/>
        </w:rPr>
        <w:t xml:space="preserve"> для размещения </w:t>
      </w:r>
      <w:r w:rsidR="003056EB" w:rsidRPr="003917B8">
        <w:rPr>
          <w:sz w:val="28"/>
          <w:szCs w:val="28"/>
        </w:rPr>
        <w:t xml:space="preserve">временно свободных средств </w:t>
      </w:r>
      <w:r w:rsidRPr="003917B8">
        <w:rPr>
          <w:sz w:val="28"/>
          <w:szCs w:val="28"/>
        </w:rPr>
        <w:t xml:space="preserve">страховых </w:t>
      </w:r>
      <w:r w:rsidR="003056EB" w:rsidRPr="003917B8">
        <w:rPr>
          <w:sz w:val="28"/>
          <w:szCs w:val="28"/>
        </w:rPr>
        <w:t>компаний</w:t>
      </w:r>
      <w:r w:rsidRPr="003917B8">
        <w:rPr>
          <w:sz w:val="28"/>
          <w:szCs w:val="28"/>
        </w:rPr>
        <w:t>;</w:t>
      </w:r>
    </w:p>
    <w:p w:rsidR="004033DF" w:rsidRPr="003917B8" w:rsidRDefault="004033DF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повышение уровня платежеспособности страхователей; </w:t>
      </w:r>
    </w:p>
    <w:p w:rsidR="004033DF" w:rsidRPr="003917B8" w:rsidRDefault="004033DF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появление стимулов для заключения договоров страхования; </w:t>
      </w:r>
    </w:p>
    <w:p w:rsidR="003E4E98" w:rsidRPr="003917B8" w:rsidRDefault="004033DF" w:rsidP="003917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повышение страховой культуры </w:t>
      </w:r>
      <w:r w:rsidR="00C42733" w:rsidRPr="003917B8">
        <w:rPr>
          <w:sz w:val="28"/>
          <w:szCs w:val="28"/>
        </w:rPr>
        <w:t xml:space="preserve">и информированности </w:t>
      </w:r>
      <w:r w:rsidRPr="003917B8">
        <w:rPr>
          <w:sz w:val="28"/>
          <w:szCs w:val="28"/>
        </w:rPr>
        <w:t>населения</w:t>
      </w:r>
      <w:r w:rsidR="00BF4881" w:rsidRPr="003917B8">
        <w:rPr>
          <w:sz w:val="28"/>
          <w:szCs w:val="28"/>
        </w:rPr>
        <w:t>.</w:t>
      </w:r>
    </w:p>
    <w:p w:rsidR="00391FAF" w:rsidRPr="003917B8" w:rsidRDefault="00391FAF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Развитие сферы страхования в этих направлениях поможет </w:t>
      </w:r>
      <w:r w:rsidR="00E07A6A" w:rsidRPr="003917B8">
        <w:rPr>
          <w:sz w:val="28"/>
          <w:szCs w:val="28"/>
        </w:rPr>
        <w:t>ей</w:t>
      </w:r>
      <w:r w:rsidRPr="003917B8">
        <w:rPr>
          <w:sz w:val="28"/>
          <w:szCs w:val="28"/>
        </w:rPr>
        <w:t xml:space="preserve"> стать неотъемлемым и значимым звеном финансовой системы России.</w:t>
      </w:r>
    </w:p>
    <w:p w:rsidR="00BA4B02" w:rsidRPr="003917B8" w:rsidRDefault="0004510B" w:rsidP="0039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Рынок личного страхования имеет большой потенциал</w:t>
      </w:r>
      <w:r w:rsidR="00BA4B02" w:rsidRPr="003917B8">
        <w:rPr>
          <w:sz w:val="28"/>
          <w:szCs w:val="28"/>
        </w:rPr>
        <w:t>.</w:t>
      </w:r>
      <w:r w:rsidRPr="003917B8">
        <w:rPr>
          <w:sz w:val="28"/>
          <w:szCs w:val="28"/>
        </w:rPr>
        <w:t xml:space="preserve"> </w:t>
      </w:r>
      <w:r w:rsidR="002D0DBA" w:rsidRPr="003917B8">
        <w:rPr>
          <w:sz w:val="28"/>
          <w:szCs w:val="28"/>
        </w:rPr>
        <w:t>Являясь частью экономической системы, он во многом зависит от нее.</w:t>
      </w:r>
      <w:r w:rsidR="00C42D41" w:rsidRPr="003917B8">
        <w:rPr>
          <w:sz w:val="28"/>
          <w:szCs w:val="28"/>
        </w:rPr>
        <w:t xml:space="preserve"> В то же время, активно развиваясь, личное страхование способно стать</w:t>
      </w:r>
      <w:r w:rsidR="003D12F9" w:rsidRPr="003917B8">
        <w:rPr>
          <w:sz w:val="28"/>
          <w:szCs w:val="28"/>
        </w:rPr>
        <w:t xml:space="preserve"> важнейшим элементом роста экономики. Россия имеет все возможности для завоевания большой доли мирового рынка страхования, поскольку находится в выгодном положении по сравнению с другими странами – обладает огромными человеческими ресурсами.</w:t>
      </w:r>
    </w:p>
    <w:p w:rsidR="007C20EC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0662" w:rsidRPr="003917B8">
        <w:rPr>
          <w:b/>
          <w:sz w:val="28"/>
          <w:szCs w:val="28"/>
        </w:rPr>
        <w:t>СПИСОК ИСПОЛЬЗОВАННЫХ ИСТОЧНИКОВ</w:t>
      </w:r>
    </w:p>
    <w:p w:rsidR="003917B8" w:rsidRPr="003917B8" w:rsidRDefault="003917B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40BC" w:rsidRPr="003917B8" w:rsidRDefault="004A0BD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1.</w:t>
      </w:r>
      <w:r w:rsidRPr="003917B8">
        <w:rPr>
          <w:b/>
          <w:sz w:val="28"/>
          <w:szCs w:val="28"/>
        </w:rPr>
        <w:t xml:space="preserve"> </w:t>
      </w:r>
      <w:r w:rsidR="00EF40BC" w:rsidRPr="003917B8">
        <w:rPr>
          <w:color w:val="000000"/>
          <w:sz w:val="28"/>
          <w:szCs w:val="28"/>
        </w:rPr>
        <w:t>Агентство страховых новостей АСН</w:t>
      </w:r>
      <w:r w:rsidR="00EF40BC" w:rsidRPr="003917B8">
        <w:rPr>
          <w:sz w:val="28"/>
          <w:szCs w:val="28"/>
        </w:rPr>
        <w:t xml:space="preserve"> [Электронный ресурс]. Режим доступа: </w:t>
      </w:r>
      <w:r w:rsidR="007F5F79" w:rsidRPr="003917B8">
        <w:rPr>
          <w:sz w:val="28"/>
          <w:szCs w:val="28"/>
        </w:rPr>
        <w:t>http://www.insur-info.ru/statistics</w:t>
      </w:r>
    </w:p>
    <w:p w:rsidR="005C5A57" w:rsidRPr="003917B8" w:rsidRDefault="00EF40BC" w:rsidP="003917B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7B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C5A57" w:rsidRPr="003917B8">
        <w:rPr>
          <w:rFonts w:ascii="Times New Roman" w:hAnsi="Times New Roman" w:cs="Times New Roman"/>
          <w:b w:val="0"/>
          <w:sz w:val="28"/>
          <w:szCs w:val="28"/>
        </w:rPr>
        <w:t>Гинзбург А. И. Страхование. 2-е изд. – СПб: Питер, 2006 – 208 с.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3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Головнин А.Н. Сравнительный анализ функционирования рынков страхования жизни США и ФРГ // Страховое дело. – 2007. </w:t>
      </w:r>
      <w:r w:rsidR="00BF4881" w:rsidRPr="003917B8">
        <w:rPr>
          <w:b/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№1. – С. 15-31.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4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Гребенщиков Э. Российский рынок страхования: параметры, пропорции и тенденции // РЦБ.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№2. – С. 57-61.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5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Жукова Т. Конец эпохи нерешительности // Русский полис.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№1. – С. 70-74.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6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Ломакин-Румянцев И. Уточненные сведения о деятельности страховых организаций за 2006 год по состоянию на 20.03.07 // Финансовая газета.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№15. – 12 апр. – С. 7.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8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Ломакин-Румянцев И. Сведения о деятельности страховых организаций за 1 полугодие 2007 // Финансовая газета.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№34. – 23 авг. – С. 6.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9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Лысенко С.И. Факторы роста и прогнозные тенденции страхового бизнеса в России // Финансы и кредит.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№4. – С. 70-76.</w:t>
      </w:r>
    </w:p>
    <w:p w:rsidR="00FB5126" w:rsidRPr="003917B8" w:rsidRDefault="00063435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 xml:space="preserve">10. Методический журнал «Организация продаж страховых продуктов» [Электронный ресурс]. Режим доступа: </w:t>
      </w:r>
    </w:p>
    <w:p w:rsidR="00063435" w:rsidRPr="003917B8" w:rsidRDefault="007F5F79" w:rsidP="003917B8">
      <w:pPr>
        <w:spacing w:line="360" w:lineRule="auto"/>
        <w:jc w:val="both"/>
        <w:rPr>
          <w:sz w:val="28"/>
          <w:szCs w:val="28"/>
        </w:rPr>
      </w:pPr>
      <w:r w:rsidRPr="00B63E9E">
        <w:rPr>
          <w:sz w:val="28"/>
          <w:szCs w:val="28"/>
        </w:rPr>
        <w:t>http://</w:t>
      </w:r>
      <w:r w:rsidRPr="003917B8">
        <w:rPr>
          <w:sz w:val="28"/>
          <w:szCs w:val="28"/>
        </w:rPr>
        <w:t>www.reglament.net/ins/prod</w:t>
      </w:r>
      <w:r w:rsidR="00FB5126" w:rsidRPr="003917B8">
        <w:rPr>
          <w:sz w:val="28"/>
          <w:szCs w:val="28"/>
        </w:rPr>
        <w:t>_</w:t>
      </w:r>
      <w:r w:rsidRPr="003917B8">
        <w:rPr>
          <w:sz w:val="28"/>
          <w:szCs w:val="28"/>
        </w:rPr>
        <w:t>article.htm  </w:t>
      </w:r>
    </w:p>
    <w:p w:rsidR="005C5A57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1</w:t>
      </w:r>
      <w:r w:rsidR="004A0BD6"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Натхов Т. А. Рынок страхования в России: основные тенденции и проблемы развития // Вопросы экономики. – 2006.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№12. – С.115-125.</w:t>
      </w:r>
    </w:p>
    <w:p w:rsidR="00E71790" w:rsidRPr="003917B8" w:rsidRDefault="00EF40BC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2</w:t>
      </w:r>
      <w:r w:rsidR="004A0BD6" w:rsidRPr="003917B8">
        <w:rPr>
          <w:sz w:val="28"/>
          <w:szCs w:val="28"/>
        </w:rPr>
        <w:t xml:space="preserve">. </w:t>
      </w:r>
      <w:r w:rsidR="00E71790" w:rsidRPr="003917B8">
        <w:rPr>
          <w:sz w:val="28"/>
          <w:szCs w:val="28"/>
        </w:rPr>
        <w:t xml:space="preserve">Официальный сайт Ассоциации </w:t>
      </w:r>
      <w:r w:rsidR="00464A64" w:rsidRPr="003917B8">
        <w:rPr>
          <w:sz w:val="28"/>
          <w:szCs w:val="28"/>
        </w:rPr>
        <w:t>с</w:t>
      </w:r>
      <w:r w:rsidR="00E71790" w:rsidRPr="003917B8">
        <w:rPr>
          <w:sz w:val="28"/>
          <w:szCs w:val="28"/>
        </w:rPr>
        <w:t xml:space="preserve">траховщиков России [Электронный ресурс]. Режим доступа: </w:t>
      </w:r>
      <w:r w:rsidR="007F5F79" w:rsidRPr="003917B8">
        <w:rPr>
          <w:sz w:val="28"/>
          <w:szCs w:val="28"/>
        </w:rPr>
        <w:t>http://asr-insurance.ru/base_legislation</w:t>
      </w:r>
    </w:p>
    <w:p w:rsidR="00053551" w:rsidRPr="003917B8" w:rsidRDefault="00E71790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3</w:t>
      </w:r>
      <w:r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 xml:space="preserve">Официальный </w:t>
      </w:r>
      <w:r w:rsidR="00464A64" w:rsidRPr="003917B8">
        <w:rPr>
          <w:sz w:val="28"/>
          <w:szCs w:val="28"/>
        </w:rPr>
        <w:t>с</w:t>
      </w:r>
      <w:r w:rsidR="005C5A57" w:rsidRPr="003917B8">
        <w:rPr>
          <w:sz w:val="28"/>
          <w:szCs w:val="28"/>
        </w:rPr>
        <w:t xml:space="preserve">айт </w:t>
      </w:r>
      <w:r w:rsidR="00053551" w:rsidRPr="003917B8">
        <w:rPr>
          <w:sz w:val="28"/>
          <w:szCs w:val="28"/>
        </w:rPr>
        <w:t>Федеральной службы государственной статистики</w:t>
      </w:r>
      <w:r w:rsidR="005C5A57" w:rsidRPr="003917B8">
        <w:rPr>
          <w:sz w:val="28"/>
          <w:szCs w:val="28"/>
        </w:rPr>
        <w:t xml:space="preserve"> [Электронный ресурс]. Режим доступа: </w:t>
      </w:r>
    </w:p>
    <w:p w:rsidR="005C5A57" w:rsidRPr="003917B8" w:rsidRDefault="00FB512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http://www.gks.ru/wps/portal/!ut/p/.cmd/cs/.ce/7_0_A/.s/7_0_FL/_s.7_0_A/7_0_2UK</w:t>
      </w:r>
    </w:p>
    <w:p w:rsidR="00BE1DEB" w:rsidRPr="003917B8" w:rsidRDefault="00BE1DEB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4</w:t>
      </w:r>
      <w:r w:rsidRPr="003917B8">
        <w:rPr>
          <w:sz w:val="28"/>
          <w:szCs w:val="28"/>
        </w:rPr>
        <w:t xml:space="preserve">. Официальный сайт Федеральной </w:t>
      </w:r>
      <w:r w:rsidR="00053551" w:rsidRPr="003917B8">
        <w:rPr>
          <w:sz w:val="28"/>
          <w:szCs w:val="28"/>
        </w:rPr>
        <w:t>с</w:t>
      </w:r>
      <w:r w:rsidRPr="003917B8">
        <w:rPr>
          <w:sz w:val="28"/>
          <w:szCs w:val="28"/>
        </w:rPr>
        <w:t xml:space="preserve">лужбы страхового надзора [Электронный ресурс]. Режим доступа: </w:t>
      </w:r>
      <w:r w:rsidRPr="00B63E9E">
        <w:rPr>
          <w:sz w:val="28"/>
          <w:szCs w:val="28"/>
        </w:rPr>
        <w:t>http://www.fssn.ru/www/site.nsf/web/stat</w:t>
      </w:r>
    </w:p>
    <w:p w:rsidR="005C5A57" w:rsidRPr="003917B8" w:rsidRDefault="004A0BD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5</w:t>
      </w:r>
      <w:r w:rsidRPr="003917B8">
        <w:rPr>
          <w:sz w:val="28"/>
          <w:szCs w:val="28"/>
        </w:rPr>
        <w:t xml:space="preserve">. </w:t>
      </w:r>
      <w:r w:rsidR="00E71790" w:rsidRPr="003917B8">
        <w:rPr>
          <w:sz w:val="28"/>
          <w:szCs w:val="28"/>
        </w:rPr>
        <w:t xml:space="preserve">Панорама страхования // Эксперт </w:t>
      </w:r>
      <w:r w:rsidR="005C5A57" w:rsidRPr="003917B8">
        <w:rPr>
          <w:sz w:val="28"/>
          <w:szCs w:val="28"/>
        </w:rPr>
        <w:t xml:space="preserve">РА. – 2007. </w:t>
      </w:r>
      <w:r w:rsidR="00334EC4" w:rsidRPr="003917B8">
        <w:rPr>
          <w:sz w:val="28"/>
          <w:szCs w:val="28"/>
        </w:rPr>
        <w:t xml:space="preserve">– </w:t>
      </w:r>
      <w:r w:rsidR="005C5A57" w:rsidRPr="003917B8">
        <w:rPr>
          <w:sz w:val="28"/>
          <w:szCs w:val="28"/>
        </w:rPr>
        <w:t>№39. – С. 121.</w:t>
      </w:r>
    </w:p>
    <w:p w:rsidR="005C5A57" w:rsidRPr="003917B8" w:rsidRDefault="004A0BD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6</w:t>
      </w:r>
      <w:r w:rsidRPr="003917B8">
        <w:rPr>
          <w:sz w:val="28"/>
          <w:szCs w:val="28"/>
        </w:rPr>
        <w:t xml:space="preserve">. </w:t>
      </w:r>
      <w:r w:rsidR="005C5A57" w:rsidRPr="003917B8">
        <w:rPr>
          <w:sz w:val="28"/>
          <w:szCs w:val="28"/>
        </w:rPr>
        <w:t>Скамай Л. Г., Мазурина Т. Ю. Страховое дело: Учебное пособие – М.: ИНФРА-М, 2006 – 256 с.</w:t>
      </w:r>
    </w:p>
    <w:p w:rsidR="004A0BD6" w:rsidRPr="003917B8" w:rsidRDefault="004A0BD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7</w:t>
      </w:r>
      <w:r w:rsidRPr="003917B8">
        <w:rPr>
          <w:sz w:val="28"/>
          <w:szCs w:val="28"/>
        </w:rPr>
        <w:t>. Финансы: Учебник / Под ред. А. Г. Грязновой, Е. В. Маркиной. – М.: Финансы и статистика, 2006. – 504 с.</w:t>
      </w:r>
    </w:p>
    <w:p w:rsidR="007C20EC" w:rsidRPr="003917B8" w:rsidRDefault="004A0BD6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8</w:t>
      </w:r>
      <w:r w:rsidRPr="003917B8">
        <w:rPr>
          <w:sz w:val="28"/>
          <w:szCs w:val="28"/>
        </w:rPr>
        <w:t xml:space="preserve">. </w:t>
      </w:r>
      <w:r w:rsidR="007C20EC" w:rsidRPr="003917B8">
        <w:rPr>
          <w:sz w:val="28"/>
          <w:szCs w:val="28"/>
        </w:rPr>
        <w:t xml:space="preserve">Финансы: </w:t>
      </w:r>
      <w:r w:rsidRPr="003917B8">
        <w:rPr>
          <w:sz w:val="28"/>
          <w:szCs w:val="28"/>
        </w:rPr>
        <w:t>У</w:t>
      </w:r>
      <w:r w:rsidR="007C20EC" w:rsidRPr="003917B8">
        <w:rPr>
          <w:sz w:val="28"/>
          <w:szCs w:val="28"/>
        </w:rPr>
        <w:t>чеб</w:t>
      </w:r>
      <w:r w:rsidRPr="003917B8">
        <w:rPr>
          <w:sz w:val="28"/>
          <w:szCs w:val="28"/>
        </w:rPr>
        <w:t>ник</w:t>
      </w:r>
      <w:r w:rsidR="007C20EC" w:rsidRPr="003917B8">
        <w:rPr>
          <w:sz w:val="28"/>
          <w:szCs w:val="28"/>
        </w:rPr>
        <w:t xml:space="preserve"> – 2-е изд., перераб. и доп. / </w:t>
      </w:r>
      <w:r w:rsidRPr="003917B8">
        <w:rPr>
          <w:sz w:val="28"/>
          <w:szCs w:val="28"/>
        </w:rPr>
        <w:t>П</w:t>
      </w:r>
      <w:r w:rsidR="007C20EC" w:rsidRPr="003917B8">
        <w:rPr>
          <w:sz w:val="28"/>
          <w:szCs w:val="28"/>
        </w:rPr>
        <w:t>од ред. В. В. Ковалева. – М.: ТК Велби, изд-во Проспект, 2006. – 640 с.</w:t>
      </w:r>
    </w:p>
    <w:p w:rsidR="00E71790" w:rsidRPr="003917B8" w:rsidRDefault="00E71790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1</w:t>
      </w:r>
      <w:r w:rsidR="00063435" w:rsidRPr="003917B8">
        <w:rPr>
          <w:sz w:val="28"/>
          <w:szCs w:val="28"/>
        </w:rPr>
        <w:t>9</w:t>
      </w:r>
      <w:r w:rsidRPr="003917B8">
        <w:rPr>
          <w:sz w:val="28"/>
          <w:szCs w:val="28"/>
        </w:rPr>
        <w:t xml:space="preserve">. Эксперт РА [Электронный ресурс]. Режим доступа: </w:t>
      </w:r>
      <w:r w:rsidR="0001017C" w:rsidRPr="003917B8">
        <w:rPr>
          <w:sz w:val="28"/>
          <w:szCs w:val="28"/>
        </w:rPr>
        <w:t>http://www.raexpert.ru/researches/insurance/itogi/</w:t>
      </w:r>
    </w:p>
    <w:p w:rsidR="00C93A80" w:rsidRPr="003917B8" w:rsidRDefault="00063435" w:rsidP="003917B8">
      <w:pPr>
        <w:spacing w:line="360" w:lineRule="auto"/>
        <w:jc w:val="both"/>
        <w:rPr>
          <w:sz w:val="28"/>
          <w:szCs w:val="28"/>
        </w:rPr>
      </w:pPr>
      <w:r w:rsidRPr="003917B8">
        <w:rPr>
          <w:sz w:val="28"/>
          <w:szCs w:val="28"/>
        </w:rPr>
        <w:t>20</w:t>
      </w:r>
      <w:r w:rsidR="004A0BD6" w:rsidRPr="003917B8">
        <w:rPr>
          <w:sz w:val="28"/>
          <w:szCs w:val="28"/>
        </w:rPr>
        <w:t xml:space="preserve">. </w:t>
      </w:r>
      <w:r w:rsidR="007C20EC" w:rsidRPr="003917B8">
        <w:rPr>
          <w:sz w:val="28"/>
          <w:szCs w:val="28"/>
        </w:rPr>
        <w:t>Яковлева Т. А., Шевченко О. Ю. Страхование: Учебное пособие – М.: Экономистъ, 2004 – 217 с.</w:t>
      </w:r>
    </w:p>
    <w:p w:rsidR="00395A8E" w:rsidRPr="003917B8" w:rsidRDefault="003917B8" w:rsidP="003917B8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5A8E" w:rsidRPr="003917B8">
        <w:rPr>
          <w:b/>
          <w:sz w:val="28"/>
          <w:szCs w:val="28"/>
        </w:rPr>
        <w:t>ПРИЛОЖЕНИЕ</w:t>
      </w:r>
      <w:r w:rsidR="00AB3E80" w:rsidRPr="003917B8">
        <w:rPr>
          <w:b/>
          <w:sz w:val="28"/>
          <w:szCs w:val="28"/>
        </w:rPr>
        <w:t xml:space="preserve"> </w:t>
      </w:r>
    </w:p>
    <w:p w:rsidR="00AB3E80" w:rsidRPr="003917B8" w:rsidRDefault="00283AF8" w:rsidP="003917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7B8">
        <w:rPr>
          <w:b/>
          <w:sz w:val="28"/>
          <w:szCs w:val="28"/>
        </w:rPr>
        <w:t>Показатели с</w:t>
      </w:r>
      <w:r w:rsidR="00AB3E80" w:rsidRPr="003917B8">
        <w:rPr>
          <w:b/>
          <w:sz w:val="28"/>
          <w:szCs w:val="28"/>
        </w:rPr>
        <w:t>траховы</w:t>
      </w:r>
      <w:r w:rsidRPr="003917B8">
        <w:rPr>
          <w:b/>
          <w:sz w:val="28"/>
          <w:szCs w:val="28"/>
        </w:rPr>
        <w:t>х</w:t>
      </w:r>
      <w:r w:rsidR="00AB3E80" w:rsidRPr="003917B8">
        <w:rPr>
          <w:b/>
          <w:sz w:val="28"/>
          <w:szCs w:val="28"/>
        </w:rPr>
        <w:t xml:space="preserve"> преми</w:t>
      </w:r>
      <w:r w:rsidRPr="003917B8">
        <w:rPr>
          <w:b/>
          <w:sz w:val="28"/>
          <w:szCs w:val="28"/>
        </w:rPr>
        <w:t>й</w:t>
      </w:r>
      <w:r w:rsidR="00AB3E80" w:rsidRPr="003917B8">
        <w:rPr>
          <w:b/>
          <w:sz w:val="28"/>
          <w:szCs w:val="28"/>
        </w:rPr>
        <w:t xml:space="preserve"> и выплат, 2004-2006 гг.</w:t>
      </w:r>
    </w:p>
    <w:p w:rsidR="00AB3E80" w:rsidRPr="003917B8" w:rsidRDefault="00AB3E80" w:rsidP="003917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17B8">
        <w:rPr>
          <w:iCs/>
          <w:sz w:val="28"/>
          <w:szCs w:val="28"/>
        </w:rPr>
        <w:t>Таблица 1 – Страховые выплаты по РФ, млн. руб.</w:t>
      </w:r>
      <w:r w:rsidR="00CB149E" w:rsidRPr="003917B8">
        <w:rPr>
          <w:iCs/>
          <w:sz w:val="28"/>
          <w:szCs w:val="28"/>
        </w:rPr>
        <w:t xml:space="preserve"> [</w:t>
      </w:r>
      <w:r w:rsidR="00CB149E" w:rsidRPr="003917B8">
        <w:rPr>
          <w:iCs/>
          <w:sz w:val="28"/>
          <w:szCs w:val="28"/>
          <w:lang w:val="en-US"/>
        </w:rPr>
        <w:t>12]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3"/>
        <w:gridCol w:w="1272"/>
        <w:gridCol w:w="1081"/>
        <w:gridCol w:w="1111"/>
        <w:gridCol w:w="1236"/>
        <w:gridCol w:w="1126"/>
      </w:tblGrid>
      <w:tr w:rsidR="00AB3E80" w:rsidRPr="003917B8">
        <w:trPr>
          <w:trHeight w:val="360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Отрасли и виды страхования</w:t>
            </w:r>
          </w:p>
        </w:tc>
        <w:tc>
          <w:tcPr>
            <w:tcW w:w="124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51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64" w:type="dxa"/>
            <w:vAlign w:val="bottom"/>
          </w:tcPr>
          <w:p w:rsidR="00AB3E80" w:rsidRPr="003917B8" w:rsidRDefault="003917B8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Прирост,</w:t>
            </w:r>
            <w:r w:rsidR="00AB3E80" w:rsidRPr="003917B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6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49" w:type="dxa"/>
            <w:vAlign w:val="bottom"/>
          </w:tcPr>
          <w:p w:rsidR="00AB3E80" w:rsidRPr="003917B8" w:rsidRDefault="003917B8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Прирост,</w:t>
            </w:r>
            <w:r w:rsidR="00AB3E80" w:rsidRPr="003917B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124 100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25 039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-80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16 581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-34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личное страхование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33 300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38 954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42 028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32 500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45 594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64 648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ответственности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1 200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1 123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1 362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пассажиров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0,3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сотрудников ГНС РФ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2,4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военнослужащих и прирав. к ним в обяз. гос. страховании лиц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390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19 200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27 640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33 290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93 400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135 928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190 652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708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Страховая премия</w:t>
            </w:r>
            <w:r w:rsidRPr="003917B8">
              <w:rPr>
                <w:color w:val="000000"/>
                <w:sz w:val="20"/>
                <w:szCs w:val="20"/>
              </w:rPr>
              <w:t xml:space="preserve"> (всего)</w:t>
            </w:r>
          </w:p>
        </w:tc>
        <w:tc>
          <w:tcPr>
            <w:tcW w:w="1242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304 093</w:t>
            </w:r>
          </w:p>
        </w:tc>
        <w:tc>
          <w:tcPr>
            <w:tcW w:w="1051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274 700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348 983</w:t>
            </w:r>
          </w:p>
        </w:tc>
        <w:tc>
          <w:tcPr>
            <w:tcW w:w="1049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AB3E80" w:rsidRPr="003917B8" w:rsidRDefault="00AB3E80" w:rsidP="003917B8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B3E80" w:rsidRPr="003917B8" w:rsidRDefault="00AB3E80" w:rsidP="003917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17B8">
        <w:rPr>
          <w:iCs/>
          <w:sz w:val="28"/>
          <w:szCs w:val="28"/>
        </w:rPr>
        <w:t>Таблица 2 – Страховые премии по Новосибирску, тыс. руб.</w:t>
      </w:r>
      <w:r w:rsidR="00CB149E" w:rsidRPr="003917B8">
        <w:rPr>
          <w:iCs/>
          <w:sz w:val="28"/>
          <w:szCs w:val="28"/>
        </w:rPr>
        <w:t xml:space="preserve"> [</w:t>
      </w:r>
      <w:r w:rsidR="00CB149E" w:rsidRPr="003917B8">
        <w:rPr>
          <w:iCs/>
          <w:sz w:val="28"/>
          <w:szCs w:val="28"/>
          <w:lang w:val="en-US"/>
        </w:rPr>
        <w:t>12]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1315"/>
        <w:gridCol w:w="1085"/>
        <w:gridCol w:w="1080"/>
        <w:gridCol w:w="1307"/>
        <w:gridCol w:w="1126"/>
      </w:tblGrid>
      <w:tr w:rsidR="00AB3E80" w:rsidRPr="003917B8">
        <w:trPr>
          <w:trHeight w:val="42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Отрасли и виды страхования</w:t>
            </w:r>
          </w:p>
        </w:tc>
        <w:tc>
          <w:tcPr>
            <w:tcW w:w="1285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55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50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Прирост%</w:t>
            </w:r>
          </w:p>
        </w:tc>
        <w:tc>
          <w:tcPr>
            <w:tcW w:w="1277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75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</w:t>
            </w:r>
            <w:r w:rsidR="003917B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917B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142 769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88 898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-38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152 666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72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личное страхование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1 125 133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1 224 570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1 397 368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1 546 656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2 027 317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2 864 720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68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ответственности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80 113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196 758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233 599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пассажиров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19 642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17 383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15 978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-8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сотрудников ГНС РФ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военнослужащих и прирав. к ним в обяз. гос. страховании лиц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962 885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1 065 022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1 195 250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66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1 445 085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3 563 760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3 905 720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632" w:type="dxa"/>
            <w:vAlign w:val="bottom"/>
          </w:tcPr>
          <w:p w:rsidR="00AB3E80" w:rsidRPr="003917B8" w:rsidRDefault="00AB3E80" w:rsidP="003917B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Страховая премия</w:t>
            </w:r>
            <w:r w:rsidRPr="003917B8">
              <w:rPr>
                <w:color w:val="000000"/>
                <w:sz w:val="20"/>
                <w:szCs w:val="20"/>
              </w:rPr>
              <w:t xml:space="preserve"> (всего)</w:t>
            </w:r>
          </w:p>
        </w:tc>
        <w:tc>
          <w:tcPr>
            <w:tcW w:w="128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5 179 514</w:t>
            </w:r>
          </w:p>
        </w:tc>
        <w:tc>
          <w:tcPr>
            <w:tcW w:w="105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8 183 708</w:t>
            </w:r>
          </w:p>
        </w:tc>
        <w:tc>
          <w:tcPr>
            <w:tcW w:w="1050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7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9 765 301</w:t>
            </w:r>
          </w:p>
        </w:tc>
        <w:tc>
          <w:tcPr>
            <w:tcW w:w="975" w:type="dxa"/>
            <w:vAlign w:val="center"/>
          </w:tcPr>
          <w:p w:rsidR="00AB3E80" w:rsidRPr="003917B8" w:rsidRDefault="00AB3E80" w:rsidP="003917B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AB3E80" w:rsidRPr="003917B8" w:rsidRDefault="00AB3E80" w:rsidP="003917B8">
      <w:pPr>
        <w:spacing w:line="360" w:lineRule="auto"/>
        <w:ind w:firstLine="709"/>
        <w:jc w:val="both"/>
        <w:rPr>
          <w:sz w:val="28"/>
          <w:szCs w:val="28"/>
        </w:rPr>
      </w:pPr>
      <w:r w:rsidRPr="003917B8">
        <w:rPr>
          <w:iCs/>
          <w:sz w:val="28"/>
          <w:szCs w:val="28"/>
        </w:rPr>
        <w:t>Таблица 3 – Страховые выплаты по Новосибирску, тыс. руб.</w:t>
      </w:r>
      <w:r w:rsidR="00CB149E" w:rsidRPr="003917B8">
        <w:rPr>
          <w:iCs/>
          <w:sz w:val="28"/>
          <w:szCs w:val="28"/>
        </w:rPr>
        <w:t xml:space="preserve"> [12]</w:t>
      </w:r>
    </w:p>
    <w:tbl>
      <w:tblPr>
        <w:tblW w:w="941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2"/>
        <w:gridCol w:w="1361"/>
        <w:gridCol w:w="1078"/>
        <w:gridCol w:w="1094"/>
        <w:gridCol w:w="1260"/>
        <w:gridCol w:w="1025"/>
      </w:tblGrid>
      <w:tr w:rsidR="00AB3E80" w:rsidRPr="003917B8">
        <w:trPr>
          <w:trHeight w:val="42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Отрасли и виды страхования</w:t>
            </w:r>
          </w:p>
        </w:tc>
        <w:tc>
          <w:tcPr>
            <w:tcW w:w="1331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48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64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Прирост, %</w:t>
            </w:r>
          </w:p>
        </w:tc>
        <w:tc>
          <w:tcPr>
            <w:tcW w:w="1230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80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bCs/>
                <w:color w:val="000000"/>
                <w:sz w:val="20"/>
                <w:szCs w:val="20"/>
              </w:rPr>
              <w:t>Прирост, %</w:t>
            </w: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125 333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71 092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-43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64 278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-10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личное страхование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844 358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785 926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-7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826 275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5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497 102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841 032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69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1 450 509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72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ответственности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10 170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4 013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-61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15 461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285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b/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</w:p>
        </w:tc>
      </w:tr>
      <w:tr w:rsidR="00AB3E80" w:rsidRPr="003917B8">
        <w:trPr>
          <w:trHeight w:val="23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страхование пассажиров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75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125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67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371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197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сотрудников ГНС РФ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гос. страхование военнослужащих и прирав. к ним в обяз. гос. страховании лиц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0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419 626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614 241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46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656 498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7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1 251 377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3 610 346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189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3 656 067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</w:t>
            </w:r>
          </w:p>
        </w:tc>
      </w:tr>
      <w:tr w:rsidR="00AB3E80" w:rsidRPr="003917B8">
        <w:trPr>
          <w:trHeight w:val="247"/>
          <w:tblCellSpacing w:w="15" w:type="dxa"/>
          <w:jc w:val="center"/>
        </w:trPr>
        <w:tc>
          <w:tcPr>
            <w:tcW w:w="3547" w:type="dxa"/>
            <w:vAlign w:val="bottom"/>
          </w:tcPr>
          <w:p w:rsidR="00AB3E80" w:rsidRPr="003917B8" w:rsidRDefault="00AB3E80" w:rsidP="003917B8">
            <w:pPr>
              <w:spacing w:line="360" w:lineRule="auto"/>
              <w:ind w:hanging="27"/>
              <w:jc w:val="both"/>
              <w:rPr>
                <w:color w:val="000000"/>
                <w:sz w:val="20"/>
                <w:szCs w:val="20"/>
              </w:rPr>
            </w:pPr>
            <w:r w:rsidRPr="003917B8">
              <w:rPr>
                <w:b/>
                <w:color w:val="000000"/>
                <w:sz w:val="20"/>
                <w:szCs w:val="20"/>
              </w:rPr>
              <w:t>Страховая премия</w:t>
            </w:r>
            <w:r w:rsidRPr="003917B8">
              <w:rPr>
                <w:color w:val="000000"/>
                <w:sz w:val="20"/>
                <w:szCs w:val="20"/>
              </w:rPr>
              <w:t xml:space="preserve"> (всего)</w:t>
            </w:r>
          </w:p>
        </w:tc>
        <w:tc>
          <w:tcPr>
            <w:tcW w:w="1331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3 148 061</w:t>
            </w:r>
          </w:p>
        </w:tc>
        <w:tc>
          <w:tcPr>
            <w:tcW w:w="1048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5 926 775</w:t>
            </w:r>
          </w:p>
        </w:tc>
        <w:tc>
          <w:tcPr>
            <w:tcW w:w="1064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88</w:t>
            </w:r>
          </w:p>
        </w:tc>
        <w:tc>
          <w:tcPr>
            <w:tcW w:w="123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bCs/>
                <w:sz w:val="20"/>
                <w:szCs w:val="20"/>
              </w:rPr>
            </w:pPr>
            <w:r w:rsidRPr="003917B8">
              <w:rPr>
                <w:bCs/>
                <w:sz w:val="20"/>
                <w:szCs w:val="20"/>
              </w:rPr>
              <w:t>6 669 459</w:t>
            </w:r>
          </w:p>
        </w:tc>
        <w:tc>
          <w:tcPr>
            <w:tcW w:w="980" w:type="dxa"/>
            <w:vAlign w:val="center"/>
          </w:tcPr>
          <w:p w:rsidR="00AB3E80" w:rsidRPr="003917B8" w:rsidRDefault="00AB3E80" w:rsidP="003917B8">
            <w:pPr>
              <w:spacing w:line="360" w:lineRule="auto"/>
              <w:ind w:hanging="27"/>
              <w:jc w:val="center"/>
              <w:rPr>
                <w:sz w:val="20"/>
                <w:szCs w:val="20"/>
              </w:rPr>
            </w:pPr>
            <w:r w:rsidRPr="003917B8">
              <w:rPr>
                <w:sz w:val="20"/>
                <w:szCs w:val="20"/>
              </w:rPr>
              <w:t>13</w:t>
            </w:r>
          </w:p>
        </w:tc>
      </w:tr>
    </w:tbl>
    <w:p w:rsidR="006B5360" w:rsidRPr="003917B8" w:rsidRDefault="006B5360" w:rsidP="003917B8">
      <w:pPr>
        <w:spacing w:line="360" w:lineRule="auto"/>
        <w:ind w:firstLine="709"/>
        <w:jc w:val="both"/>
        <w:rPr>
          <w:sz w:val="28"/>
          <w:szCs w:val="28"/>
        </w:rPr>
      </w:pPr>
      <w:bookmarkStart w:id="28" w:name="_GoBack"/>
      <w:bookmarkEnd w:id="28"/>
    </w:p>
    <w:sectPr w:rsidR="006B5360" w:rsidRPr="003917B8" w:rsidSect="003917B8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36" w:rsidRDefault="00183236">
      <w:r>
        <w:separator/>
      </w:r>
    </w:p>
  </w:endnote>
  <w:endnote w:type="continuationSeparator" w:id="0">
    <w:p w:rsidR="00183236" w:rsidRDefault="0018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32" w:rsidRDefault="00991932" w:rsidP="007903CF">
    <w:pPr>
      <w:pStyle w:val="a7"/>
      <w:framePr w:wrap="around" w:vAnchor="text" w:hAnchor="margin" w:xAlign="center" w:y="1"/>
      <w:rPr>
        <w:rStyle w:val="a9"/>
      </w:rPr>
    </w:pPr>
  </w:p>
  <w:p w:rsidR="00991932" w:rsidRDefault="009919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32" w:rsidRDefault="00B63E9E" w:rsidP="007903C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991932" w:rsidRDefault="00991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36" w:rsidRDefault="00183236">
      <w:r>
        <w:separator/>
      </w:r>
    </w:p>
  </w:footnote>
  <w:footnote w:type="continuationSeparator" w:id="0">
    <w:p w:rsidR="00183236" w:rsidRDefault="0018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1AC"/>
    <w:multiLevelType w:val="hybridMultilevel"/>
    <w:tmpl w:val="53426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3483C"/>
    <w:multiLevelType w:val="hybridMultilevel"/>
    <w:tmpl w:val="ED822E24"/>
    <w:lvl w:ilvl="0" w:tplc="A61E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362D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9A7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4A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1E6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2CA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6AA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724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E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B4603E"/>
    <w:multiLevelType w:val="hybridMultilevel"/>
    <w:tmpl w:val="D264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D5D28"/>
    <w:multiLevelType w:val="hybridMultilevel"/>
    <w:tmpl w:val="42843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C20E3"/>
    <w:multiLevelType w:val="multilevel"/>
    <w:tmpl w:val="DBA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73FA4"/>
    <w:multiLevelType w:val="multilevel"/>
    <w:tmpl w:val="861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22849"/>
    <w:multiLevelType w:val="hybridMultilevel"/>
    <w:tmpl w:val="66D22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84B02"/>
    <w:multiLevelType w:val="multilevel"/>
    <w:tmpl w:val="A7C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E3970"/>
    <w:multiLevelType w:val="multilevel"/>
    <w:tmpl w:val="6DF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472CE"/>
    <w:multiLevelType w:val="hybridMultilevel"/>
    <w:tmpl w:val="4EE07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2481D"/>
    <w:multiLevelType w:val="hybridMultilevel"/>
    <w:tmpl w:val="A9B03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F357C"/>
    <w:multiLevelType w:val="hybridMultilevel"/>
    <w:tmpl w:val="1D607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3B59B9"/>
    <w:multiLevelType w:val="hybridMultilevel"/>
    <w:tmpl w:val="DEFC0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E7DED"/>
    <w:multiLevelType w:val="multilevel"/>
    <w:tmpl w:val="69F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95466"/>
    <w:multiLevelType w:val="multilevel"/>
    <w:tmpl w:val="C76C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6F223B9"/>
    <w:multiLevelType w:val="hybridMultilevel"/>
    <w:tmpl w:val="5C3C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2629F5"/>
    <w:multiLevelType w:val="multilevel"/>
    <w:tmpl w:val="C9E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A2623"/>
    <w:multiLevelType w:val="multilevel"/>
    <w:tmpl w:val="975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5435F"/>
    <w:multiLevelType w:val="hybridMultilevel"/>
    <w:tmpl w:val="8BDE6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E52A0"/>
    <w:multiLevelType w:val="hybridMultilevel"/>
    <w:tmpl w:val="6E3C4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134785"/>
    <w:multiLevelType w:val="hybridMultilevel"/>
    <w:tmpl w:val="83C8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6B6681"/>
    <w:multiLevelType w:val="multilevel"/>
    <w:tmpl w:val="0D56F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13"/>
  </w:num>
  <w:num w:numId="5">
    <w:abstractNumId w:val="7"/>
  </w:num>
  <w:num w:numId="6">
    <w:abstractNumId w:val="16"/>
  </w:num>
  <w:num w:numId="7">
    <w:abstractNumId w:val="17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9"/>
  </w:num>
  <w:num w:numId="14">
    <w:abstractNumId w:val="11"/>
  </w:num>
  <w:num w:numId="15">
    <w:abstractNumId w:val="6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  <w:num w:numId="20">
    <w:abstractNumId w:val="3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AA8"/>
    <w:rsid w:val="00002E85"/>
    <w:rsid w:val="00003FB5"/>
    <w:rsid w:val="0001017C"/>
    <w:rsid w:val="00010246"/>
    <w:rsid w:val="00014F18"/>
    <w:rsid w:val="00015CCB"/>
    <w:rsid w:val="0001651A"/>
    <w:rsid w:val="00020820"/>
    <w:rsid w:val="0003346F"/>
    <w:rsid w:val="0003566E"/>
    <w:rsid w:val="0003686F"/>
    <w:rsid w:val="00041525"/>
    <w:rsid w:val="00041FD3"/>
    <w:rsid w:val="0004510B"/>
    <w:rsid w:val="00046326"/>
    <w:rsid w:val="00053551"/>
    <w:rsid w:val="0005371C"/>
    <w:rsid w:val="0005492B"/>
    <w:rsid w:val="000552CF"/>
    <w:rsid w:val="000629E3"/>
    <w:rsid w:val="00063435"/>
    <w:rsid w:val="000648B6"/>
    <w:rsid w:val="0007155A"/>
    <w:rsid w:val="00071BB3"/>
    <w:rsid w:val="000752C9"/>
    <w:rsid w:val="00075D97"/>
    <w:rsid w:val="0007655E"/>
    <w:rsid w:val="00076A7F"/>
    <w:rsid w:val="00083CF3"/>
    <w:rsid w:val="00091FE3"/>
    <w:rsid w:val="000921DB"/>
    <w:rsid w:val="00093605"/>
    <w:rsid w:val="000A6D54"/>
    <w:rsid w:val="000A7B4C"/>
    <w:rsid w:val="000B16F1"/>
    <w:rsid w:val="000C4B3A"/>
    <w:rsid w:val="000D6DDC"/>
    <w:rsid w:val="000D6E62"/>
    <w:rsid w:val="000E3622"/>
    <w:rsid w:val="000F71B5"/>
    <w:rsid w:val="00101BA4"/>
    <w:rsid w:val="00103922"/>
    <w:rsid w:val="0011789F"/>
    <w:rsid w:val="00122F76"/>
    <w:rsid w:val="00123C36"/>
    <w:rsid w:val="00123F1C"/>
    <w:rsid w:val="00126D4F"/>
    <w:rsid w:val="00130216"/>
    <w:rsid w:val="00130BF0"/>
    <w:rsid w:val="00130E8A"/>
    <w:rsid w:val="00131D7D"/>
    <w:rsid w:val="0013292C"/>
    <w:rsid w:val="00137043"/>
    <w:rsid w:val="0014057F"/>
    <w:rsid w:val="00152AE9"/>
    <w:rsid w:val="0015314A"/>
    <w:rsid w:val="00157134"/>
    <w:rsid w:val="0015767C"/>
    <w:rsid w:val="00162E45"/>
    <w:rsid w:val="0017226F"/>
    <w:rsid w:val="00175039"/>
    <w:rsid w:val="00176D83"/>
    <w:rsid w:val="00180B13"/>
    <w:rsid w:val="001827A5"/>
    <w:rsid w:val="00183236"/>
    <w:rsid w:val="00183705"/>
    <w:rsid w:val="00190AF9"/>
    <w:rsid w:val="00192692"/>
    <w:rsid w:val="00192FBA"/>
    <w:rsid w:val="0019579C"/>
    <w:rsid w:val="001A01F0"/>
    <w:rsid w:val="001B1627"/>
    <w:rsid w:val="001B581C"/>
    <w:rsid w:val="001C580C"/>
    <w:rsid w:val="001E0A72"/>
    <w:rsid w:val="001E2254"/>
    <w:rsid w:val="001E4067"/>
    <w:rsid w:val="001E7454"/>
    <w:rsid w:val="00214090"/>
    <w:rsid w:val="00214DE3"/>
    <w:rsid w:val="002231A3"/>
    <w:rsid w:val="002240C9"/>
    <w:rsid w:val="00227D8E"/>
    <w:rsid w:val="002306B9"/>
    <w:rsid w:val="00233164"/>
    <w:rsid w:val="0025386A"/>
    <w:rsid w:val="002558FE"/>
    <w:rsid w:val="00256038"/>
    <w:rsid w:val="002566EB"/>
    <w:rsid w:val="00262E82"/>
    <w:rsid w:val="00265D79"/>
    <w:rsid w:val="00283AF8"/>
    <w:rsid w:val="00283C7C"/>
    <w:rsid w:val="00283E2A"/>
    <w:rsid w:val="0029057B"/>
    <w:rsid w:val="002960C9"/>
    <w:rsid w:val="002A36F2"/>
    <w:rsid w:val="002A6696"/>
    <w:rsid w:val="002A78CE"/>
    <w:rsid w:val="002B15A5"/>
    <w:rsid w:val="002B1C12"/>
    <w:rsid w:val="002C064C"/>
    <w:rsid w:val="002C3A46"/>
    <w:rsid w:val="002C4148"/>
    <w:rsid w:val="002C711D"/>
    <w:rsid w:val="002D0DBA"/>
    <w:rsid w:val="002D3473"/>
    <w:rsid w:val="002E2BD1"/>
    <w:rsid w:val="002E6A0B"/>
    <w:rsid w:val="002F5778"/>
    <w:rsid w:val="003056EB"/>
    <w:rsid w:val="00307430"/>
    <w:rsid w:val="00311337"/>
    <w:rsid w:val="00320F5F"/>
    <w:rsid w:val="00323E90"/>
    <w:rsid w:val="00324D9A"/>
    <w:rsid w:val="00330FAF"/>
    <w:rsid w:val="00334EC4"/>
    <w:rsid w:val="00343BBE"/>
    <w:rsid w:val="003458E3"/>
    <w:rsid w:val="00345D3A"/>
    <w:rsid w:val="003558FF"/>
    <w:rsid w:val="00360805"/>
    <w:rsid w:val="00360C79"/>
    <w:rsid w:val="00373079"/>
    <w:rsid w:val="003758CE"/>
    <w:rsid w:val="003917B8"/>
    <w:rsid w:val="00391FAF"/>
    <w:rsid w:val="00395A8E"/>
    <w:rsid w:val="003A3513"/>
    <w:rsid w:val="003A394E"/>
    <w:rsid w:val="003A6BA0"/>
    <w:rsid w:val="003C18D5"/>
    <w:rsid w:val="003C5419"/>
    <w:rsid w:val="003C6FE8"/>
    <w:rsid w:val="003D12F9"/>
    <w:rsid w:val="003D5D74"/>
    <w:rsid w:val="003E41A4"/>
    <w:rsid w:val="003E4E98"/>
    <w:rsid w:val="003F1AAC"/>
    <w:rsid w:val="003F2AF7"/>
    <w:rsid w:val="004013FB"/>
    <w:rsid w:val="004033DF"/>
    <w:rsid w:val="00413826"/>
    <w:rsid w:val="004152F7"/>
    <w:rsid w:val="00416E2F"/>
    <w:rsid w:val="00435B2A"/>
    <w:rsid w:val="00440E5E"/>
    <w:rsid w:val="00442173"/>
    <w:rsid w:val="00446DDC"/>
    <w:rsid w:val="00446E9E"/>
    <w:rsid w:val="004473A5"/>
    <w:rsid w:val="0045037C"/>
    <w:rsid w:val="00450F3D"/>
    <w:rsid w:val="004542C1"/>
    <w:rsid w:val="0045474B"/>
    <w:rsid w:val="00454AA8"/>
    <w:rsid w:val="00454DF5"/>
    <w:rsid w:val="00454E35"/>
    <w:rsid w:val="004551FF"/>
    <w:rsid w:val="00462560"/>
    <w:rsid w:val="00464A64"/>
    <w:rsid w:val="004668F8"/>
    <w:rsid w:val="00477576"/>
    <w:rsid w:val="00483A60"/>
    <w:rsid w:val="004917AB"/>
    <w:rsid w:val="004A0BD6"/>
    <w:rsid w:val="004A6AC4"/>
    <w:rsid w:val="004B48D2"/>
    <w:rsid w:val="004B581E"/>
    <w:rsid w:val="004B5EA1"/>
    <w:rsid w:val="004B63E3"/>
    <w:rsid w:val="004B6AA3"/>
    <w:rsid w:val="004D23B2"/>
    <w:rsid w:val="004D24FC"/>
    <w:rsid w:val="004D280F"/>
    <w:rsid w:val="004D2ABB"/>
    <w:rsid w:val="004D34DF"/>
    <w:rsid w:val="004E2689"/>
    <w:rsid w:val="004E52A6"/>
    <w:rsid w:val="004E7084"/>
    <w:rsid w:val="004F396C"/>
    <w:rsid w:val="004F4733"/>
    <w:rsid w:val="00500893"/>
    <w:rsid w:val="0050146E"/>
    <w:rsid w:val="00502D6B"/>
    <w:rsid w:val="00515A93"/>
    <w:rsid w:val="0051708E"/>
    <w:rsid w:val="00517D2A"/>
    <w:rsid w:val="0052575D"/>
    <w:rsid w:val="00531B10"/>
    <w:rsid w:val="0054428A"/>
    <w:rsid w:val="00553F3F"/>
    <w:rsid w:val="00557B35"/>
    <w:rsid w:val="005601CA"/>
    <w:rsid w:val="00561F12"/>
    <w:rsid w:val="00562C5C"/>
    <w:rsid w:val="00565EC2"/>
    <w:rsid w:val="00566210"/>
    <w:rsid w:val="00571DC5"/>
    <w:rsid w:val="005748E1"/>
    <w:rsid w:val="0057690C"/>
    <w:rsid w:val="00583AFF"/>
    <w:rsid w:val="005A1951"/>
    <w:rsid w:val="005A2F84"/>
    <w:rsid w:val="005C5A57"/>
    <w:rsid w:val="005C6A4A"/>
    <w:rsid w:val="005D14CD"/>
    <w:rsid w:val="005D5C2C"/>
    <w:rsid w:val="005D5FA6"/>
    <w:rsid w:val="005E169B"/>
    <w:rsid w:val="005E3493"/>
    <w:rsid w:val="005E4764"/>
    <w:rsid w:val="005F3751"/>
    <w:rsid w:val="00601D49"/>
    <w:rsid w:val="0060225B"/>
    <w:rsid w:val="0061198B"/>
    <w:rsid w:val="00622EF7"/>
    <w:rsid w:val="00633250"/>
    <w:rsid w:val="00640A9B"/>
    <w:rsid w:val="006416F9"/>
    <w:rsid w:val="00642FE6"/>
    <w:rsid w:val="00646AEB"/>
    <w:rsid w:val="00652A8C"/>
    <w:rsid w:val="00671D4F"/>
    <w:rsid w:val="0067225E"/>
    <w:rsid w:val="00676047"/>
    <w:rsid w:val="006904F2"/>
    <w:rsid w:val="006A015C"/>
    <w:rsid w:val="006A0662"/>
    <w:rsid w:val="006A4004"/>
    <w:rsid w:val="006B42D6"/>
    <w:rsid w:val="006B5360"/>
    <w:rsid w:val="006B688B"/>
    <w:rsid w:val="006B7B2E"/>
    <w:rsid w:val="006C0502"/>
    <w:rsid w:val="006C0E4C"/>
    <w:rsid w:val="006C7826"/>
    <w:rsid w:val="006D2137"/>
    <w:rsid w:val="006D4F7C"/>
    <w:rsid w:val="006E08D8"/>
    <w:rsid w:val="006E2D2D"/>
    <w:rsid w:val="006F1AF1"/>
    <w:rsid w:val="006F75A8"/>
    <w:rsid w:val="00705162"/>
    <w:rsid w:val="007055A2"/>
    <w:rsid w:val="007154F0"/>
    <w:rsid w:val="007165D3"/>
    <w:rsid w:val="00717221"/>
    <w:rsid w:val="007230AB"/>
    <w:rsid w:val="007242EC"/>
    <w:rsid w:val="0075128C"/>
    <w:rsid w:val="00753929"/>
    <w:rsid w:val="007605BF"/>
    <w:rsid w:val="0076363B"/>
    <w:rsid w:val="007804E6"/>
    <w:rsid w:val="007903CF"/>
    <w:rsid w:val="00791454"/>
    <w:rsid w:val="00797EDF"/>
    <w:rsid w:val="007A1043"/>
    <w:rsid w:val="007A2A33"/>
    <w:rsid w:val="007A4FDD"/>
    <w:rsid w:val="007B7D06"/>
    <w:rsid w:val="007C094A"/>
    <w:rsid w:val="007C12E8"/>
    <w:rsid w:val="007C20EC"/>
    <w:rsid w:val="007C73BB"/>
    <w:rsid w:val="007E4CD7"/>
    <w:rsid w:val="007E583E"/>
    <w:rsid w:val="007E616C"/>
    <w:rsid w:val="007F1145"/>
    <w:rsid w:val="007F4100"/>
    <w:rsid w:val="007F5F79"/>
    <w:rsid w:val="00812DDD"/>
    <w:rsid w:val="00814853"/>
    <w:rsid w:val="00816B2A"/>
    <w:rsid w:val="00821541"/>
    <w:rsid w:val="00832D56"/>
    <w:rsid w:val="00835875"/>
    <w:rsid w:val="00836602"/>
    <w:rsid w:val="00841C85"/>
    <w:rsid w:val="00857DB3"/>
    <w:rsid w:val="00861052"/>
    <w:rsid w:val="00871B5D"/>
    <w:rsid w:val="00884487"/>
    <w:rsid w:val="008850D4"/>
    <w:rsid w:val="008915B8"/>
    <w:rsid w:val="00891851"/>
    <w:rsid w:val="00891C47"/>
    <w:rsid w:val="0089676A"/>
    <w:rsid w:val="008A7444"/>
    <w:rsid w:val="008B463B"/>
    <w:rsid w:val="008B61EC"/>
    <w:rsid w:val="008B7E7E"/>
    <w:rsid w:val="008C1DE1"/>
    <w:rsid w:val="008D1A53"/>
    <w:rsid w:val="008D7DCC"/>
    <w:rsid w:val="008F5DA2"/>
    <w:rsid w:val="00906368"/>
    <w:rsid w:val="00907F95"/>
    <w:rsid w:val="009104E2"/>
    <w:rsid w:val="00920AFE"/>
    <w:rsid w:val="00926E24"/>
    <w:rsid w:val="009279B2"/>
    <w:rsid w:val="00936141"/>
    <w:rsid w:val="00940DC2"/>
    <w:rsid w:val="009439C9"/>
    <w:rsid w:val="00952376"/>
    <w:rsid w:val="00954262"/>
    <w:rsid w:val="00957F83"/>
    <w:rsid w:val="00960A77"/>
    <w:rsid w:val="00960E31"/>
    <w:rsid w:val="00960ED4"/>
    <w:rsid w:val="00962543"/>
    <w:rsid w:val="009626B9"/>
    <w:rsid w:val="00963ADF"/>
    <w:rsid w:val="0096474F"/>
    <w:rsid w:val="009726FE"/>
    <w:rsid w:val="00977398"/>
    <w:rsid w:val="009806F5"/>
    <w:rsid w:val="00980736"/>
    <w:rsid w:val="00983D87"/>
    <w:rsid w:val="009901FB"/>
    <w:rsid w:val="00991932"/>
    <w:rsid w:val="00993EDB"/>
    <w:rsid w:val="0099469A"/>
    <w:rsid w:val="0099713D"/>
    <w:rsid w:val="009A7474"/>
    <w:rsid w:val="009B0D91"/>
    <w:rsid w:val="009C365C"/>
    <w:rsid w:val="009D1672"/>
    <w:rsid w:val="009E7298"/>
    <w:rsid w:val="009F1FE4"/>
    <w:rsid w:val="009F7900"/>
    <w:rsid w:val="00A02BE3"/>
    <w:rsid w:val="00A06AF8"/>
    <w:rsid w:val="00A07C51"/>
    <w:rsid w:val="00A11338"/>
    <w:rsid w:val="00A21660"/>
    <w:rsid w:val="00A2181C"/>
    <w:rsid w:val="00A2398C"/>
    <w:rsid w:val="00A260AF"/>
    <w:rsid w:val="00A26583"/>
    <w:rsid w:val="00A27600"/>
    <w:rsid w:val="00A31B4D"/>
    <w:rsid w:val="00A324AC"/>
    <w:rsid w:val="00A35F48"/>
    <w:rsid w:val="00A36E2D"/>
    <w:rsid w:val="00A37012"/>
    <w:rsid w:val="00A40613"/>
    <w:rsid w:val="00A41E14"/>
    <w:rsid w:val="00A429A0"/>
    <w:rsid w:val="00A439D4"/>
    <w:rsid w:val="00A445AB"/>
    <w:rsid w:val="00A45DE9"/>
    <w:rsid w:val="00A47DED"/>
    <w:rsid w:val="00A534A2"/>
    <w:rsid w:val="00A56189"/>
    <w:rsid w:val="00A5645D"/>
    <w:rsid w:val="00A65072"/>
    <w:rsid w:val="00A65DF7"/>
    <w:rsid w:val="00A70A83"/>
    <w:rsid w:val="00A808E8"/>
    <w:rsid w:val="00A870EF"/>
    <w:rsid w:val="00A93994"/>
    <w:rsid w:val="00A971FA"/>
    <w:rsid w:val="00AA2F9B"/>
    <w:rsid w:val="00AA389A"/>
    <w:rsid w:val="00AA6830"/>
    <w:rsid w:val="00AB1B05"/>
    <w:rsid w:val="00AB3E80"/>
    <w:rsid w:val="00AB5D4A"/>
    <w:rsid w:val="00AC610B"/>
    <w:rsid w:val="00AD2564"/>
    <w:rsid w:val="00AD2F26"/>
    <w:rsid w:val="00AD45AA"/>
    <w:rsid w:val="00AD669F"/>
    <w:rsid w:val="00AE0C7A"/>
    <w:rsid w:val="00AE1155"/>
    <w:rsid w:val="00AE1BCC"/>
    <w:rsid w:val="00AE5E6E"/>
    <w:rsid w:val="00AE6F28"/>
    <w:rsid w:val="00AF1136"/>
    <w:rsid w:val="00AF5341"/>
    <w:rsid w:val="00B0312C"/>
    <w:rsid w:val="00B10747"/>
    <w:rsid w:val="00B1136A"/>
    <w:rsid w:val="00B14186"/>
    <w:rsid w:val="00B22E11"/>
    <w:rsid w:val="00B26378"/>
    <w:rsid w:val="00B27C41"/>
    <w:rsid w:val="00B31885"/>
    <w:rsid w:val="00B326E5"/>
    <w:rsid w:val="00B56397"/>
    <w:rsid w:val="00B60688"/>
    <w:rsid w:val="00B62D0D"/>
    <w:rsid w:val="00B63E9E"/>
    <w:rsid w:val="00B65C10"/>
    <w:rsid w:val="00B71D9E"/>
    <w:rsid w:val="00B72181"/>
    <w:rsid w:val="00B72774"/>
    <w:rsid w:val="00B83EBC"/>
    <w:rsid w:val="00B9187F"/>
    <w:rsid w:val="00BA1CBA"/>
    <w:rsid w:val="00BA4B02"/>
    <w:rsid w:val="00BA61C3"/>
    <w:rsid w:val="00BA7D7A"/>
    <w:rsid w:val="00BB468B"/>
    <w:rsid w:val="00BC0896"/>
    <w:rsid w:val="00BC27D9"/>
    <w:rsid w:val="00BC4CA5"/>
    <w:rsid w:val="00BD1E1F"/>
    <w:rsid w:val="00BD5086"/>
    <w:rsid w:val="00BD6206"/>
    <w:rsid w:val="00BE194C"/>
    <w:rsid w:val="00BE1DEB"/>
    <w:rsid w:val="00BE392E"/>
    <w:rsid w:val="00BE555A"/>
    <w:rsid w:val="00BF4881"/>
    <w:rsid w:val="00BF5A83"/>
    <w:rsid w:val="00BF609C"/>
    <w:rsid w:val="00BF6769"/>
    <w:rsid w:val="00BF7194"/>
    <w:rsid w:val="00BF7935"/>
    <w:rsid w:val="00C11D64"/>
    <w:rsid w:val="00C13DCC"/>
    <w:rsid w:val="00C42733"/>
    <w:rsid w:val="00C42D41"/>
    <w:rsid w:val="00C42DCC"/>
    <w:rsid w:val="00C5073E"/>
    <w:rsid w:val="00C52490"/>
    <w:rsid w:val="00C55080"/>
    <w:rsid w:val="00C63060"/>
    <w:rsid w:val="00C83DED"/>
    <w:rsid w:val="00C85BF2"/>
    <w:rsid w:val="00C87737"/>
    <w:rsid w:val="00C9399D"/>
    <w:rsid w:val="00C93A80"/>
    <w:rsid w:val="00C95355"/>
    <w:rsid w:val="00CA0881"/>
    <w:rsid w:val="00CA153D"/>
    <w:rsid w:val="00CA36AE"/>
    <w:rsid w:val="00CA4A86"/>
    <w:rsid w:val="00CA729C"/>
    <w:rsid w:val="00CA7A61"/>
    <w:rsid w:val="00CB149E"/>
    <w:rsid w:val="00CB3E56"/>
    <w:rsid w:val="00CB7B9F"/>
    <w:rsid w:val="00CC0D49"/>
    <w:rsid w:val="00CC307F"/>
    <w:rsid w:val="00CC482F"/>
    <w:rsid w:val="00CC7E28"/>
    <w:rsid w:val="00CD08A0"/>
    <w:rsid w:val="00CD3A03"/>
    <w:rsid w:val="00CD45EF"/>
    <w:rsid w:val="00CD798D"/>
    <w:rsid w:val="00CE1AC0"/>
    <w:rsid w:val="00CE6E49"/>
    <w:rsid w:val="00CE739E"/>
    <w:rsid w:val="00CE7DDD"/>
    <w:rsid w:val="00D07267"/>
    <w:rsid w:val="00D10909"/>
    <w:rsid w:val="00D1152D"/>
    <w:rsid w:val="00D14290"/>
    <w:rsid w:val="00D16CC1"/>
    <w:rsid w:val="00D311CF"/>
    <w:rsid w:val="00D35004"/>
    <w:rsid w:val="00D40499"/>
    <w:rsid w:val="00D4382F"/>
    <w:rsid w:val="00D46B7E"/>
    <w:rsid w:val="00D47FAD"/>
    <w:rsid w:val="00D53464"/>
    <w:rsid w:val="00D62D65"/>
    <w:rsid w:val="00D65503"/>
    <w:rsid w:val="00D71EE2"/>
    <w:rsid w:val="00D775EC"/>
    <w:rsid w:val="00D82280"/>
    <w:rsid w:val="00D8570B"/>
    <w:rsid w:val="00D868FE"/>
    <w:rsid w:val="00D91ED9"/>
    <w:rsid w:val="00DA2B50"/>
    <w:rsid w:val="00DA68EB"/>
    <w:rsid w:val="00DA737E"/>
    <w:rsid w:val="00DB046F"/>
    <w:rsid w:val="00DB192E"/>
    <w:rsid w:val="00DB4148"/>
    <w:rsid w:val="00DB61E2"/>
    <w:rsid w:val="00DC13EC"/>
    <w:rsid w:val="00DD3269"/>
    <w:rsid w:val="00DD4D1C"/>
    <w:rsid w:val="00DD52A0"/>
    <w:rsid w:val="00DD5F75"/>
    <w:rsid w:val="00DE03B7"/>
    <w:rsid w:val="00DE52D0"/>
    <w:rsid w:val="00DF0CB8"/>
    <w:rsid w:val="00DF5EED"/>
    <w:rsid w:val="00E01791"/>
    <w:rsid w:val="00E04770"/>
    <w:rsid w:val="00E051E3"/>
    <w:rsid w:val="00E07A6A"/>
    <w:rsid w:val="00E14E8A"/>
    <w:rsid w:val="00E24236"/>
    <w:rsid w:val="00E360DC"/>
    <w:rsid w:val="00E440C2"/>
    <w:rsid w:val="00E44E4B"/>
    <w:rsid w:val="00E5030B"/>
    <w:rsid w:val="00E52C2C"/>
    <w:rsid w:val="00E55BE1"/>
    <w:rsid w:val="00E71790"/>
    <w:rsid w:val="00E72CA2"/>
    <w:rsid w:val="00E842FE"/>
    <w:rsid w:val="00E87E59"/>
    <w:rsid w:val="00E928AF"/>
    <w:rsid w:val="00E96661"/>
    <w:rsid w:val="00E96A05"/>
    <w:rsid w:val="00E96C32"/>
    <w:rsid w:val="00ED3F4A"/>
    <w:rsid w:val="00ED7452"/>
    <w:rsid w:val="00EE2240"/>
    <w:rsid w:val="00EE2379"/>
    <w:rsid w:val="00EE32EA"/>
    <w:rsid w:val="00EE7CAD"/>
    <w:rsid w:val="00EF3348"/>
    <w:rsid w:val="00EF40BC"/>
    <w:rsid w:val="00EF7DA8"/>
    <w:rsid w:val="00F012B6"/>
    <w:rsid w:val="00F01B6E"/>
    <w:rsid w:val="00F03657"/>
    <w:rsid w:val="00F0389A"/>
    <w:rsid w:val="00F04C49"/>
    <w:rsid w:val="00F0727B"/>
    <w:rsid w:val="00F10D1C"/>
    <w:rsid w:val="00F11A55"/>
    <w:rsid w:val="00F11C1D"/>
    <w:rsid w:val="00F11E16"/>
    <w:rsid w:val="00F32606"/>
    <w:rsid w:val="00F45003"/>
    <w:rsid w:val="00F45CDD"/>
    <w:rsid w:val="00F47822"/>
    <w:rsid w:val="00F56D37"/>
    <w:rsid w:val="00F63502"/>
    <w:rsid w:val="00F70D41"/>
    <w:rsid w:val="00F73B9C"/>
    <w:rsid w:val="00F74E46"/>
    <w:rsid w:val="00F75988"/>
    <w:rsid w:val="00F76B78"/>
    <w:rsid w:val="00F80C2E"/>
    <w:rsid w:val="00F83ADE"/>
    <w:rsid w:val="00F84BD4"/>
    <w:rsid w:val="00F92AA0"/>
    <w:rsid w:val="00F93A3F"/>
    <w:rsid w:val="00F96A4F"/>
    <w:rsid w:val="00FA373C"/>
    <w:rsid w:val="00FA5C47"/>
    <w:rsid w:val="00FB1000"/>
    <w:rsid w:val="00FB5126"/>
    <w:rsid w:val="00FB5BDF"/>
    <w:rsid w:val="00FB7463"/>
    <w:rsid w:val="00FC18EA"/>
    <w:rsid w:val="00FC3E02"/>
    <w:rsid w:val="00FC7F22"/>
    <w:rsid w:val="00FE53A5"/>
    <w:rsid w:val="00FE6836"/>
    <w:rsid w:val="00FF1D4F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4DD71D1-DEFF-444A-9ADD-EF6A27C1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A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B0D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283E2A"/>
    <w:rPr>
      <w:rFonts w:cs="Times New Roman"/>
      <w:b/>
      <w:bCs/>
    </w:rPr>
  </w:style>
  <w:style w:type="character" w:customStyle="1" w:styleId="urgent1">
    <w:name w:val="urgent1"/>
    <w:rsid w:val="00283E2A"/>
    <w:rPr>
      <w:rFonts w:cs="Times New Roman"/>
      <w:color w:val="800000"/>
      <w:u w:val="none"/>
      <w:effect w:val="none"/>
    </w:rPr>
  </w:style>
  <w:style w:type="paragraph" w:styleId="a4">
    <w:name w:val="Normal (Web)"/>
    <w:basedOn w:val="a"/>
    <w:uiPriority w:val="99"/>
    <w:rsid w:val="007F4100"/>
    <w:pPr>
      <w:spacing w:before="100" w:beforeAutospacing="1" w:after="100" w:afterAutospacing="1"/>
    </w:pPr>
  </w:style>
  <w:style w:type="character" w:styleId="a5">
    <w:name w:val="Hyperlink"/>
    <w:uiPriority w:val="99"/>
    <w:rsid w:val="00373079"/>
    <w:rPr>
      <w:rFonts w:ascii="Verdana" w:hAnsi="Verdana" w:cs="Times New Roman"/>
      <w:color w:val="666666"/>
      <w:sz w:val="13"/>
      <w:szCs w:val="13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48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11">
    <w:name w:val="Обычный (веб)1"/>
    <w:basedOn w:val="a"/>
    <w:rsid w:val="003758CE"/>
    <w:pPr>
      <w:spacing w:before="100" w:beforeAutospacing="1" w:after="100" w:afterAutospacing="1"/>
      <w:ind w:firstLine="204"/>
      <w:jc w:val="both"/>
    </w:pPr>
  </w:style>
  <w:style w:type="table" w:styleId="a6">
    <w:name w:val="Table Grid"/>
    <w:basedOn w:val="a1"/>
    <w:uiPriority w:val="59"/>
    <w:rsid w:val="00A21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90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903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372">
                  <w:marLeft w:val="0"/>
                  <w:marRight w:val="-2179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74">
                      <w:marLeft w:val="0"/>
                      <w:marRight w:val="-2179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73">
                          <w:marLeft w:val="0"/>
                          <w:marRight w:val="-2179"/>
                          <w:marTop w:val="100"/>
                          <w:marBottom w:val="100"/>
                          <w:divBdr>
                            <w:top w:val="single" w:sz="2" w:space="13" w:color="FF9900"/>
                            <w:left w:val="single" w:sz="4" w:space="13" w:color="FF9900"/>
                            <w:bottom w:val="single" w:sz="4" w:space="13" w:color="FF9900"/>
                            <w:right w:val="single" w:sz="4" w:space="13" w:color="FF9900"/>
                          </w:divBdr>
                          <w:divsChild>
                            <w:div w:id="2139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378">
                  <w:marLeft w:val="0"/>
                  <w:marRight w:val="-2179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97">
                      <w:marLeft w:val="0"/>
                      <w:marRight w:val="-2179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62">
                          <w:marLeft w:val="0"/>
                          <w:marRight w:val="-2179"/>
                          <w:marTop w:val="100"/>
                          <w:marBottom w:val="100"/>
                          <w:divBdr>
                            <w:top w:val="single" w:sz="2" w:space="13" w:color="FF9900"/>
                            <w:left w:val="single" w:sz="4" w:space="13" w:color="FF9900"/>
                            <w:bottom w:val="single" w:sz="4" w:space="13" w:color="FF9900"/>
                            <w:right w:val="single" w:sz="4" w:space="13" w:color="FF9900"/>
                          </w:divBdr>
                          <w:divsChild>
                            <w:div w:id="2139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4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личного страхования, роль и перспективы развития</vt:lpstr>
    </vt:vector>
  </TitlesOfParts>
  <Company>Админ</Company>
  <LinksUpToDate>false</LinksUpToDate>
  <CharactersWithSpaces>37282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личного страхования, роль и перспективы развития</dc:title>
  <dc:subject/>
  <dc:creator>Живойкина</dc:creator>
  <cp:keywords/>
  <dc:description/>
  <cp:lastModifiedBy>admin</cp:lastModifiedBy>
  <cp:revision>2</cp:revision>
  <cp:lastPrinted>2007-11-07T14:17:00Z</cp:lastPrinted>
  <dcterms:created xsi:type="dcterms:W3CDTF">2014-03-01T11:54:00Z</dcterms:created>
  <dcterms:modified xsi:type="dcterms:W3CDTF">2014-03-01T11:54:00Z</dcterms:modified>
</cp:coreProperties>
</file>