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E30" w:rsidRPr="00A01FC2" w:rsidRDefault="00930E30" w:rsidP="00A01FC2">
      <w:pPr>
        <w:spacing w:line="360" w:lineRule="auto"/>
        <w:ind w:firstLine="709"/>
        <w:jc w:val="center"/>
        <w:rPr>
          <w:bCs/>
          <w:sz w:val="28"/>
          <w:szCs w:val="28"/>
        </w:rPr>
      </w:pPr>
      <w:r w:rsidRPr="00A01FC2">
        <w:rPr>
          <w:bCs/>
          <w:sz w:val="28"/>
          <w:szCs w:val="28"/>
        </w:rPr>
        <w:t>ГОСУДАРСТВЕННОЕ ОБРАЗОВАТЕЛЬНОЕ УЧРЕЖДЕНИЕ</w:t>
      </w:r>
    </w:p>
    <w:p w:rsidR="00930E30" w:rsidRPr="00A01FC2" w:rsidRDefault="00930E30" w:rsidP="00A01FC2">
      <w:pPr>
        <w:spacing w:line="360" w:lineRule="auto"/>
        <w:ind w:firstLine="709"/>
        <w:jc w:val="center"/>
        <w:rPr>
          <w:bCs/>
          <w:sz w:val="28"/>
          <w:szCs w:val="28"/>
        </w:rPr>
      </w:pPr>
      <w:r w:rsidRPr="00A01FC2">
        <w:rPr>
          <w:bCs/>
          <w:sz w:val="28"/>
          <w:szCs w:val="28"/>
        </w:rPr>
        <w:t>ВЫСШЕГО ПРОФЕССИОНАЛЬНОГО ОБРАЗОВАНИЯ</w:t>
      </w:r>
    </w:p>
    <w:p w:rsidR="00930E30" w:rsidRPr="00A01FC2" w:rsidRDefault="00930E30" w:rsidP="00A01FC2">
      <w:pPr>
        <w:spacing w:line="360" w:lineRule="auto"/>
        <w:ind w:firstLine="709"/>
        <w:jc w:val="center"/>
        <w:rPr>
          <w:bCs/>
          <w:sz w:val="28"/>
          <w:szCs w:val="28"/>
        </w:rPr>
      </w:pPr>
      <w:r w:rsidRPr="00A01FC2">
        <w:rPr>
          <w:bCs/>
          <w:sz w:val="28"/>
          <w:szCs w:val="28"/>
        </w:rPr>
        <w:t>САРАТОВСКИЙ ГОСУДАРСТВЕННЫЙ МЕДИЦИНСКИЙ УНИВЕРСИТЕТ</w:t>
      </w:r>
    </w:p>
    <w:p w:rsidR="00930E30" w:rsidRPr="00A01FC2" w:rsidRDefault="00930E30" w:rsidP="00A01FC2">
      <w:pPr>
        <w:spacing w:line="360" w:lineRule="auto"/>
        <w:ind w:firstLine="709"/>
        <w:jc w:val="center"/>
        <w:rPr>
          <w:caps/>
          <w:sz w:val="28"/>
          <w:szCs w:val="28"/>
        </w:rPr>
      </w:pPr>
    </w:p>
    <w:p w:rsidR="00930E30" w:rsidRPr="00A01FC2" w:rsidRDefault="00930E30" w:rsidP="00A01FC2">
      <w:pPr>
        <w:spacing w:line="360" w:lineRule="auto"/>
        <w:ind w:firstLine="709"/>
        <w:jc w:val="center"/>
        <w:rPr>
          <w:sz w:val="28"/>
          <w:szCs w:val="28"/>
        </w:rPr>
      </w:pPr>
      <w:r w:rsidRPr="00A01FC2">
        <w:rPr>
          <w:sz w:val="28"/>
          <w:szCs w:val="28"/>
        </w:rPr>
        <w:t>ФАРМАЦЕВТИЧЕСКИЙ ФАКУЛЬТЕТ</w:t>
      </w:r>
    </w:p>
    <w:p w:rsidR="00930E30" w:rsidRPr="00A01FC2" w:rsidRDefault="00930E30" w:rsidP="00A01FC2">
      <w:pPr>
        <w:spacing w:line="360" w:lineRule="auto"/>
        <w:ind w:firstLine="709"/>
        <w:jc w:val="center"/>
        <w:rPr>
          <w:sz w:val="28"/>
          <w:szCs w:val="28"/>
        </w:rPr>
      </w:pPr>
      <w:r w:rsidRPr="00A01FC2">
        <w:rPr>
          <w:sz w:val="28"/>
          <w:szCs w:val="28"/>
        </w:rPr>
        <w:t>Кафедра экономики и управления здравоохранением и фармацией</w:t>
      </w:r>
    </w:p>
    <w:p w:rsidR="00930E30" w:rsidRPr="00A01FC2" w:rsidRDefault="00930E30" w:rsidP="00A01FC2">
      <w:pPr>
        <w:spacing w:line="360" w:lineRule="auto"/>
        <w:ind w:firstLine="709"/>
        <w:jc w:val="center"/>
        <w:rPr>
          <w:sz w:val="28"/>
          <w:szCs w:val="28"/>
        </w:rPr>
      </w:pPr>
    </w:p>
    <w:p w:rsidR="00930E30" w:rsidRPr="00A01FC2" w:rsidRDefault="00930E30" w:rsidP="00A01FC2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A01FC2">
        <w:rPr>
          <w:sz w:val="28"/>
          <w:szCs w:val="28"/>
        </w:rPr>
        <w:t xml:space="preserve">Зав. </w:t>
      </w:r>
      <w:r w:rsidR="004E4EF3" w:rsidRPr="00A01FC2">
        <w:rPr>
          <w:sz w:val="28"/>
          <w:szCs w:val="28"/>
        </w:rPr>
        <w:t>к</w:t>
      </w:r>
      <w:r w:rsidRPr="00A01FC2">
        <w:rPr>
          <w:sz w:val="28"/>
          <w:szCs w:val="28"/>
        </w:rPr>
        <w:t>афедрой</w:t>
      </w:r>
      <w:r w:rsidR="0059378D" w:rsidRPr="00A01FC2">
        <w:rPr>
          <w:sz w:val="28"/>
          <w:szCs w:val="28"/>
        </w:rPr>
        <w:t xml:space="preserve"> к.м.н., доцент</w:t>
      </w:r>
      <w:r w:rsidR="00526A09" w:rsidRPr="00A01FC2">
        <w:rPr>
          <w:b/>
          <w:sz w:val="28"/>
          <w:szCs w:val="28"/>
        </w:rPr>
        <w:t xml:space="preserve"> </w:t>
      </w:r>
      <w:r w:rsidR="00526A09" w:rsidRPr="00A01FC2">
        <w:rPr>
          <w:sz w:val="28"/>
          <w:szCs w:val="28"/>
        </w:rPr>
        <w:t>Новокрещенова</w:t>
      </w:r>
      <w:r w:rsidR="00D71908" w:rsidRPr="00A01FC2">
        <w:rPr>
          <w:sz w:val="28"/>
          <w:szCs w:val="28"/>
        </w:rPr>
        <w:t xml:space="preserve"> </w:t>
      </w:r>
      <w:r w:rsidR="00383EC6" w:rsidRPr="00A01FC2">
        <w:rPr>
          <w:sz w:val="28"/>
          <w:szCs w:val="28"/>
        </w:rPr>
        <w:t>И.Г</w:t>
      </w:r>
    </w:p>
    <w:p w:rsidR="00930E30" w:rsidRPr="00A01FC2" w:rsidRDefault="00930E30" w:rsidP="00A01FC2">
      <w:pPr>
        <w:spacing w:line="360" w:lineRule="auto"/>
        <w:ind w:firstLine="709"/>
        <w:jc w:val="center"/>
        <w:rPr>
          <w:sz w:val="28"/>
          <w:szCs w:val="28"/>
        </w:rPr>
      </w:pPr>
    </w:p>
    <w:p w:rsidR="00A01FC2" w:rsidRDefault="00A01FC2" w:rsidP="00A01FC2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A01FC2" w:rsidRDefault="00A01FC2" w:rsidP="00A01FC2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A01FC2" w:rsidRDefault="00A01FC2" w:rsidP="00A01FC2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A01FC2" w:rsidRDefault="00A01FC2" w:rsidP="00A01FC2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930E30" w:rsidRPr="00A01FC2" w:rsidRDefault="00930E30" w:rsidP="00A01FC2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A01FC2">
        <w:rPr>
          <w:b/>
          <w:sz w:val="28"/>
          <w:szCs w:val="28"/>
        </w:rPr>
        <w:t>КУРСОВАЯ РАБОТА</w:t>
      </w:r>
    </w:p>
    <w:p w:rsidR="00A01FC2" w:rsidRDefault="00A01FC2" w:rsidP="00A01FC2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тему</w:t>
      </w:r>
    </w:p>
    <w:p w:rsidR="00930E30" w:rsidRPr="00A01FC2" w:rsidRDefault="00526A09" w:rsidP="00A01FC2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A01FC2">
        <w:rPr>
          <w:b/>
          <w:iCs/>
          <w:sz w:val="28"/>
          <w:szCs w:val="28"/>
          <w:lang w:bidi="he-IL"/>
        </w:rPr>
        <w:t>Маркетинговое исследование</w:t>
      </w:r>
      <w:r w:rsidR="00930E30" w:rsidRPr="00A01FC2">
        <w:rPr>
          <w:b/>
          <w:iCs/>
          <w:sz w:val="28"/>
          <w:szCs w:val="28"/>
          <w:lang w:bidi="he-IL"/>
        </w:rPr>
        <w:t xml:space="preserve"> </w:t>
      </w:r>
      <w:r w:rsidR="00A01FC2">
        <w:rPr>
          <w:b/>
          <w:iCs/>
          <w:sz w:val="28"/>
          <w:szCs w:val="28"/>
          <w:lang w:bidi="he-IL"/>
        </w:rPr>
        <w:t>фармацевтического рынка Швеции</w:t>
      </w:r>
    </w:p>
    <w:p w:rsidR="00930E30" w:rsidRPr="00A01FC2" w:rsidRDefault="00930E30" w:rsidP="00A01FC2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930E30" w:rsidRPr="00A01FC2" w:rsidRDefault="00930E30" w:rsidP="00A01FC2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D71908" w:rsidRPr="00A01FC2" w:rsidRDefault="00D71908" w:rsidP="00A01FC2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930E30" w:rsidRPr="00A01FC2" w:rsidRDefault="00930E30" w:rsidP="00D71908">
      <w:pPr>
        <w:spacing w:line="360" w:lineRule="auto"/>
        <w:ind w:firstLine="709"/>
        <w:jc w:val="both"/>
        <w:rPr>
          <w:sz w:val="28"/>
          <w:szCs w:val="28"/>
        </w:rPr>
      </w:pPr>
      <w:r w:rsidRPr="00A01FC2">
        <w:rPr>
          <w:sz w:val="28"/>
          <w:szCs w:val="28"/>
        </w:rPr>
        <w:t>Студента 5-го курса</w:t>
      </w:r>
    </w:p>
    <w:p w:rsidR="00D71908" w:rsidRPr="00A01FC2" w:rsidRDefault="00930E30" w:rsidP="00D71908">
      <w:pPr>
        <w:spacing w:line="360" w:lineRule="auto"/>
        <w:ind w:firstLine="709"/>
        <w:jc w:val="both"/>
        <w:rPr>
          <w:sz w:val="28"/>
          <w:szCs w:val="28"/>
        </w:rPr>
      </w:pPr>
      <w:r w:rsidRPr="00A01FC2">
        <w:rPr>
          <w:sz w:val="28"/>
          <w:szCs w:val="28"/>
        </w:rPr>
        <w:t>очной формы обучения</w:t>
      </w:r>
    </w:p>
    <w:p w:rsidR="00D71908" w:rsidRPr="00A01FC2" w:rsidRDefault="00930E30" w:rsidP="00D71908">
      <w:pPr>
        <w:spacing w:line="360" w:lineRule="auto"/>
        <w:ind w:firstLine="709"/>
        <w:jc w:val="both"/>
        <w:rPr>
          <w:sz w:val="28"/>
          <w:szCs w:val="28"/>
        </w:rPr>
      </w:pPr>
      <w:r w:rsidRPr="00A01FC2">
        <w:rPr>
          <w:sz w:val="28"/>
          <w:szCs w:val="28"/>
        </w:rPr>
        <w:t>Кузнецовой Ирины Анатольевны</w:t>
      </w:r>
    </w:p>
    <w:p w:rsidR="00D71908" w:rsidRPr="00A01FC2" w:rsidRDefault="00D71908" w:rsidP="00D71908">
      <w:pPr>
        <w:spacing w:line="360" w:lineRule="auto"/>
        <w:ind w:firstLine="709"/>
        <w:jc w:val="both"/>
        <w:rPr>
          <w:sz w:val="28"/>
          <w:szCs w:val="28"/>
        </w:rPr>
      </w:pPr>
    </w:p>
    <w:p w:rsidR="00A01FC2" w:rsidRDefault="00A01FC2" w:rsidP="00A01FC2">
      <w:pPr>
        <w:tabs>
          <w:tab w:val="left" w:pos="3690"/>
        </w:tabs>
        <w:spacing w:line="360" w:lineRule="auto"/>
        <w:ind w:firstLine="709"/>
        <w:jc w:val="center"/>
        <w:rPr>
          <w:sz w:val="28"/>
          <w:szCs w:val="28"/>
        </w:rPr>
      </w:pPr>
    </w:p>
    <w:p w:rsidR="00A01FC2" w:rsidRDefault="00A01FC2" w:rsidP="00A01FC2">
      <w:pPr>
        <w:tabs>
          <w:tab w:val="left" w:pos="3690"/>
        </w:tabs>
        <w:spacing w:line="360" w:lineRule="auto"/>
        <w:ind w:firstLine="709"/>
        <w:jc w:val="center"/>
        <w:rPr>
          <w:sz w:val="28"/>
          <w:szCs w:val="28"/>
        </w:rPr>
      </w:pPr>
    </w:p>
    <w:p w:rsidR="00A01FC2" w:rsidRDefault="00A01FC2" w:rsidP="00A01FC2">
      <w:pPr>
        <w:tabs>
          <w:tab w:val="left" w:pos="3690"/>
        </w:tabs>
        <w:spacing w:line="360" w:lineRule="auto"/>
        <w:ind w:firstLine="709"/>
        <w:jc w:val="center"/>
        <w:rPr>
          <w:sz w:val="28"/>
          <w:szCs w:val="28"/>
        </w:rPr>
      </w:pPr>
    </w:p>
    <w:p w:rsidR="00A01FC2" w:rsidRDefault="00A01FC2" w:rsidP="00A01FC2">
      <w:pPr>
        <w:tabs>
          <w:tab w:val="left" w:pos="3690"/>
        </w:tabs>
        <w:spacing w:line="360" w:lineRule="auto"/>
        <w:ind w:firstLine="709"/>
        <w:jc w:val="center"/>
        <w:rPr>
          <w:sz w:val="28"/>
          <w:szCs w:val="28"/>
        </w:rPr>
      </w:pPr>
    </w:p>
    <w:p w:rsidR="00C60D10" w:rsidRPr="00A01FC2" w:rsidRDefault="00526A09" w:rsidP="00A01FC2">
      <w:pPr>
        <w:tabs>
          <w:tab w:val="left" w:pos="3690"/>
        </w:tabs>
        <w:spacing w:line="360" w:lineRule="auto"/>
        <w:ind w:firstLine="709"/>
        <w:jc w:val="center"/>
        <w:rPr>
          <w:sz w:val="28"/>
          <w:szCs w:val="28"/>
        </w:rPr>
      </w:pPr>
      <w:r w:rsidRPr="00A01FC2">
        <w:rPr>
          <w:sz w:val="28"/>
          <w:szCs w:val="28"/>
        </w:rPr>
        <w:t>Саратов 2010</w:t>
      </w:r>
    </w:p>
    <w:p w:rsidR="00930E30" w:rsidRPr="000A26CE" w:rsidRDefault="00D71908" w:rsidP="00D7190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A01FC2">
        <w:rPr>
          <w:sz w:val="28"/>
          <w:szCs w:val="28"/>
        </w:rPr>
        <w:br w:type="page"/>
      </w:r>
      <w:r w:rsidR="00930E30" w:rsidRPr="000A26CE">
        <w:rPr>
          <w:b/>
          <w:sz w:val="28"/>
          <w:szCs w:val="28"/>
        </w:rPr>
        <w:t>План</w:t>
      </w:r>
    </w:p>
    <w:p w:rsidR="00D71908" w:rsidRPr="00A01FC2" w:rsidRDefault="00D71908" w:rsidP="00D71908">
      <w:pPr>
        <w:spacing w:line="360" w:lineRule="auto"/>
        <w:ind w:firstLine="709"/>
        <w:jc w:val="both"/>
        <w:rPr>
          <w:sz w:val="28"/>
          <w:szCs w:val="28"/>
        </w:rPr>
      </w:pPr>
    </w:p>
    <w:p w:rsidR="00C2139A" w:rsidRPr="00A01FC2" w:rsidRDefault="00C2139A" w:rsidP="00551376">
      <w:pPr>
        <w:spacing w:line="360" w:lineRule="auto"/>
        <w:jc w:val="both"/>
        <w:rPr>
          <w:sz w:val="28"/>
          <w:szCs w:val="28"/>
        </w:rPr>
      </w:pPr>
      <w:r w:rsidRPr="00A01FC2">
        <w:rPr>
          <w:sz w:val="28"/>
          <w:szCs w:val="28"/>
        </w:rPr>
        <w:t>Введение</w:t>
      </w:r>
    </w:p>
    <w:p w:rsidR="00BA73AE" w:rsidRPr="00A01FC2" w:rsidRDefault="007C3729" w:rsidP="00551376">
      <w:pPr>
        <w:pStyle w:val="a6"/>
        <w:spacing w:line="360" w:lineRule="auto"/>
        <w:jc w:val="both"/>
        <w:rPr>
          <w:sz w:val="28"/>
          <w:szCs w:val="28"/>
          <w:lang w:bidi="he-IL"/>
        </w:rPr>
      </w:pPr>
      <w:r w:rsidRPr="00A01FC2">
        <w:rPr>
          <w:sz w:val="28"/>
          <w:szCs w:val="28"/>
        </w:rPr>
        <w:t>1.</w:t>
      </w:r>
      <w:r w:rsidR="00C2139A" w:rsidRPr="00A01FC2">
        <w:rPr>
          <w:sz w:val="28"/>
          <w:szCs w:val="28"/>
        </w:rPr>
        <w:t xml:space="preserve"> </w:t>
      </w:r>
      <w:r w:rsidR="00C2139A" w:rsidRPr="00A01FC2">
        <w:rPr>
          <w:sz w:val="28"/>
          <w:szCs w:val="28"/>
          <w:lang w:bidi="he-IL"/>
        </w:rPr>
        <w:t>Общая характеристика экономического положения</w:t>
      </w:r>
    </w:p>
    <w:p w:rsidR="00C2139A" w:rsidRPr="00A01FC2" w:rsidRDefault="007C3729" w:rsidP="00551376">
      <w:pPr>
        <w:pStyle w:val="a6"/>
        <w:spacing w:line="360" w:lineRule="auto"/>
        <w:jc w:val="both"/>
        <w:rPr>
          <w:sz w:val="28"/>
          <w:szCs w:val="28"/>
          <w:lang w:bidi="he-IL"/>
        </w:rPr>
      </w:pPr>
      <w:r w:rsidRPr="00A01FC2">
        <w:rPr>
          <w:sz w:val="28"/>
          <w:szCs w:val="28"/>
          <w:lang w:bidi="he-IL"/>
        </w:rPr>
        <w:t>2.</w:t>
      </w:r>
      <w:r w:rsidR="00BA73AE" w:rsidRPr="00A01FC2">
        <w:rPr>
          <w:sz w:val="28"/>
          <w:szCs w:val="28"/>
          <w:lang w:bidi="he-IL"/>
        </w:rPr>
        <w:t xml:space="preserve"> Система</w:t>
      </w:r>
      <w:r w:rsidR="00C2139A" w:rsidRPr="00A01FC2">
        <w:rPr>
          <w:sz w:val="28"/>
          <w:szCs w:val="28"/>
          <w:lang w:bidi="he-IL"/>
        </w:rPr>
        <w:t xml:space="preserve"> здравоохранения и </w:t>
      </w:r>
      <w:r w:rsidR="00D71908" w:rsidRPr="00A01FC2">
        <w:rPr>
          <w:sz w:val="28"/>
          <w:szCs w:val="28"/>
          <w:lang w:bidi="he-IL"/>
        </w:rPr>
        <w:t>социального обеспечения</w:t>
      </w:r>
    </w:p>
    <w:p w:rsidR="00C2139A" w:rsidRPr="00A01FC2" w:rsidRDefault="007C3729" w:rsidP="00551376">
      <w:pPr>
        <w:spacing w:line="360" w:lineRule="auto"/>
        <w:jc w:val="both"/>
        <w:rPr>
          <w:sz w:val="28"/>
          <w:szCs w:val="28"/>
          <w:lang w:bidi="he-IL"/>
        </w:rPr>
      </w:pPr>
      <w:r w:rsidRPr="00A01FC2">
        <w:rPr>
          <w:sz w:val="28"/>
          <w:szCs w:val="28"/>
        </w:rPr>
        <w:t>3.</w:t>
      </w:r>
      <w:r w:rsidR="00C2139A" w:rsidRPr="00A01FC2">
        <w:rPr>
          <w:sz w:val="28"/>
          <w:szCs w:val="28"/>
          <w:lang w:bidi="he-IL"/>
        </w:rPr>
        <w:t xml:space="preserve"> Анализ </w:t>
      </w:r>
      <w:r w:rsidR="00C87931" w:rsidRPr="00A01FC2">
        <w:rPr>
          <w:sz w:val="28"/>
          <w:szCs w:val="28"/>
          <w:lang w:bidi="he-IL"/>
        </w:rPr>
        <w:t>фармацевтического рынка страны</w:t>
      </w:r>
    </w:p>
    <w:p w:rsidR="002E7476" w:rsidRPr="00A01FC2" w:rsidRDefault="00741C6F" w:rsidP="00551376">
      <w:pPr>
        <w:spacing w:line="360" w:lineRule="auto"/>
        <w:jc w:val="both"/>
        <w:rPr>
          <w:sz w:val="28"/>
          <w:szCs w:val="28"/>
          <w:lang w:bidi="he-IL"/>
        </w:rPr>
      </w:pPr>
      <w:r w:rsidRPr="00A01FC2">
        <w:rPr>
          <w:sz w:val="28"/>
          <w:szCs w:val="28"/>
          <w:lang w:bidi="he-IL"/>
        </w:rPr>
        <w:t>3.1 Общая характеристика</w:t>
      </w:r>
    </w:p>
    <w:p w:rsidR="00741C6F" w:rsidRPr="00A01FC2" w:rsidRDefault="00741C6F" w:rsidP="00551376">
      <w:pPr>
        <w:spacing w:line="360" w:lineRule="auto"/>
        <w:jc w:val="both"/>
        <w:rPr>
          <w:sz w:val="28"/>
          <w:szCs w:val="28"/>
          <w:lang w:bidi="he-IL"/>
        </w:rPr>
      </w:pPr>
      <w:r w:rsidRPr="00A01FC2">
        <w:rPr>
          <w:sz w:val="28"/>
          <w:szCs w:val="28"/>
          <w:lang w:bidi="he-IL"/>
        </w:rPr>
        <w:t>3.2 Перспективы развития</w:t>
      </w:r>
    </w:p>
    <w:p w:rsidR="00741C6F" w:rsidRPr="00A01FC2" w:rsidRDefault="00741C6F" w:rsidP="00551376">
      <w:pPr>
        <w:spacing w:line="360" w:lineRule="auto"/>
        <w:jc w:val="both"/>
        <w:rPr>
          <w:sz w:val="28"/>
          <w:szCs w:val="28"/>
          <w:lang w:bidi="he-IL"/>
        </w:rPr>
      </w:pPr>
      <w:r w:rsidRPr="00A01FC2">
        <w:rPr>
          <w:sz w:val="28"/>
          <w:szCs w:val="28"/>
          <w:lang w:bidi="he-IL"/>
        </w:rPr>
        <w:t>4.Основные фирмы-производители</w:t>
      </w:r>
    </w:p>
    <w:p w:rsidR="00741C6F" w:rsidRPr="00A01FC2" w:rsidRDefault="00741C6F" w:rsidP="00551376">
      <w:pPr>
        <w:spacing w:line="360" w:lineRule="auto"/>
        <w:jc w:val="both"/>
        <w:rPr>
          <w:rStyle w:val="a7"/>
          <w:b w:val="0"/>
          <w:sz w:val="28"/>
          <w:szCs w:val="28"/>
        </w:rPr>
      </w:pPr>
      <w:r w:rsidRPr="00A01FC2">
        <w:rPr>
          <w:sz w:val="28"/>
          <w:szCs w:val="28"/>
          <w:lang w:bidi="he-IL"/>
        </w:rPr>
        <w:t>4.1</w:t>
      </w:r>
      <w:r w:rsidRPr="00A01FC2">
        <w:rPr>
          <w:b/>
          <w:sz w:val="28"/>
          <w:szCs w:val="28"/>
          <w:lang w:bidi="he-IL"/>
        </w:rPr>
        <w:t xml:space="preserve"> </w:t>
      </w:r>
      <w:r w:rsidR="00930086" w:rsidRPr="00A01FC2">
        <w:rPr>
          <w:b/>
          <w:sz w:val="28"/>
          <w:szCs w:val="28"/>
          <w:lang w:bidi="he-IL"/>
        </w:rPr>
        <w:t>«</w:t>
      </w:r>
      <w:r w:rsidR="00ED4067" w:rsidRPr="00A01FC2">
        <w:rPr>
          <w:rStyle w:val="a7"/>
          <w:b w:val="0"/>
          <w:sz w:val="28"/>
          <w:szCs w:val="28"/>
        </w:rPr>
        <w:t>AstraZeneca</w:t>
      </w:r>
      <w:r w:rsidR="00930086" w:rsidRPr="00A01FC2">
        <w:rPr>
          <w:rStyle w:val="a7"/>
          <w:b w:val="0"/>
          <w:sz w:val="28"/>
          <w:szCs w:val="28"/>
        </w:rPr>
        <w:t>»</w:t>
      </w:r>
    </w:p>
    <w:p w:rsidR="00D71908" w:rsidRPr="00A01FC2" w:rsidRDefault="00930086" w:rsidP="00551376">
      <w:pPr>
        <w:spacing w:line="360" w:lineRule="auto"/>
        <w:jc w:val="both"/>
        <w:rPr>
          <w:sz w:val="28"/>
          <w:szCs w:val="28"/>
        </w:rPr>
      </w:pPr>
      <w:r w:rsidRPr="00A01FC2">
        <w:rPr>
          <w:rStyle w:val="a7"/>
          <w:b w:val="0"/>
          <w:sz w:val="28"/>
          <w:szCs w:val="28"/>
        </w:rPr>
        <w:t>4.2</w:t>
      </w:r>
      <w:r w:rsidR="00D71908" w:rsidRPr="00A01FC2">
        <w:rPr>
          <w:b/>
          <w:sz w:val="28"/>
          <w:szCs w:val="28"/>
        </w:rPr>
        <w:t xml:space="preserve"> </w:t>
      </w:r>
      <w:r w:rsidRPr="00A01FC2">
        <w:rPr>
          <w:sz w:val="28"/>
          <w:szCs w:val="28"/>
        </w:rPr>
        <w:t>«Pharmacia»</w:t>
      </w:r>
    </w:p>
    <w:p w:rsidR="00930086" w:rsidRPr="00A01FC2" w:rsidRDefault="00B77692" w:rsidP="00551376">
      <w:pPr>
        <w:spacing w:line="360" w:lineRule="auto"/>
        <w:jc w:val="both"/>
        <w:rPr>
          <w:sz w:val="28"/>
          <w:szCs w:val="28"/>
        </w:rPr>
      </w:pPr>
      <w:r w:rsidRPr="00A01FC2">
        <w:rPr>
          <w:sz w:val="28"/>
          <w:szCs w:val="28"/>
        </w:rPr>
        <w:t>4.3</w:t>
      </w:r>
      <w:r w:rsidRPr="00A01FC2">
        <w:rPr>
          <w:sz w:val="28"/>
          <w:szCs w:val="28"/>
          <w:lang w:bidi="he-IL"/>
        </w:rPr>
        <w:t xml:space="preserve"> Место шведских </w:t>
      </w:r>
      <w:r w:rsidR="00D26F49" w:rsidRPr="00A01FC2">
        <w:rPr>
          <w:sz w:val="28"/>
          <w:szCs w:val="28"/>
          <w:lang w:bidi="he-IL"/>
        </w:rPr>
        <w:t xml:space="preserve">фармацевтических </w:t>
      </w:r>
      <w:r w:rsidRPr="00A01FC2">
        <w:rPr>
          <w:sz w:val="28"/>
          <w:szCs w:val="28"/>
          <w:lang w:bidi="he-IL"/>
        </w:rPr>
        <w:t>компаний на международном рынке</w:t>
      </w:r>
    </w:p>
    <w:p w:rsidR="00C87931" w:rsidRPr="00A01FC2" w:rsidRDefault="00C87931" w:rsidP="00551376">
      <w:pPr>
        <w:spacing w:line="360" w:lineRule="auto"/>
        <w:jc w:val="both"/>
        <w:rPr>
          <w:sz w:val="28"/>
          <w:szCs w:val="28"/>
        </w:rPr>
      </w:pPr>
      <w:r w:rsidRPr="00A01FC2">
        <w:rPr>
          <w:sz w:val="28"/>
          <w:szCs w:val="28"/>
        </w:rPr>
        <w:t xml:space="preserve">5 </w:t>
      </w:r>
      <w:r w:rsidRPr="00A01FC2">
        <w:rPr>
          <w:sz w:val="28"/>
          <w:szCs w:val="28"/>
          <w:lang w:val="en-US"/>
        </w:rPr>
        <w:t>Step</w:t>
      </w:r>
      <w:r w:rsidRPr="00A01FC2">
        <w:rPr>
          <w:sz w:val="28"/>
          <w:szCs w:val="28"/>
        </w:rPr>
        <w:t>-анализ</w:t>
      </w:r>
      <w:r w:rsidRPr="00A01FC2">
        <w:rPr>
          <w:sz w:val="28"/>
          <w:szCs w:val="28"/>
          <w:lang w:bidi="he-IL"/>
        </w:rPr>
        <w:t xml:space="preserve"> фармацевтического рынка Швеции</w:t>
      </w:r>
    </w:p>
    <w:p w:rsidR="005C4A15" w:rsidRPr="00A01FC2" w:rsidRDefault="005B4969" w:rsidP="00551376">
      <w:pPr>
        <w:spacing w:line="360" w:lineRule="auto"/>
        <w:jc w:val="both"/>
        <w:rPr>
          <w:sz w:val="28"/>
          <w:szCs w:val="28"/>
        </w:rPr>
      </w:pPr>
      <w:r w:rsidRPr="00A01FC2">
        <w:rPr>
          <w:sz w:val="28"/>
          <w:szCs w:val="28"/>
        </w:rPr>
        <w:t>Заключение</w:t>
      </w:r>
    </w:p>
    <w:p w:rsidR="005C4A15" w:rsidRPr="00A01FC2" w:rsidRDefault="005B4969" w:rsidP="00551376">
      <w:pPr>
        <w:spacing w:line="360" w:lineRule="auto"/>
        <w:jc w:val="both"/>
        <w:rPr>
          <w:sz w:val="28"/>
          <w:szCs w:val="28"/>
        </w:rPr>
      </w:pPr>
      <w:r w:rsidRPr="00A01FC2">
        <w:rPr>
          <w:sz w:val="28"/>
          <w:szCs w:val="28"/>
        </w:rPr>
        <w:t>Список используемой литературы</w:t>
      </w:r>
    </w:p>
    <w:p w:rsidR="005C4A15" w:rsidRPr="00A01FC2" w:rsidRDefault="005C4A15" w:rsidP="00D71908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930E30" w:rsidRPr="00A01FC2" w:rsidRDefault="00D71908" w:rsidP="00D71908">
      <w:pPr>
        <w:spacing w:line="360" w:lineRule="auto"/>
        <w:ind w:firstLine="709"/>
        <w:jc w:val="both"/>
        <w:rPr>
          <w:sz w:val="28"/>
          <w:szCs w:val="28"/>
        </w:rPr>
      </w:pPr>
      <w:r w:rsidRPr="00A01FC2">
        <w:rPr>
          <w:b/>
          <w:sz w:val="28"/>
          <w:szCs w:val="28"/>
        </w:rPr>
        <w:br w:type="page"/>
      </w:r>
      <w:r w:rsidR="00930E30" w:rsidRPr="00A01FC2">
        <w:rPr>
          <w:b/>
          <w:sz w:val="28"/>
          <w:szCs w:val="28"/>
        </w:rPr>
        <w:t>Введение</w:t>
      </w:r>
    </w:p>
    <w:p w:rsidR="00ED4067" w:rsidRPr="00A01FC2" w:rsidRDefault="00ED4067" w:rsidP="00D71908">
      <w:pPr>
        <w:spacing w:line="360" w:lineRule="auto"/>
        <w:ind w:firstLine="709"/>
        <w:jc w:val="both"/>
        <w:rPr>
          <w:bCs/>
          <w:iCs/>
          <w:sz w:val="28"/>
          <w:szCs w:val="28"/>
        </w:rPr>
      </w:pPr>
    </w:p>
    <w:p w:rsidR="00221B6A" w:rsidRPr="00A01FC2" w:rsidRDefault="009816EA" w:rsidP="00D71908">
      <w:pPr>
        <w:spacing w:line="360" w:lineRule="auto"/>
        <w:ind w:firstLine="709"/>
        <w:jc w:val="both"/>
        <w:rPr>
          <w:sz w:val="28"/>
          <w:szCs w:val="28"/>
        </w:rPr>
      </w:pPr>
      <w:r w:rsidRPr="00A01FC2">
        <w:rPr>
          <w:bCs/>
          <w:iCs/>
          <w:sz w:val="28"/>
          <w:szCs w:val="28"/>
        </w:rPr>
        <w:t>В фармрейтингах Business Monitor International (BMI</w:t>
      </w:r>
      <w:r w:rsidRPr="00A01FC2">
        <w:rPr>
          <w:b/>
          <w:bCs/>
          <w:iCs/>
          <w:sz w:val="28"/>
          <w:szCs w:val="28"/>
        </w:rPr>
        <w:t>)</w:t>
      </w:r>
      <w:r w:rsidRPr="00A01FC2">
        <w:rPr>
          <w:sz w:val="28"/>
          <w:szCs w:val="28"/>
        </w:rPr>
        <w:t xml:space="preserve"> рассматривает Швецию, как один из самых привлекательных для фармкомпаний рынков в мире, а не только в своем регионе. Так же в последние годы фармком</w:t>
      </w:r>
      <w:r w:rsidR="009B38CB" w:rsidRPr="00A01FC2">
        <w:rPr>
          <w:sz w:val="28"/>
          <w:szCs w:val="28"/>
        </w:rPr>
        <w:t xml:space="preserve">пании </w:t>
      </w:r>
      <w:r w:rsidR="00E04751" w:rsidRPr="00A01FC2">
        <w:rPr>
          <w:sz w:val="28"/>
          <w:szCs w:val="28"/>
        </w:rPr>
        <w:t>Швеции</w:t>
      </w:r>
      <w:r w:rsidR="009B38CB" w:rsidRPr="00A01FC2">
        <w:rPr>
          <w:sz w:val="28"/>
          <w:szCs w:val="28"/>
        </w:rPr>
        <w:t xml:space="preserve"> все больше расширяют свои представительства в России.</w:t>
      </w:r>
      <w:r w:rsidRPr="00A01FC2">
        <w:rPr>
          <w:sz w:val="28"/>
          <w:szCs w:val="28"/>
        </w:rPr>
        <w:t xml:space="preserve"> </w:t>
      </w:r>
      <w:r w:rsidR="009B38CB" w:rsidRPr="00A01FC2">
        <w:rPr>
          <w:sz w:val="28"/>
          <w:szCs w:val="28"/>
        </w:rPr>
        <w:t>Например</w:t>
      </w:r>
      <w:r w:rsidR="00426786" w:rsidRPr="00A01FC2">
        <w:rPr>
          <w:sz w:val="28"/>
          <w:szCs w:val="28"/>
        </w:rPr>
        <w:t>,</w:t>
      </w:r>
      <w:r w:rsidR="009B38CB" w:rsidRPr="00A01FC2">
        <w:rPr>
          <w:sz w:val="28"/>
          <w:szCs w:val="28"/>
        </w:rPr>
        <w:t xml:space="preserve"> в </w:t>
      </w:r>
      <w:smartTag w:uri="urn:schemas-microsoft-com:office:smarttags" w:element="metricconverter">
        <w:smartTagPr>
          <w:attr w:name="ProductID" w:val="2005 г"/>
        </w:smartTagPr>
        <w:r w:rsidR="009B38CB" w:rsidRPr="00A01FC2">
          <w:rPr>
            <w:sz w:val="28"/>
            <w:szCs w:val="28"/>
          </w:rPr>
          <w:t>2005 г</w:t>
        </w:r>
      </w:smartTag>
      <w:r w:rsidR="009B38CB" w:rsidRPr="00A01FC2">
        <w:rPr>
          <w:sz w:val="28"/>
          <w:szCs w:val="28"/>
        </w:rPr>
        <w:t>. Россия признана одной из 9 стран, приоритетных для развития деятельности крупнейшей фармацевтической Шведской компании AstraZeneca на ближайшие десятилетия.</w:t>
      </w:r>
      <w:r w:rsidR="00C154A9" w:rsidRPr="00A01FC2">
        <w:rPr>
          <w:sz w:val="28"/>
          <w:szCs w:val="28"/>
        </w:rPr>
        <w:t>[</w:t>
      </w:r>
      <w:r w:rsidR="00383EC6" w:rsidRPr="00A01FC2">
        <w:rPr>
          <w:sz w:val="28"/>
          <w:szCs w:val="28"/>
        </w:rPr>
        <w:t>5</w:t>
      </w:r>
      <w:r w:rsidR="00C154A9" w:rsidRPr="00A01FC2">
        <w:rPr>
          <w:sz w:val="28"/>
          <w:szCs w:val="28"/>
        </w:rPr>
        <w:t>]</w:t>
      </w:r>
    </w:p>
    <w:p w:rsidR="00EF66AF" w:rsidRPr="00A01FC2" w:rsidRDefault="009B38CB" w:rsidP="00D71908">
      <w:pPr>
        <w:spacing w:line="360" w:lineRule="auto"/>
        <w:ind w:firstLine="709"/>
        <w:jc w:val="both"/>
        <w:rPr>
          <w:sz w:val="28"/>
          <w:szCs w:val="28"/>
        </w:rPr>
      </w:pPr>
      <w:r w:rsidRPr="00A01FC2">
        <w:rPr>
          <w:sz w:val="28"/>
          <w:szCs w:val="28"/>
        </w:rPr>
        <w:t>Тема успешного развития как шведской</w:t>
      </w:r>
      <w:r w:rsidR="00195FB4" w:rsidRPr="00A01FC2">
        <w:rPr>
          <w:sz w:val="28"/>
          <w:szCs w:val="28"/>
        </w:rPr>
        <w:t xml:space="preserve"> фармпромышленности так и экономики в целом очень интересна и актуальна.</w:t>
      </w:r>
    </w:p>
    <w:p w:rsidR="009B38CB" w:rsidRPr="00A01FC2" w:rsidRDefault="00EF66AF" w:rsidP="00D71908">
      <w:pPr>
        <w:spacing w:line="360" w:lineRule="auto"/>
        <w:ind w:firstLine="709"/>
        <w:jc w:val="both"/>
        <w:rPr>
          <w:sz w:val="28"/>
          <w:szCs w:val="28"/>
        </w:rPr>
      </w:pPr>
      <w:r w:rsidRPr="00A01FC2">
        <w:rPr>
          <w:sz w:val="28"/>
          <w:szCs w:val="28"/>
        </w:rPr>
        <w:t>Целью нашей работы является провести маркетинговое исследование фармацевтического рынка Швеции.</w:t>
      </w:r>
    </w:p>
    <w:p w:rsidR="00EF66AF" w:rsidRPr="00A01FC2" w:rsidRDefault="00EF66AF" w:rsidP="00D71908">
      <w:pPr>
        <w:spacing w:line="360" w:lineRule="auto"/>
        <w:ind w:firstLine="709"/>
        <w:jc w:val="both"/>
        <w:rPr>
          <w:sz w:val="28"/>
          <w:szCs w:val="28"/>
        </w:rPr>
      </w:pPr>
      <w:r w:rsidRPr="00A01FC2">
        <w:rPr>
          <w:sz w:val="28"/>
          <w:szCs w:val="28"/>
        </w:rPr>
        <w:t xml:space="preserve">В нашем исследовании мы намерены решить </w:t>
      </w:r>
      <w:r w:rsidR="00E04751" w:rsidRPr="00A01FC2">
        <w:rPr>
          <w:sz w:val="28"/>
          <w:szCs w:val="28"/>
        </w:rPr>
        <w:t>следующие</w:t>
      </w:r>
      <w:r w:rsidRPr="00A01FC2">
        <w:rPr>
          <w:sz w:val="28"/>
          <w:szCs w:val="28"/>
        </w:rPr>
        <w:t xml:space="preserve"> задачи:</w:t>
      </w:r>
    </w:p>
    <w:p w:rsidR="00EF66AF" w:rsidRPr="00A01FC2" w:rsidRDefault="00EF66AF" w:rsidP="00D71908">
      <w:pPr>
        <w:spacing w:line="360" w:lineRule="auto"/>
        <w:ind w:firstLine="709"/>
        <w:jc w:val="both"/>
        <w:rPr>
          <w:sz w:val="28"/>
          <w:szCs w:val="28"/>
        </w:rPr>
      </w:pPr>
      <w:r w:rsidRPr="00A01FC2">
        <w:rPr>
          <w:sz w:val="28"/>
          <w:szCs w:val="28"/>
        </w:rPr>
        <w:t xml:space="preserve">1) </w:t>
      </w:r>
      <w:r w:rsidR="00E04751" w:rsidRPr="00A01FC2">
        <w:rPr>
          <w:sz w:val="28"/>
          <w:szCs w:val="28"/>
        </w:rPr>
        <w:t>Провести</w:t>
      </w:r>
      <w:r w:rsidRPr="00A01FC2">
        <w:rPr>
          <w:sz w:val="28"/>
          <w:szCs w:val="28"/>
        </w:rPr>
        <w:t xml:space="preserve"> анализ литературных </w:t>
      </w:r>
      <w:r w:rsidR="00426786" w:rsidRPr="00A01FC2">
        <w:rPr>
          <w:sz w:val="28"/>
          <w:szCs w:val="28"/>
        </w:rPr>
        <w:t>источников о фармацевтическом рынке Швеции</w:t>
      </w:r>
    </w:p>
    <w:p w:rsidR="00EF66AF" w:rsidRPr="00A01FC2" w:rsidRDefault="00EF66AF" w:rsidP="00D71908">
      <w:pPr>
        <w:spacing w:line="360" w:lineRule="auto"/>
        <w:ind w:firstLine="709"/>
        <w:jc w:val="both"/>
        <w:rPr>
          <w:sz w:val="28"/>
          <w:szCs w:val="28"/>
        </w:rPr>
      </w:pPr>
      <w:r w:rsidRPr="00A01FC2">
        <w:rPr>
          <w:sz w:val="28"/>
          <w:szCs w:val="28"/>
        </w:rPr>
        <w:t>2)</w:t>
      </w:r>
      <w:r w:rsidR="00930086" w:rsidRPr="00A01FC2">
        <w:rPr>
          <w:sz w:val="28"/>
          <w:szCs w:val="28"/>
        </w:rPr>
        <w:t xml:space="preserve"> </w:t>
      </w:r>
      <w:r w:rsidR="00426786" w:rsidRPr="00A01FC2">
        <w:rPr>
          <w:sz w:val="28"/>
          <w:szCs w:val="28"/>
        </w:rPr>
        <w:t>П</w:t>
      </w:r>
      <w:r w:rsidRPr="00A01FC2">
        <w:rPr>
          <w:sz w:val="28"/>
          <w:szCs w:val="28"/>
        </w:rPr>
        <w:t>рове</w:t>
      </w:r>
      <w:r w:rsidR="00426786" w:rsidRPr="00A01FC2">
        <w:rPr>
          <w:sz w:val="28"/>
          <w:szCs w:val="28"/>
        </w:rPr>
        <w:t>дение</w:t>
      </w:r>
      <w:r w:rsidRPr="00A01FC2">
        <w:rPr>
          <w:sz w:val="28"/>
          <w:szCs w:val="28"/>
        </w:rPr>
        <w:t xml:space="preserve"> </w:t>
      </w:r>
      <w:r w:rsidRPr="00A01FC2">
        <w:rPr>
          <w:sz w:val="28"/>
          <w:szCs w:val="28"/>
          <w:lang w:val="en-US"/>
        </w:rPr>
        <w:t>STEP</w:t>
      </w:r>
      <w:r w:rsidRPr="00A01FC2">
        <w:rPr>
          <w:sz w:val="28"/>
          <w:szCs w:val="28"/>
        </w:rPr>
        <w:t>-анализ</w:t>
      </w:r>
      <w:r w:rsidR="00426786" w:rsidRPr="00A01FC2">
        <w:rPr>
          <w:sz w:val="28"/>
          <w:szCs w:val="28"/>
        </w:rPr>
        <w:t>а</w:t>
      </w:r>
      <w:r w:rsidRPr="00A01FC2">
        <w:rPr>
          <w:sz w:val="28"/>
          <w:szCs w:val="28"/>
        </w:rPr>
        <w:t xml:space="preserve"> фармацевтического рынка Швеции.</w:t>
      </w:r>
    </w:p>
    <w:p w:rsidR="00E04751" w:rsidRPr="00B764B7" w:rsidRDefault="00B764B7" w:rsidP="00D71908">
      <w:pPr>
        <w:spacing w:line="360" w:lineRule="auto"/>
        <w:ind w:firstLine="709"/>
        <w:jc w:val="both"/>
        <w:rPr>
          <w:color w:val="FFFFFF"/>
          <w:sz w:val="28"/>
          <w:szCs w:val="28"/>
          <w:lang w:bidi="he-IL"/>
        </w:rPr>
      </w:pPr>
      <w:r w:rsidRPr="00B764B7">
        <w:rPr>
          <w:color w:val="FFFFFF"/>
          <w:sz w:val="28"/>
          <w:szCs w:val="28"/>
          <w:lang w:bidi="he-IL"/>
        </w:rPr>
        <w:t>швеция фармацевтический рынок маркетинговая политика</w:t>
      </w:r>
    </w:p>
    <w:p w:rsidR="00BA73AE" w:rsidRPr="00A01FC2" w:rsidRDefault="00426786" w:rsidP="00D71908">
      <w:pPr>
        <w:numPr>
          <w:ilvl w:val="0"/>
          <w:numId w:val="14"/>
        </w:numPr>
        <w:spacing w:line="360" w:lineRule="auto"/>
        <w:ind w:left="0" w:firstLine="709"/>
        <w:jc w:val="both"/>
        <w:rPr>
          <w:b/>
          <w:sz w:val="28"/>
          <w:szCs w:val="28"/>
          <w:lang w:bidi="he-IL"/>
        </w:rPr>
      </w:pPr>
      <w:r w:rsidRPr="00A01FC2">
        <w:rPr>
          <w:b/>
          <w:sz w:val="28"/>
          <w:szCs w:val="28"/>
          <w:highlight w:val="lightGray"/>
          <w:lang w:bidi="he-IL"/>
        </w:rPr>
        <w:br w:type="page"/>
      </w:r>
      <w:r w:rsidR="00C2139A" w:rsidRPr="00A01FC2">
        <w:rPr>
          <w:b/>
          <w:sz w:val="28"/>
          <w:szCs w:val="28"/>
          <w:lang w:bidi="he-IL"/>
        </w:rPr>
        <w:t>Общая характеристика экономического положения</w:t>
      </w:r>
      <w:r w:rsidR="00BA73AE" w:rsidRPr="00A01FC2">
        <w:rPr>
          <w:b/>
          <w:sz w:val="28"/>
          <w:szCs w:val="28"/>
          <w:lang w:bidi="he-IL"/>
        </w:rPr>
        <w:t xml:space="preserve"> страны</w:t>
      </w:r>
    </w:p>
    <w:p w:rsidR="00930086" w:rsidRPr="00A01FC2" w:rsidRDefault="00930086" w:rsidP="00D71908">
      <w:pPr>
        <w:spacing w:line="360" w:lineRule="auto"/>
        <w:ind w:firstLine="709"/>
        <w:jc w:val="both"/>
        <w:rPr>
          <w:sz w:val="28"/>
          <w:szCs w:val="28"/>
        </w:rPr>
      </w:pPr>
    </w:p>
    <w:p w:rsidR="00D71908" w:rsidRPr="00A01FC2" w:rsidRDefault="001B6495" w:rsidP="00D71908">
      <w:pPr>
        <w:spacing w:line="360" w:lineRule="auto"/>
        <w:ind w:firstLine="709"/>
        <w:jc w:val="both"/>
        <w:rPr>
          <w:sz w:val="28"/>
          <w:szCs w:val="28"/>
        </w:rPr>
      </w:pPr>
      <w:r w:rsidRPr="00A01FC2">
        <w:rPr>
          <w:sz w:val="28"/>
          <w:szCs w:val="28"/>
        </w:rPr>
        <w:t>По территории, составляющей 450 тыс</w:t>
      </w:r>
      <w:r w:rsidR="00EF66AF" w:rsidRPr="00A01FC2">
        <w:rPr>
          <w:sz w:val="28"/>
          <w:szCs w:val="28"/>
        </w:rPr>
        <w:t xml:space="preserve">яч </w:t>
      </w:r>
      <w:r w:rsidRPr="00A01FC2">
        <w:rPr>
          <w:sz w:val="28"/>
          <w:szCs w:val="28"/>
        </w:rPr>
        <w:t>км</w:t>
      </w:r>
      <w:r w:rsidR="00EF66AF" w:rsidRPr="00A01FC2">
        <w:rPr>
          <w:sz w:val="28"/>
          <w:szCs w:val="28"/>
          <w:vertAlign w:val="superscript"/>
        </w:rPr>
        <w:t>2</w:t>
      </w:r>
      <w:r w:rsidRPr="00A01FC2">
        <w:rPr>
          <w:sz w:val="28"/>
          <w:szCs w:val="28"/>
        </w:rPr>
        <w:t xml:space="preserve"> </w:t>
      </w:r>
      <w:r w:rsidR="00EF66AF" w:rsidRPr="00A01FC2">
        <w:rPr>
          <w:sz w:val="28"/>
          <w:szCs w:val="28"/>
        </w:rPr>
        <w:t>,</w:t>
      </w:r>
      <w:r w:rsidRPr="00A01FC2">
        <w:rPr>
          <w:sz w:val="28"/>
          <w:szCs w:val="28"/>
        </w:rPr>
        <w:t xml:space="preserve">Швеция является одной из крупнейших стран Западной Европы. Однако плотность ее населения относительно низкая. В </w:t>
      </w:r>
      <w:smartTag w:uri="urn:schemas-microsoft-com:office:smarttags" w:element="metricconverter">
        <w:smartTagPr>
          <w:attr w:name="ProductID" w:val="1996 г"/>
        </w:smartTagPr>
        <w:r w:rsidRPr="00A01FC2">
          <w:rPr>
            <w:sz w:val="28"/>
            <w:szCs w:val="28"/>
          </w:rPr>
          <w:t>1996 г</w:t>
        </w:r>
      </w:smartTag>
      <w:r w:rsidRPr="00A01FC2">
        <w:rPr>
          <w:sz w:val="28"/>
          <w:szCs w:val="28"/>
        </w:rPr>
        <w:t xml:space="preserve">. в Швеции проживало 8,8 млн. человек. Подобно другим относительно малым промышленно развитым странам Швеция очень зависит от внешней торговли для сохранения своей высокой производительности труда и уровня жизни. </w:t>
      </w:r>
      <w:r w:rsidR="00690D31" w:rsidRPr="00A01FC2">
        <w:rPr>
          <w:sz w:val="28"/>
          <w:szCs w:val="28"/>
        </w:rPr>
        <w:t xml:space="preserve">На внешнем рынке реализуется около 25% валового национального продукта и более 30% промышленных товаров. Страна сильно зависит от импорта, за счет которого покрывается до 25% потребностей Швеции в товарах и услугах. Это может быть объяснено процессами интеграции, происходящими в Европе. </w:t>
      </w:r>
      <w:r w:rsidRPr="00A01FC2">
        <w:rPr>
          <w:sz w:val="28"/>
          <w:szCs w:val="28"/>
        </w:rPr>
        <w:t xml:space="preserve">Наиболее важные экспортные рынки находятся в Западной Европе. Более половины шведского экспорта направляется в Европейский Союз (ЕС). Важное значение имеют также соседние северные страны Финляндия и Норвегия. Хотя в этих странах, а также Дании население в сумме составляет лишь 14 -15 млн. человек, на них приходится почти одна пятая часть экспорта Швеции. </w:t>
      </w:r>
    </w:p>
    <w:p w:rsidR="005B4969" w:rsidRPr="00A01FC2" w:rsidRDefault="001B6495" w:rsidP="00D71908">
      <w:pPr>
        <w:spacing w:line="360" w:lineRule="auto"/>
        <w:ind w:firstLine="709"/>
        <w:jc w:val="both"/>
        <w:rPr>
          <w:sz w:val="28"/>
          <w:szCs w:val="28"/>
        </w:rPr>
      </w:pPr>
      <w:r w:rsidRPr="00A01FC2">
        <w:rPr>
          <w:sz w:val="28"/>
          <w:szCs w:val="28"/>
        </w:rPr>
        <w:t>Хотя Швеция является относительно малой страной, ее экономика в большой степени диверсифицирована. Традиционные отрасли, базирующиеся на двух наиболее важных сырьевых ресурсах - железной руде и лесе, по-прежнему играют важную роль, однако возросло значение машиностроения и различных высокотехнологичных секторов. Мало других стран размером со Швецию имеют свое собственное авиастроение и ядерную энергетику, а также две национальные автомобилестроительные компании, развитую отрасль по производству вооружений, телекоммуникационную отрасль с высоким уровнем технологии и две крупные фармацевтические группы.</w:t>
      </w:r>
      <w:r w:rsidR="00690D31" w:rsidRPr="00A01FC2">
        <w:rPr>
          <w:sz w:val="28"/>
          <w:szCs w:val="28"/>
        </w:rPr>
        <w:t xml:space="preserve"> Экономике страны свойственна высокая степень концентрации производства и капитала. В ведущих отраслях промышленности, судоходстве, банковском деле преобладают крупные концерны, такие как “СКФ”, “АСЕА”, “Эриксон”, “Электролюкс”, “СААБ-Скания”, “Вольво”. Эти и многие другие фирмы находятся в тесной связи с крупными банками. Монополизация экономики очень высока в Швеции. Особенностью является и сосредоточение крупных капиталов в руках отдельных семейств.</w:t>
      </w:r>
    </w:p>
    <w:p w:rsidR="005B4969" w:rsidRPr="00A01FC2" w:rsidRDefault="00690D31" w:rsidP="00D71908">
      <w:pPr>
        <w:spacing w:line="360" w:lineRule="auto"/>
        <w:ind w:firstLine="709"/>
        <w:jc w:val="both"/>
        <w:rPr>
          <w:sz w:val="28"/>
          <w:szCs w:val="28"/>
        </w:rPr>
      </w:pPr>
      <w:r w:rsidRPr="00A01FC2">
        <w:rPr>
          <w:sz w:val="28"/>
          <w:szCs w:val="28"/>
        </w:rPr>
        <w:t>Существующая в Швеции экономическая сист</w:t>
      </w:r>
      <w:r w:rsidR="005B4969" w:rsidRPr="00A01FC2">
        <w:rPr>
          <w:sz w:val="28"/>
          <w:szCs w:val="28"/>
        </w:rPr>
        <w:t xml:space="preserve">ема обычно характеризуется как </w:t>
      </w:r>
      <w:r w:rsidRPr="00A01FC2">
        <w:rPr>
          <w:sz w:val="28"/>
          <w:szCs w:val="28"/>
        </w:rPr>
        <w:t>смешанная экономика, соединяющая основные формы собственности: частную,</w:t>
      </w:r>
      <w:r w:rsidR="005B4969" w:rsidRPr="00A01FC2">
        <w:rPr>
          <w:sz w:val="28"/>
          <w:szCs w:val="28"/>
        </w:rPr>
        <w:t xml:space="preserve"> государственную, кооперативную</w:t>
      </w:r>
      <w:r w:rsidRPr="00A01FC2">
        <w:rPr>
          <w:sz w:val="28"/>
          <w:szCs w:val="28"/>
        </w:rPr>
        <w:t>. Около 85% всех шведских компаний с числом занятых свыше 50 человек принадлежат частному капиталу. Остальная часть приходится на государство и кооперативы. Государственный сектор расширяется, а доля кооперативного почти не меняется с 1965 года.</w:t>
      </w:r>
    </w:p>
    <w:p w:rsidR="00690D31" w:rsidRPr="00A01FC2" w:rsidRDefault="00690D31" w:rsidP="00D71908">
      <w:pPr>
        <w:spacing w:line="360" w:lineRule="auto"/>
        <w:ind w:firstLine="709"/>
        <w:jc w:val="both"/>
        <w:rPr>
          <w:sz w:val="28"/>
          <w:szCs w:val="28"/>
        </w:rPr>
      </w:pPr>
      <w:r w:rsidRPr="00A01FC2">
        <w:rPr>
          <w:sz w:val="28"/>
          <w:szCs w:val="28"/>
        </w:rPr>
        <w:t>Шведский государственный сектор наиболее развит в сфере услуг. В социальных услугах, составляющих половину сферы услуг, доля государства — 92%, в том числе в здравоохранении — 91,9%, в образовании — 88,7%, в социальном страховании — 98,2% (по данным 1982 года). В целом же по статистике на государство приходится 49% занятых в секторе услуг, а с учетом государственных компаний — 56%.</w:t>
      </w:r>
    </w:p>
    <w:p w:rsidR="00D71908" w:rsidRPr="00A01FC2" w:rsidRDefault="001B6495" w:rsidP="00D71908">
      <w:pPr>
        <w:spacing w:line="360" w:lineRule="auto"/>
        <w:ind w:firstLine="709"/>
        <w:jc w:val="both"/>
        <w:rPr>
          <w:sz w:val="28"/>
          <w:szCs w:val="28"/>
        </w:rPr>
      </w:pPr>
      <w:r w:rsidRPr="00A01FC2">
        <w:rPr>
          <w:sz w:val="28"/>
          <w:szCs w:val="28"/>
        </w:rPr>
        <w:t>Термин “шведская модель” возник в связи со становлением Швеции как одного из самых развитых в социально-экономическом отношении государств. Он появился в конце 60-х годов, когда иностранные наблюдатели стали отмечать успешное сочетание в Швеции быстрого экономического роста с обширной политикой реформ на фоне относительной социальной бесконфликтности в обществе.</w:t>
      </w:r>
    </w:p>
    <w:p w:rsidR="00D71908" w:rsidRPr="00A01FC2" w:rsidRDefault="001B6495" w:rsidP="00D71908">
      <w:pPr>
        <w:spacing w:line="360" w:lineRule="auto"/>
        <w:ind w:firstLine="709"/>
        <w:jc w:val="both"/>
        <w:rPr>
          <w:sz w:val="28"/>
          <w:szCs w:val="28"/>
        </w:rPr>
      </w:pPr>
      <w:r w:rsidRPr="00A01FC2">
        <w:rPr>
          <w:sz w:val="28"/>
          <w:szCs w:val="28"/>
        </w:rPr>
        <w:t>Сейчас этот термин используется в различных значениях и имеет разный смысл в зависимости от того, что в него вкладывается. Некоторые отмечают смешанный характер шведской экономики, сочетающей рыночные отношения и государственное регулирование, преобладающую частную собственность в сфере производства и обобществление потребления.</w:t>
      </w:r>
    </w:p>
    <w:p w:rsidR="00D71908" w:rsidRPr="00A01FC2" w:rsidRDefault="001B6495" w:rsidP="00D71908">
      <w:pPr>
        <w:spacing w:line="360" w:lineRule="auto"/>
        <w:ind w:firstLine="709"/>
        <w:jc w:val="both"/>
        <w:rPr>
          <w:sz w:val="28"/>
          <w:szCs w:val="28"/>
        </w:rPr>
      </w:pPr>
      <w:r w:rsidRPr="00A01FC2">
        <w:rPr>
          <w:sz w:val="28"/>
          <w:szCs w:val="28"/>
        </w:rPr>
        <w:t>Другая характерная черта послевоенной Швеции - специфика отношений между трудом и капиталом на рынке труда. На протяжении многих десятилетий важной частью шведской действительности была централизованная система переговоров о заключении коллективных договоров в области заработной платы с участием мощных организаций профсоюзов и предпринимателей в качестве главных действующих лиц, причем политика профсоюзов основывалась на принципах солидарности между различными группами трудящихся.</w:t>
      </w:r>
    </w:p>
    <w:p w:rsidR="007C38E3" w:rsidRPr="00A01FC2" w:rsidRDefault="001B6495" w:rsidP="00D71908">
      <w:pPr>
        <w:spacing w:line="360" w:lineRule="auto"/>
        <w:ind w:firstLine="709"/>
        <w:jc w:val="both"/>
        <w:rPr>
          <w:sz w:val="28"/>
          <w:szCs w:val="28"/>
        </w:rPr>
      </w:pPr>
      <w:r w:rsidRPr="00A01FC2">
        <w:rPr>
          <w:sz w:val="28"/>
          <w:szCs w:val="28"/>
        </w:rPr>
        <w:t>Еще один способ определения шведской модели исходит из того, что в шведской политике явно выделяются две доминирующие цели</w:t>
      </w:r>
      <w:r w:rsidR="00E04751" w:rsidRPr="00A01FC2">
        <w:rPr>
          <w:sz w:val="28"/>
          <w:szCs w:val="28"/>
        </w:rPr>
        <w:t>:</w:t>
      </w:r>
      <w:r w:rsidRPr="00A01FC2">
        <w:rPr>
          <w:sz w:val="28"/>
          <w:szCs w:val="28"/>
        </w:rPr>
        <w:t xml:space="preserve"> полная занятость и выравнивание доходов, что и определяет методы экономической политики. Активная политика на высокоразвитом рынке труда и исключительно большой государственный сектор (при этом имеется в виду прежде всего сфера перераспределения, а не государственная собственность) рассматриваются как результаты этой политики.</w:t>
      </w:r>
    </w:p>
    <w:p w:rsidR="007C38E3" w:rsidRPr="00A01FC2" w:rsidRDefault="001B6495" w:rsidP="00D71908">
      <w:pPr>
        <w:spacing w:line="360" w:lineRule="auto"/>
        <w:ind w:firstLine="709"/>
        <w:jc w:val="both"/>
        <w:rPr>
          <w:sz w:val="28"/>
          <w:szCs w:val="28"/>
        </w:rPr>
      </w:pPr>
      <w:r w:rsidRPr="00A01FC2">
        <w:rPr>
          <w:sz w:val="28"/>
          <w:szCs w:val="28"/>
        </w:rPr>
        <w:t xml:space="preserve">На экономическое </w:t>
      </w:r>
      <w:r w:rsidR="00E04751" w:rsidRPr="00A01FC2">
        <w:rPr>
          <w:sz w:val="28"/>
          <w:szCs w:val="28"/>
        </w:rPr>
        <w:t>развитие</w:t>
      </w:r>
      <w:r w:rsidRPr="00A01FC2">
        <w:rPr>
          <w:sz w:val="28"/>
          <w:szCs w:val="28"/>
        </w:rPr>
        <w:t xml:space="preserve"> определенное влияние оказали культура и исторические предпосылки. Неотъемлемой частью шведских традиций является предпринимательство. Еще со времен викингов в Швеции известны предприятия по производству оружия и драгоценностей</w:t>
      </w:r>
      <w:r w:rsidR="006920AA" w:rsidRPr="00A01FC2">
        <w:rPr>
          <w:sz w:val="28"/>
          <w:szCs w:val="28"/>
        </w:rPr>
        <w:t>.</w:t>
      </w:r>
    </w:p>
    <w:p w:rsidR="0070556E" w:rsidRPr="00A01FC2" w:rsidRDefault="001B6495" w:rsidP="00D71908">
      <w:pPr>
        <w:spacing w:line="360" w:lineRule="auto"/>
        <w:ind w:firstLine="709"/>
        <w:jc w:val="both"/>
        <w:rPr>
          <w:sz w:val="28"/>
          <w:szCs w:val="28"/>
        </w:rPr>
      </w:pPr>
      <w:r w:rsidRPr="00A01FC2">
        <w:rPr>
          <w:sz w:val="28"/>
          <w:szCs w:val="28"/>
        </w:rPr>
        <w:t xml:space="preserve">Успешное функционирование экономической системы зависит от динамики цен, конкурентоспособности шведской промышленности и экономического роста. В частности, инфляция - угроза как равенству, так и конкурентоспособности шведской экономики. Следовательно, должны использоваться такие методы поддержания полной занятости, которые не приводят к инфляции и отрицательному воздействию на экономику. Как показала практика, дилемма между безработицей и инфляцией явилась ахиллесовой пятой шведской модели.Продолжающийся с </w:t>
      </w:r>
      <w:smartTag w:uri="urn:schemas-microsoft-com:office:smarttags" w:element="metricconverter">
        <w:smartTagPr>
          <w:attr w:name="ProductID" w:val="1983 г"/>
        </w:smartTagPr>
        <w:r w:rsidRPr="00A01FC2">
          <w:rPr>
            <w:sz w:val="28"/>
            <w:szCs w:val="28"/>
          </w:rPr>
          <w:t>1983 г</w:t>
        </w:r>
      </w:smartTag>
      <w:r w:rsidRPr="00A01FC2">
        <w:rPr>
          <w:sz w:val="28"/>
          <w:szCs w:val="28"/>
        </w:rPr>
        <w:t>. непрерывный экономический подъем показал, что шведская модель смогла приспособиться к изменившимся условиям и показала свою жизнеспособность.Шведская модель исходит из положения, что децентрализованная рыночная система производства эффективна, государство не вмешивается в производственную деятельность предприятия, а активная политика на рынке труда должна свести к минимуму социальные издержки рыночной экономики. Смысл состоит в максимальном росте производства частного сектора и как можно большем перераспределении государством части прибыли через налоговую систему и государственный сектор для повышения жизненного уровня населения, но без воздействия на основы производства. При этом упор делается на инфраструктурные элементы и коллективные денежные фонды.</w:t>
      </w:r>
    </w:p>
    <w:p w:rsidR="00D71908" w:rsidRPr="00A01FC2" w:rsidRDefault="0070556E" w:rsidP="00D71908">
      <w:pPr>
        <w:spacing w:line="360" w:lineRule="auto"/>
        <w:ind w:firstLine="709"/>
        <w:jc w:val="both"/>
        <w:rPr>
          <w:sz w:val="28"/>
        </w:rPr>
      </w:pPr>
      <w:r w:rsidRPr="00A01FC2">
        <w:rPr>
          <w:sz w:val="28"/>
        </w:rPr>
        <w:t xml:space="preserve">Наконец, в самом широком смысле шведская модель - это весь комплекс социально-экономических и политических реалий в стране с ее высоким уровнем жизни и широким масштабом социальной политики. </w:t>
      </w:r>
      <w:r w:rsidR="00C154A9" w:rsidRPr="00A01FC2">
        <w:rPr>
          <w:sz w:val="28"/>
        </w:rPr>
        <w:t>[</w:t>
      </w:r>
      <w:r w:rsidR="00383EC6" w:rsidRPr="00A01FC2">
        <w:rPr>
          <w:sz w:val="28"/>
        </w:rPr>
        <w:t>10</w:t>
      </w:r>
      <w:r w:rsidR="00C154A9" w:rsidRPr="00A01FC2">
        <w:rPr>
          <w:sz w:val="28"/>
        </w:rPr>
        <w:t>]</w:t>
      </w:r>
    </w:p>
    <w:p w:rsidR="00BA73AE" w:rsidRPr="00A01FC2" w:rsidRDefault="00D71908" w:rsidP="00D71908">
      <w:pPr>
        <w:spacing w:line="360" w:lineRule="auto"/>
        <w:ind w:firstLine="709"/>
        <w:jc w:val="both"/>
        <w:rPr>
          <w:b/>
          <w:sz w:val="28"/>
          <w:lang w:bidi="he-IL"/>
        </w:rPr>
      </w:pPr>
      <w:r w:rsidRPr="00A01FC2">
        <w:rPr>
          <w:sz w:val="28"/>
        </w:rPr>
        <w:br w:type="page"/>
      </w:r>
      <w:r w:rsidRPr="005335F0">
        <w:rPr>
          <w:b/>
          <w:sz w:val="28"/>
        </w:rPr>
        <w:t>2.</w:t>
      </w:r>
      <w:r w:rsidRPr="00A01FC2">
        <w:rPr>
          <w:sz w:val="28"/>
        </w:rPr>
        <w:t xml:space="preserve"> </w:t>
      </w:r>
      <w:r w:rsidR="00BA73AE" w:rsidRPr="00A01FC2">
        <w:rPr>
          <w:b/>
          <w:sz w:val="28"/>
          <w:lang w:bidi="he-IL"/>
        </w:rPr>
        <w:t xml:space="preserve">Система здравоохранения и </w:t>
      </w:r>
      <w:r w:rsidR="00EC3E31" w:rsidRPr="00A01FC2">
        <w:rPr>
          <w:b/>
          <w:sz w:val="28"/>
          <w:lang w:bidi="he-IL"/>
        </w:rPr>
        <w:t>социального обеспечения</w:t>
      </w:r>
      <w:r w:rsidR="00BA73AE" w:rsidRPr="00A01FC2">
        <w:rPr>
          <w:b/>
          <w:sz w:val="28"/>
          <w:lang w:bidi="he-IL"/>
        </w:rPr>
        <w:t xml:space="preserve"> </w:t>
      </w:r>
    </w:p>
    <w:p w:rsidR="00D71908" w:rsidRPr="00A01FC2" w:rsidRDefault="00D71908" w:rsidP="00D7190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D71908" w:rsidRPr="00A01FC2" w:rsidRDefault="001A2941" w:rsidP="00D7190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01FC2">
        <w:rPr>
          <w:sz w:val="28"/>
          <w:szCs w:val="28"/>
        </w:rPr>
        <w:t xml:space="preserve">Шведская система здравоохранения строится на принципе разделения ответственности за охрану здоровья и медицинское обслуживание населения между государством, областными советами (ландстингами) и муниципалитетами. Обязанности ландстингов и муниципалитетов определены Законом об охране здоровья и медицинской помощи. Закон предоставляет им значительную свободу выбора форм работы, тогда как централизующая роль государства сводится к установлению основополагающих принципов и формированию актуальной политики в сфере здравоохранения и медицинского обслуживания. Ответственность за предоставление медицинских услуг населению децентрализована и делегирована ландстингам, а в отдельных случаях – муниципалитетам. Ландстинг – это политический орган, представители в который избираются гражданами Швеции раз в четыре года в связи </w:t>
      </w:r>
      <w:r w:rsidR="00741C6F" w:rsidRPr="00A01FC2">
        <w:rPr>
          <w:sz w:val="28"/>
          <w:szCs w:val="28"/>
        </w:rPr>
        <w:t>с</w:t>
      </w:r>
      <w:r w:rsidRPr="00A01FC2">
        <w:rPr>
          <w:sz w:val="28"/>
          <w:szCs w:val="28"/>
        </w:rPr>
        <w:t xml:space="preserve"> всеобщими выборами. В соответствии с политическими установками Швеции ландстинг каждого лена обязан обеспечивать охрану здоровья и качественное медицинское обслуживание всего населения, а также способствовать улучшению состояния здоровья всего населения. В вéдении областных советов находится также предоставление зубоврачебной помощи местным жителям в возрасте до 20 лет.</w:t>
      </w:r>
    </w:p>
    <w:p w:rsidR="00BA73AE" w:rsidRPr="00A01FC2" w:rsidRDefault="001A2941" w:rsidP="00D7190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01FC2">
        <w:rPr>
          <w:sz w:val="28"/>
          <w:szCs w:val="28"/>
        </w:rPr>
        <w:t>Швеция разделена на 290 муниципалитетов, 18 ленов и два региона – Вестра Гёталанд и Сконе. (На острове Готланд, расположенном в Балтийском море, здравоохранительные функции ландстинга переданы муниципалитету.)</w:t>
      </w:r>
      <w:r w:rsidR="00690D31" w:rsidRPr="00A01FC2">
        <w:rPr>
          <w:sz w:val="28"/>
          <w:szCs w:val="28"/>
        </w:rPr>
        <w:t xml:space="preserve"> </w:t>
      </w:r>
      <w:r w:rsidRPr="00A01FC2">
        <w:rPr>
          <w:sz w:val="28"/>
          <w:szCs w:val="28"/>
        </w:rPr>
        <w:t>Между муниципалитетами, ландстингами и регионами нет никаких иерархических отношений, поскольку все они являются самостоятельными органами местного самоуправления и сами отвечают за различные виды деятельности. Деятельность ландстингов примерно на 90% состоит в организации медицинского обслуживания, однако у них есть и другие функции, в частности, в области культуры и инфраструктурного строительства.</w:t>
      </w:r>
    </w:p>
    <w:p w:rsidR="008F79EC" w:rsidRPr="00A01FC2" w:rsidRDefault="00690D31" w:rsidP="00D7190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01FC2">
        <w:rPr>
          <w:sz w:val="28"/>
          <w:szCs w:val="28"/>
        </w:rPr>
        <w:t>М</w:t>
      </w:r>
      <w:r w:rsidR="001A2941" w:rsidRPr="00A01FC2">
        <w:rPr>
          <w:sz w:val="28"/>
          <w:szCs w:val="28"/>
        </w:rPr>
        <w:t>униципалитеты Швеции также отвечают за уход за престарелыми непосредственно по месту их проживания или в специализированных учреждениях. В их задачу входит и предоставление помощи лицам с физическими и психическими нарушениями. Кроме того, муниципалитеты отвечают за предоставление помощи и услуг пациентам в послебольничный период, а также за медицинское обслуживание в школах.</w:t>
      </w:r>
      <w:r w:rsidR="008F79EC" w:rsidRPr="00A01FC2">
        <w:rPr>
          <w:sz w:val="28"/>
          <w:szCs w:val="28"/>
        </w:rPr>
        <w:t xml:space="preserve"> </w:t>
      </w:r>
    </w:p>
    <w:p w:rsidR="008F79EC" w:rsidRPr="00A01FC2" w:rsidRDefault="008F79EC" w:rsidP="00D7190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01FC2">
        <w:rPr>
          <w:sz w:val="28"/>
          <w:szCs w:val="28"/>
        </w:rPr>
        <w:t>Расходы на здравоохранение и медицинское обслуживание составляют в Швеции около 9% валового внутреннего продукта (ВВП) – показатель, остающийся довольно стабильным с начала 1980-х гг.</w:t>
      </w:r>
      <w:r w:rsidR="00690D31" w:rsidRPr="00A01FC2">
        <w:rPr>
          <w:sz w:val="28"/>
          <w:szCs w:val="28"/>
        </w:rPr>
        <w:t xml:space="preserve"> </w:t>
      </w:r>
      <w:r w:rsidRPr="00A01FC2">
        <w:rPr>
          <w:sz w:val="28"/>
          <w:szCs w:val="28"/>
        </w:rPr>
        <w:t>Эти расходы сопоставимы с соответствующими показателями большинства других европейских стран. Напротив, в США затраты на здравоохранение почти вдвое выше. Основная часть расходов на здравоохранение и медицинское обслуживание оплачивается в Швеции из бюджета ландстингов и муниципалитетов, формируемого за счет налогов. Другим источником финансирования являются государственные дотации, тогда как плата, взимаемая с пациентов, составляет лишь незначительный процент от общей суммы расходов. Наибольшая доля в росте расходов приходится на первичное медицинское обслуживание – сфера, в которой по сравнению с предшествующими годами отмечается возросшая потребность в общемедицинской и физиотерапевтической помощи.</w:t>
      </w:r>
    </w:p>
    <w:p w:rsidR="00D71908" w:rsidRPr="00A01FC2" w:rsidRDefault="008F79EC" w:rsidP="00D7190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bookmarkStart w:id="0" w:name="idx_9"/>
      <w:bookmarkEnd w:id="0"/>
      <w:r w:rsidRPr="00A01FC2">
        <w:rPr>
          <w:sz w:val="28"/>
          <w:szCs w:val="28"/>
        </w:rPr>
        <w:t>В последнее время становится более обычной практика покупки ландстингами услуг у частных медицинских предприятий: 10% объема медицинского обслуживания, финансируемого ландстингами, приходится ныне на долю частного сектора. По условиям договора на этот сектор распространяются те же правила и ставки оплаты, какие действуют в государственных учреждениях здравоохранения.</w:t>
      </w:r>
    </w:p>
    <w:p w:rsidR="008F79EC" w:rsidRPr="00A01FC2" w:rsidRDefault="008F79EC" w:rsidP="00D7190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01FC2">
        <w:rPr>
          <w:sz w:val="28"/>
          <w:szCs w:val="28"/>
        </w:rPr>
        <w:t xml:space="preserve">Правом свободного выбора лечебного учреждения население Швеции пользуется с </w:t>
      </w:r>
      <w:smartTag w:uri="urn:schemas-microsoft-com:office:smarttags" w:element="metricconverter">
        <w:smartTagPr>
          <w:attr w:name="ProductID" w:val="2003 г"/>
        </w:smartTagPr>
        <w:r w:rsidRPr="00A01FC2">
          <w:rPr>
            <w:sz w:val="28"/>
            <w:szCs w:val="28"/>
          </w:rPr>
          <w:t>2003 г</w:t>
        </w:r>
      </w:smartTag>
      <w:r w:rsidRPr="00A01FC2">
        <w:rPr>
          <w:sz w:val="28"/>
          <w:szCs w:val="28"/>
        </w:rPr>
        <w:t>. Это значит, что пациент может обратиться в любое лечебное заведение страны и лечиться там на тех же условиях, как и в своем лене.</w:t>
      </w:r>
    </w:p>
    <w:p w:rsidR="00930E30" w:rsidRPr="00A01FC2" w:rsidRDefault="001A2941" w:rsidP="00D7190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01FC2">
        <w:rPr>
          <w:sz w:val="28"/>
          <w:szCs w:val="28"/>
        </w:rPr>
        <w:t>Длительные сроки ожидания запланированного лечения, например, удаления катаракты или замены тазобедренного сустава, долгое время были причиной недовольства пациеного лечения. Поэтому в Швеции была введена гарантия своевременного лечения.</w:t>
      </w:r>
      <w:r w:rsidR="00690D31" w:rsidRPr="00A01FC2">
        <w:rPr>
          <w:sz w:val="28"/>
          <w:szCs w:val="28"/>
        </w:rPr>
        <w:t xml:space="preserve"> </w:t>
      </w:r>
      <w:r w:rsidRPr="00A01FC2">
        <w:rPr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2005 г"/>
        </w:smartTagPr>
        <w:r w:rsidRPr="00A01FC2">
          <w:rPr>
            <w:sz w:val="28"/>
            <w:szCs w:val="28"/>
          </w:rPr>
          <w:t>2005 г</w:t>
        </w:r>
      </w:smartTag>
      <w:r w:rsidRPr="00A01FC2">
        <w:rPr>
          <w:sz w:val="28"/>
          <w:szCs w:val="28"/>
        </w:rPr>
        <w:t>. между ландстингами и государством было достигнуто соглашение о введении гарантии своевременного лечения. Суть ее в том, что ни один пациент не должен ожидать назначенного ему лечения более 90 дней. В случае, если срок ожидания превышен, пациенту предоставляется лечение в другом месте за счет своего ландстинга, который обязан оплатить также и дорожные расходы.</w:t>
      </w:r>
    </w:p>
    <w:p w:rsidR="00930E30" w:rsidRPr="00A01FC2" w:rsidRDefault="00930E30" w:rsidP="00D7190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01FC2">
        <w:rPr>
          <w:sz w:val="28"/>
          <w:szCs w:val="28"/>
        </w:rPr>
        <w:t>Средняя продолжительность жизни в Швеции продолжает расти. В 2008 году она составляла 78,6 лет у мужчин и 83,2 года у женщин. В известной мере это объясняется сокращением смертности от сердечных приступов и инсультов. Доля людей в возрасте 80 лет и старше составляет в Швеции несколько более 5%. Это значит, что в Швеции, наряду с Италией, самый высокий процент престарелого населения в Европе. Вместе с тем рождаемость в Швеции непрерывно растет с конца 1990-х гг. – демографический сдвиг, который приведет к снижению относительной доли престарелых в составе населения.</w:t>
      </w:r>
    </w:p>
    <w:p w:rsidR="00EC3E31" w:rsidRPr="00A01FC2" w:rsidRDefault="00930E30" w:rsidP="00D7190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01FC2">
        <w:rPr>
          <w:sz w:val="28"/>
          <w:szCs w:val="28"/>
        </w:rPr>
        <w:t>Большую нагрузку на систему представляют хронические заболевания, требующие постоянного наблюдения и лечения – и зачастую медикаментозной терапии на протяжении всей жизни. К числу положительных факторов относится сравнительная непопулярность курения: почти 85% населения Швеции не курят.</w:t>
      </w:r>
      <w:r w:rsidR="001B6495" w:rsidRPr="00A01FC2">
        <w:rPr>
          <w:sz w:val="28"/>
          <w:szCs w:val="28"/>
        </w:rPr>
        <w:t xml:space="preserve"> </w:t>
      </w:r>
      <w:bookmarkStart w:id="1" w:name="idx_1"/>
      <w:bookmarkStart w:id="2" w:name="idx_2"/>
      <w:bookmarkStart w:id="3" w:name="idx_5"/>
      <w:bookmarkStart w:id="4" w:name="idx_6"/>
      <w:bookmarkStart w:id="5" w:name="idx_7"/>
      <w:bookmarkStart w:id="6" w:name="idx_10"/>
      <w:bookmarkStart w:id="7" w:name="idx_11"/>
      <w:bookmarkStart w:id="8" w:name="idx_12"/>
      <w:bookmarkStart w:id="9" w:name="idx_13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r w:rsidR="00383EC6" w:rsidRPr="00A01FC2">
        <w:rPr>
          <w:sz w:val="28"/>
          <w:szCs w:val="28"/>
        </w:rPr>
        <w:t>[3]</w:t>
      </w:r>
    </w:p>
    <w:p w:rsidR="00EC3E31" w:rsidRPr="00A01FC2" w:rsidRDefault="00EC3E31" w:rsidP="00D7190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01FC2">
        <w:rPr>
          <w:sz w:val="28"/>
          <w:szCs w:val="28"/>
        </w:rPr>
        <w:t>Главными принципами системы социального обеспечения работников в Швеции являются всеобщность (равн</w:t>
      </w:r>
      <w:r w:rsidR="00B046DF" w:rsidRPr="00A01FC2">
        <w:rPr>
          <w:sz w:val="28"/>
          <w:szCs w:val="28"/>
        </w:rPr>
        <w:t>ое право для всех работников</w:t>
      </w:r>
      <w:r w:rsidR="00D71908" w:rsidRPr="00A01FC2">
        <w:rPr>
          <w:sz w:val="28"/>
          <w:szCs w:val="28"/>
        </w:rPr>
        <w:t xml:space="preserve"> </w:t>
      </w:r>
      <w:r w:rsidR="0070556E" w:rsidRPr="00A01FC2">
        <w:rPr>
          <w:sz w:val="28"/>
          <w:szCs w:val="28"/>
        </w:rPr>
        <w:t>- п</w:t>
      </w:r>
      <w:r w:rsidRPr="00A01FC2">
        <w:rPr>
          <w:sz w:val="28"/>
          <w:szCs w:val="28"/>
        </w:rPr>
        <w:t>остоянных жителей страны при наступлении конкретных обстоятельств получить определенный вид обеспечения), универсальность (равным образом все граждане вне зависимости от их социального статуса принимают участие в ее финансировании, внося соразмерный своим доходам вклад (принцип солидарности)). Государство же берет на себя функции перераспределения социальных благ от обеспеченных к наиболее уязвимым категориям населени</w:t>
      </w:r>
      <w:r w:rsidR="0070556E" w:rsidRPr="00A01FC2">
        <w:rPr>
          <w:sz w:val="28"/>
          <w:szCs w:val="28"/>
        </w:rPr>
        <w:t>я.</w:t>
      </w:r>
    </w:p>
    <w:p w:rsidR="00B046DF" w:rsidRPr="00A01FC2" w:rsidRDefault="00EC3E31" w:rsidP="00D7190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01FC2">
        <w:rPr>
          <w:sz w:val="28"/>
          <w:szCs w:val="28"/>
        </w:rPr>
        <w:t>Система социальной защиты населения является стержневым элементом шведского "государства всеобщего благосостояния". Ее роль и значение красноречиво иллюстрируется статистическими данными ОЭСР: если принимать в расчет только доход в форме зарплаты (в среднем около 2,5 тыс. долл. в месяц), то 36% населения страны можно было бы отнести к разряду бедных (наивысший показатель в группе промышленно развитых стран мира). Однако после перераспределения совокупного общественного дохода через систему налогов и социальных выплат (1/3 госбюджета уходит на социальные нужды) плюс социальные статьи расходов муниципальных бюджетов и выплаты и</w:t>
      </w:r>
      <w:r w:rsidR="00C967AD" w:rsidRPr="00A01FC2">
        <w:rPr>
          <w:sz w:val="28"/>
          <w:szCs w:val="28"/>
        </w:rPr>
        <w:t>з пенсионных и страховых фондов,</w:t>
      </w:r>
      <w:r w:rsidRPr="00A01FC2">
        <w:rPr>
          <w:sz w:val="28"/>
          <w:szCs w:val="28"/>
        </w:rPr>
        <w:t xml:space="preserve"> в категорию бедных попадает лишь 5,6%. Сравнимые аналогичные показатели для США составляют 27% и 17%.</w:t>
      </w:r>
    </w:p>
    <w:p w:rsidR="00EC3E31" w:rsidRPr="00A01FC2" w:rsidRDefault="00EC3E31" w:rsidP="00D7190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01FC2">
        <w:rPr>
          <w:sz w:val="28"/>
          <w:szCs w:val="28"/>
        </w:rPr>
        <w:t>Дороговизна подобной системы (уровень налогообложения в Швеции - до 67%, один из самых высоких в мире) в полной мере компенсируется высокой степенью социальной защищенности населения, отсутствием шокирующих контрастов между богатством и нищетой и соответственно прочной политической стабильностью.</w:t>
      </w:r>
      <w:r w:rsidR="00383EC6" w:rsidRPr="00A01FC2">
        <w:rPr>
          <w:sz w:val="28"/>
          <w:szCs w:val="28"/>
        </w:rPr>
        <w:t xml:space="preserve"> [1]</w:t>
      </w:r>
    </w:p>
    <w:p w:rsidR="008F79EC" w:rsidRPr="00A01FC2" w:rsidRDefault="00D71908" w:rsidP="00D71908">
      <w:pPr>
        <w:pStyle w:val="a6"/>
        <w:spacing w:line="360" w:lineRule="auto"/>
        <w:ind w:firstLine="709"/>
        <w:jc w:val="both"/>
        <w:rPr>
          <w:b/>
          <w:sz w:val="28"/>
          <w:szCs w:val="28"/>
          <w:lang w:bidi="he-IL"/>
        </w:rPr>
      </w:pPr>
      <w:r w:rsidRPr="00A01FC2">
        <w:rPr>
          <w:b/>
          <w:sz w:val="28"/>
          <w:szCs w:val="28"/>
          <w:lang w:bidi="he-IL"/>
        </w:rPr>
        <w:br w:type="page"/>
      </w:r>
      <w:r w:rsidR="007C3729" w:rsidRPr="00A01FC2">
        <w:rPr>
          <w:b/>
          <w:sz w:val="28"/>
          <w:szCs w:val="28"/>
          <w:lang w:bidi="he-IL"/>
        </w:rPr>
        <w:t xml:space="preserve">3. </w:t>
      </w:r>
      <w:r w:rsidR="008F79EC" w:rsidRPr="00A01FC2">
        <w:rPr>
          <w:b/>
          <w:sz w:val="28"/>
          <w:szCs w:val="28"/>
          <w:lang w:bidi="he-IL"/>
        </w:rPr>
        <w:t xml:space="preserve">Анализ </w:t>
      </w:r>
      <w:r w:rsidR="0005766A" w:rsidRPr="00A01FC2">
        <w:rPr>
          <w:b/>
          <w:sz w:val="28"/>
          <w:szCs w:val="28"/>
          <w:lang w:bidi="he-IL"/>
        </w:rPr>
        <w:t>фармацевтического рынка страны</w:t>
      </w:r>
    </w:p>
    <w:p w:rsidR="004E4EF3" w:rsidRPr="00A01FC2" w:rsidRDefault="004E4EF3" w:rsidP="00D71908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</w:p>
    <w:p w:rsidR="00741C6F" w:rsidRPr="00A01FC2" w:rsidRDefault="00741C6F" w:rsidP="00D71908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A01FC2">
        <w:rPr>
          <w:b/>
          <w:sz w:val="28"/>
          <w:szCs w:val="28"/>
        </w:rPr>
        <w:t>3.1 Общая характеристика</w:t>
      </w:r>
    </w:p>
    <w:p w:rsidR="00930086" w:rsidRPr="00A01FC2" w:rsidRDefault="00930086" w:rsidP="00D71908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</w:p>
    <w:p w:rsidR="005C3D9D" w:rsidRPr="00A01FC2" w:rsidRDefault="005C3D9D" w:rsidP="00D7190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01FC2">
        <w:rPr>
          <w:sz w:val="28"/>
          <w:szCs w:val="28"/>
        </w:rPr>
        <w:t>Фармацевтический рынок Швеции интересен тем, что при населении 9 млн. человек фарминдустрия этой страны является высокоразвитой. На внутреннем рынке присутствуют как отечественные, так и зарубежные «игроки», поэтому он достаточно плотный. Есть крупные компании, есть компании средние, есть и совсем маленькие фармацевтические фирмы.</w:t>
      </w:r>
    </w:p>
    <w:p w:rsidR="007C38E3" w:rsidRPr="00A01FC2" w:rsidRDefault="005C3D9D" w:rsidP="00D7190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01FC2">
        <w:rPr>
          <w:sz w:val="28"/>
          <w:szCs w:val="28"/>
        </w:rPr>
        <w:t>Отличительной чертой шведского рынка, пожалуй, является то, что постоянно появляются новые компании, поскольку в Швеции чрезвычайно благоприятный климат для развития фармотрасли — проводятся исследования, разрабатываются новые препараты, словом, компании могут постоянно развиваться.</w:t>
      </w:r>
    </w:p>
    <w:p w:rsidR="007C38E3" w:rsidRPr="00A01FC2" w:rsidRDefault="005C3D9D" w:rsidP="00D7190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01FC2">
        <w:rPr>
          <w:sz w:val="28"/>
          <w:szCs w:val="28"/>
        </w:rPr>
        <w:t>Шведские компании находятся в таком же положении, как и зарубежные производители. Со стороны государства отсутствует какая бы то ни было политика протекционизма, отсутствуют льготы в системе налогообложения, выделения земли.</w:t>
      </w:r>
    </w:p>
    <w:p w:rsidR="005C3D9D" w:rsidRPr="00A01FC2" w:rsidRDefault="005C3D9D" w:rsidP="00D7190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bidi="he-IL"/>
        </w:rPr>
      </w:pPr>
      <w:r w:rsidRPr="00A01FC2">
        <w:rPr>
          <w:sz w:val="28"/>
          <w:szCs w:val="28"/>
        </w:rPr>
        <w:t>В то же время государственные университеты обеспечивают хорошую подготовку специалистов. Уровень образования</w:t>
      </w:r>
      <w:r w:rsidR="007C3729" w:rsidRPr="00A01FC2">
        <w:rPr>
          <w:sz w:val="28"/>
          <w:szCs w:val="28"/>
        </w:rPr>
        <w:t xml:space="preserve"> </w:t>
      </w:r>
      <w:r w:rsidR="007C38E3" w:rsidRPr="00A01FC2">
        <w:rPr>
          <w:sz w:val="28"/>
          <w:szCs w:val="28"/>
        </w:rPr>
        <w:t xml:space="preserve">чрезвычайно высок и </w:t>
      </w:r>
      <w:r w:rsidRPr="00A01FC2">
        <w:rPr>
          <w:sz w:val="28"/>
          <w:szCs w:val="28"/>
        </w:rPr>
        <w:t xml:space="preserve">на фармпредприятиях работают высококвалифицированные кадры. Без этого компаниям было бы сложно выходить сосвоей продукцией на внешний рынок. Это связано с тем, что фармрынок Швеции очень мал, и если компания будет работать только в пределах своей страны, то она просто не выживет, </w:t>
      </w:r>
      <w:r w:rsidR="007C38E3" w:rsidRPr="00A01FC2">
        <w:rPr>
          <w:sz w:val="28"/>
          <w:szCs w:val="28"/>
        </w:rPr>
        <w:t>а,</w:t>
      </w:r>
      <w:r w:rsidRPr="00A01FC2">
        <w:rPr>
          <w:sz w:val="28"/>
          <w:szCs w:val="28"/>
        </w:rPr>
        <w:t xml:space="preserve"> имея надлежащим образом подготовленный персонал, шведские компании являются хорошо подготовленными к условиям жесткой конкуренции на внешнем рынке.</w:t>
      </w:r>
      <w:r w:rsidRPr="00A01FC2">
        <w:rPr>
          <w:sz w:val="28"/>
          <w:szCs w:val="28"/>
          <w:lang w:bidi="he-IL"/>
        </w:rPr>
        <w:t xml:space="preserve"> </w:t>
      </w:r>
      <w:r w:rsidR="004E4EF3" w:rsidRPr="00A01FC2">
        <w:rPr>
          <w:sz w:val="28"/>
          <w:szCs w:val="28"/>
          <w:lang w:bidi="he-IL"/>
        </w:rPr>
        <w:t>[</w:t>
      </w:r>
      <w:r w:rsidR="00383EC6" w:rsidRPr="00A01FC2">
        <w:rPr>
          <w:sz w:val="28"/>
          <w:szCs w:val="28"/>
          <w:lang w:bidi="he-IL"/>
        </w:rPr>
        <w:t>7</w:t>
      </w:r>
      <w:r w:rsidR="004E4EF3" w:rsidRPr="00A01FC2">
        <w:rPr>
          <w:sz w:val="28"/>
          <w:szCs w:val="28"/>
          <w:lang w:bidi="he-IL"/>
        </w:rPr>
        <w:t>]</w:t>
      </w:r>
    </w:p>
    <w:p w:rsidR="00F02324" w:rsidRPr="00A01FC2" w:rsidRDefault="00D71908" w:rsidP="00D7190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A01FC2">
        <w:rPr>
          <w:b/>
          <w:sz w:val="28"/>
          <w:szCs w:val="28"/>
        </w:rPr>
        <w:br w:type="page"/>
      </w:r>
      <w:r w:rsidR="00741C6F" w:rsidRPr="00A01FC2">
        <w:rPr>
          <w:b/>
          <w:sz w:val="28"/>
          <w:szCs w:val="28"/>
        </w:rPr>
        <w:t xml:space="preserve">3.2 </w:t>
      </w:r>
      <w:r w:rsidR="00F02324" w:rsidRPr="00A01FC2">
        <w:rPr>
          <w:b/>
          <w:sz w:val="28"/>
          <w:szCs w:val="28"/>
        </w:rPr>
        <w:t>Перспективы развития</w:t>
      </w:r>
    </w:p>
    <w:p w:rsidR="004E4EF3" w:rsidRPr="00A01FC2" w:rsidRDefault="004E4EF3" w:rsidP="00D71908">
      <w:pPr>
        <w:spacing w:line="360" w:lineRule="auto"/>
        <w:ind w:firstLine="709"/>
        <w:jc w:val="both"/>
        <w:rPr>
          <w:sz w:val="28"/>
          <w:szCs w:val="28"/>
        </w:rPr>
      </w:pPr>
    </w:p>
    <w:p w:rsidR="00ED4067" w:rsidRPr="00A01FC2" w:rsidRDefault="001636F2" w:rsidP="00D71908">
      <w:pPr>
        <w:spacing w:line="360" w:lineRule="auto"/>
        <w:ind w:firstLine="709"/>
        <w:jc w:val="both"/>
        <w:rPr>
          <w:sz w:val="28"/>
          <w:szCs w:val="28"/>
        </w:rPr>
      </w:pPr>
      <w:r w:rsidRPr="00A01FC2">
        <w:rPr>
          <w:bCs/>
          <w:iCs/>
          <w:sz w:val="28"/>
          <w:szCs w:val="28"/>
        </w:rPr>
        <w:t xml:space="preserve">Журнал </w:t>
      </w:r>
      <w:r w:rsidRPr="00A01FC2">
        <w:rPr>
          <w:bCs/>
          <w:iCs/>
          <w:sz w:val="28"/>
          <w:szCs w:val="28"/>
          <w:lang w:val="en-US"/>
        </w:rPr>
        <w:t>Business</w:t>
      </w:r>
      <w:r w:rsidRPr="00A01FC2">
        <w:rPr>
          <w:bCs/>
          <w:iCs/>
          <w:sz w:val="28"/>
          <w:szCs w:val="28"/>
        </w:rPr>
        <w:t xml:space="preserve"> </w:t>
      </w:r>
      <w:r w:rsidRPr="00A01FC2">
        <w:rPr>
          <w:bCs/>
          <w:iCs/>
          <w:sz w:val="28"/>
          <w:szCs w:val="28"/>
          <w:lang w:val="en-US"/>
        </w:rPr>
        <w:t>Monitor</w:t>
      </w:r>
      <w:r w:rsidRPr="00A01FC2">
        <w:rPr>
          <w:bCs/>
          <w:iCs/>
          <w:sz w:val="28"/>
          <w:szCs w:val="28"/>
        </w:rPr>
        <w:t xml:space="preserve"> </w:t>
      </w:r>
      <w:r w:rsidRPr="00A01FC2">
        <w:rPr>
          <w:bCs/>
          <w:iCs/>
          <w:sz w:val="28"/>
          <w:szCs w:val="28"/>
          <w:lang w:val="en-US"/>
        </w:rPr>
        <w:t>International</w:t>
      </w:r>
      <w:r w:rsidRPr="00A01FC2">
        <w:rPr>
          <w:b/>
          <w:bCs/>
          <w:i/>
          <w:iCs/>
          <w:sz w:val="28"/>
        </w:rPr>
        <w:t xml:space="preserve"> </w:t>
      </w:r>
      <w:r w:rsidRPr="00A01FC2">
        <w:rPr>
          <w:bCs/>
          <w:iCs/>
          <w:sz w:val="28"/>
          <w:szCs w:val="28"/>
        </w:rPr>
        <w:t>(</w:t>
      </w:r>
      <w:r w:rsidRPr="00A01FC2">
        <w:rPr>
          <w:sz w:val="28"/>
          <w:szCs w:val="28"/>
        </w:rPr>
        <w:t xml:space="preserve">BMI) </w:t>
      </w:r>
      <w:r w:rsidR="00221B6A" w:rsidRPr="00A01FC2">
        <w:rPr>
          <w:sz w:val="28"/>
          <w:szCs w:val="28"/>
        </w:rPr>
        <w:t xml:space="preserve">рассматривает Швецию, как один из самых привлекательных для фармкомпаний рынков в мире, а не только в своем регионе. В рейтинге BMI (Business Environment Rating) на IV квартал </w:t>
      </w:r>
      <w:smartTag w:uri="urn:schemas-microsoft-com:office:smarttags" w:element="metricconverter">
        <w:smartTagPr>
          <w:attr w:name="ProductID" w:val="2010 г"/>
        </w:smartTagPr>
        <w:r w:rsidR="00221B6A" w:rsidRPr="00A01FC2">
          <w:rPr>
            <w:sz w:val="28"/>
            <w:szCs w:val="28"/>
          </w:rPr>
          <w:t>2010 г</w:t>
        </w:r>
      </w:smartTag>
      <w:r w:rsidR="00221B6A" w:rsidRPr="00A01FC2">
        <w:rPr>
          <w:sz w:val="28"/>
          <w:szCs w:val="28"/>
        </w:rPr>
        <w:t xml:space="preserve">., Швеция заняла 3-е место из 10 оцениваемых рынков Западной Европы. Критерии рейтинга подтверждают мнение экспертов о потенциале страны — из-за давно сделанного сильного акцента на вопросы регулирования и управления, которые являются главными факторами, создающими бизнес–среду для фармпроизводителей. Учитывая высокий уровень расходов на лекарственные препараты на душу населения, фармпродукция продолжает приносить гарантированный доход компаниям, работающим в стране. Так же, как и на других рынках Западной Европы, в Швеции доля рынка рецептурных лекарств весьма высока — вследствие значительных взносов государства на лекарственные расходы. В то же время, и в новом квартале продолжится постепенный передел фармацевтического сектора. </w:t>
      </w:r>
    </w:p>
    <w:p w:rsidR="00ED4067" w:rsidRPr="00A01FC2" w:rsidRDefault="00221B6A" w:rsidP="00D71908">
      <w:pPr>
        <w:spacing w:line="360" w:lineRule="auto"/>
        <w:ind w:firstLine="709"/>
        <w:jc w:val="both"/>
        <w:rPr>
          <w:sz w:val="28"/>
          <w:szCs w:val="28"/>
        </w:rPr>
      </w:pPr>
      <w:r w:rsidRPr="00A01FC2">
        <w:rPr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2009 г"/>
        </w:smartTagPr>
        <w:r w:rsidRPr="00A01FC2">
          <w:rPr>
            <w:sz w:val="28"/>
            <w:szCs w:val="28"/>
          </w:rPr>
          <w:t>2009 г</w:t>
        </w:r>
      </w:smartTag>
      <w:r w:rsidRPr="00A01FC2">
        <w:rPr>
          <w:sz w:val="28"/>
          <w:szCs w:val="28"/>
        </w:rPr>
        <w:t xml:space="preserve">. фармацевтические продажи на рынке Швеции составили 30.36 млрд. шведских крон (3.54 млрд. долларов), причем, сегмент рецептурных лекарств был оценен в 90.46% всего рынка (27.46 млрд. шведских крон или 3.20 млрд. долларов). К </w:t>
      </w:r>
      <w:smartTag w:uri="urn:schemas-microsoft-com:office:smarttags" w:element="metricconverter">
        <w:smartTagPr>
          <w:attr w:name="ProductID" w:val="2014 г"/>
        </w:smartTagPr>
        <w:r w:rsidRPr="00A01FC2">
          <w:rPr>
            <w:sz w:val="28"/>
            <w:szCs w:val="28"/>
          </w:rPr>
          <w:t>2014 г</w:t>
        </w:r>
      </w:smartTag>
      <w:r w:rsidRPr="00A01FC2">
        <w:rPr>
          <w:sz w:val="28"/>
          <w:szCs w:val="28"/>
        </w:rPr>
        <w:t xml:space="preserve">., как подсчитали аналитики BMI, рынок лекарств, продающихся по рецепту, будет составлять 88.07% общего рынка (27.39 млрд. шведских крон или 3.60 млрд. долларов). В </w:t>
      </w:r>
      <w:smartTag w:uri="urn:schemas-microsoft-com:office:smarttags" w:element="metricconverter">
        <w:smartTagPr>
          <w:attr w:name="ProductID" w:val="2009 г"/>
        </w:smartTagPr>
        <w:r w:rsidRPr="00A01FC2">
          <w:rPr>
            <w:sz w:val="28"/>
            <w:szCs w:val="28"/>
          </w:rPr>
          <w:t>2009 г</w:t>
        </w:r>
      </w:smartTag>
      <w:r w:rsidRPr="00A01FC2">
        <w:rPr>
          <w:sz w:val="28"/>
          <w:szCs w:val="28"/>
        </w:rPr>
        <w:t xml:space="preserve">. брендовые лекарства заняли 76.34% всего рынка, а дженерики — лишь 14.15%. BMI указывает, что объем рынка брендовых препаратов неизбежно снизится из-за «обвала патентов», в то время как дженерики уже начали свое расширение. Однако, финансовые потери рынка в секторе брендов не смогут трансформироваться в эквивалентный доход в секторе дженериков — из-за низкой цены последних. </w:t>
      </w:r>
    </w:p>
    <w:p w:rsidR="001636F2" w:rsidRPr="00A01FC2" w:rsidRDefault="00221B6A" w:rsidP="00D71908">
      <w:pPr>
        <w:spacing w:line="360" w:lineRule="auto"/>
        <w:ind w:firstLine="709"/>
        <w:jc w:val="both"/>
        <w:rPr>
          <w:sz w:val="28"/>
          <w:szCs w:val="28"/>
        </w:rPr>
      </w:pPr>
      <w:r w:rsidRPr="00A01FC2">
        <w:rPr>
          <w:sz w:val="28"/>
          <w:szCs w:val="28"/>
        </w:rPr>
        <w:t xml:space="preserve">Лекарства, продаваемые без рецепта, в </w:t>
      </w:r>
      <w:smartTag w:uri="urn:schemas-microsoft-com:office:smarttags" w:element="metricconverter">
        <w:smartTagPr>
          <w:attr w:name="ProductID" w:val="2009 г"/>
        </w:smartTagPr>
        <w:r w:rsidRPr="00A01FC2">
          <w:rPr>
            <w:sz w:val="28"/>
            <w:szCs w:val="28"/>
          </w:rPr>
          <w:t>2009 г</w:t>
        </w:r>
      </w:smartTag>
      <w:r w:rsidRPr="00A01FC2">
        <w:rPr>
          <w:sz w:val="28"/>
          <w:szCs w:val="28"/>
        </w:rPr>
        <w:t xml:space="preserve">. занимали 9.54% (2.80 млрд. шведских крон или 338 млн. долларов) рынка. Эксперты BMI считают, что либерализация шведского фармацевтического рынка, проведенная в </w:t>
      </w:r>
      <w:smartTag w:uri="urn:schemas-microsoft-com:office:smarttags" w:element="metricconverter">
        <w:smartTagPr>
          <w:attr w:name="ProductID" w:val="2009 г"/>
        </w:smartTagPr>
        <w:r w:rsidRPr="00A01FC2">
          <w:rPr>
            <w:sz w:val="28"/>
            <w:szCs w:val="28"/>
          </w:rPr>
          <w:t>2009 г</w:t>
        </w:r>
      </w:smartTag>
      <w:r w:rsidRPr="00A01FC2">
        <w:rPr>
          <w:sz w:val="28"/>
          <w:szCs w:val="28"/>
        </w:rPr>
        <w:t xml:space="preserve">., поможет сектору </w:t>
      </w:r>
      <w:r w:rsidR="007C38E3" w:rsidRPr="00A01FC2">
        <w:rPr>
          <w:sz w:val="28"/>
          <w:szCs w:val="28"/>
        </w:rPr>
        <w:t xml:space="preserve">безрецептурных </w:t>
      </w:r>
      <w:r w:rsidRPr="00A01FC2">
        <w:rPr>
          <w:sz w:val="28"/>
          <w:szCs w:val="28"/>
        </w:rPr>
        <w:t xml:space="preserve">препаратов также получить положительный эффект к </w:t>
      </w:r>
      <w:smartTag w:uri="urn:schemas-microsoft-com:office:smarttags" w:element="metricconverter">
        <w:smartTagPr>
          <w:attr w:name="ProductID" w:val="2014 г"/>
        </w:smartTagPr>
        <w:r w:rsidRPr="00A01FC2">
          <w:rPr>
            <w:sz w:val="28"/>
            <w:szCs w:val="28"/>
          </w:rPr>
          <w:t>2014 г</w:t>
        </w:r>
      </w:smartTag>
      <w:r w:rsidRPr="00A01FC2">
        <w:rPr>
          <w:sz w:val="28"/>
          <w:szCs w:val="28"/>
        </w:rPr>
        <w:t>, достигнув, по прогнозу BMI, отметки в 3.71 млрд. шведских крон (488 млн. долларов).</w:t>
      </w:r>
      <w:r w:rsidR="001636F2" w:rsidRPr="00A01FC2">
        <w:rPr>
          <w:sz w:val="28"/>
          <w:szCs w:val="28"/>
        </w:rPr>
        <w:t xml:space="preserve"> </w:t>
      </w:r>
      <w:r w:rsidR="007C674C" w:rsidRPr="00A01FC2">
        <w:rPr>
          <w:sz w:val="28"/>
          <w:szCs w:val="28"/>
        </w:rPr>
        <w:t>[</w:t>
      </w:r>
      <w:r w:rsidR="00383EC6" w:rsidRPr="00A01FC2">
        <w:rPr>
          <w:sz w:val="28"/>
          <w:szCs w:val="28"/>
        </w:rPr>
        <w:t>5</w:t>
      </w:r>
      <w:r w:rsidR="007C674C" w:rsidRPr="00A01FC2">
        <w:rPr>
          <w:sz w:val="28"/>
          <w:szCs w:val="28"/>
        </w:rPr>
        <w:t>]</w:t>
      </w:r>
    </w:p>
    <w:p w:rsidR="001636F2" w:rsidRPr="00A01FC2" w:rsidRDefault="001636F2" w:rsidP="00D71908">
      <w:pPr>
        <w:spacing w:line="360" w:lineRule="auto"/>
        <w:ind w:firstLine="709"/>
        <w:jc w:val="both"/>
        <w:rPr>
          <w:sz w:val="28"/>
          <w:szCs w:val="28"/>
        </w:rPr>
      </w:pPr>
      <w:r w:rsidRPr="00A01FC2">
        <w:rPr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2009 г"/>
        </w:smartTagPr>
        <w:r w:rsidRPr="00A01FC2">
          <w:rPr>
            <w:sz w:val="28"/>
            <w:szCs w:val="28"/>
          </w:rPr>
          <w:t>2009 г</w:t>
        </w:r>
      </w:smartTag>
      <w:r w:rsidRPr="00A01FC2">
        <w:rPr>
          <w:sz w:val="28"/>
          <w:szCs w:val="28"/>
        </w:rPr>
        <w:t xml:space="preserve">. шведский розничный фармсектор претерпел значительные изменения из-за решения правительства денационализировать промышленность. К ноябрю </w:t>
      </w:r>
      <w:smartTag w:uri="urn:schemas-microsoft-com:office:smarttags" w:element="metricconverter">
        <w:smartTagPr>
          <w:attr w:name="ProductID" w:val="2009 г"/>
        </w:smartTagPr>
        <w:r w:rsidRPr="00A01FC2">
          <w:rPr>
            <w:sz w:val="28"/>
            <w:szCs w:val="28"/>
          </w:rPr>
          <w:t>2009 г</w:t>
        </w:r>
      </w:smartTag>
      <w:r w:rsidRPr="00A01FC2">
        <w:rPr>
          <w:sz w:val="28"/>
          <w:szCs w:val="28"/>
        </w:rPr>
        <w:t xml:space="preserve">. шведское правительство продало с аукциона 465 магазинов государственного розничного монополиста аптек — сети Apoteket (10 000 сотрудников в </w:t>
      </w:r>
      <w:smartTag w:uri="urn:schemas-microsoft-com:office:smarttags" w:element="metricconverter">
        <w:smartTagPr>
          <w:attr w:name="ProductID" w:val="2008 г"/>
        </w:smartTagPr>
        <w:r w:rsidRPr="00A01FC2">
          <w:rPr>
            <w:sz w:val="28"/>
            <w:szCs w:val="28"/>
          </w:rPr>
          <w:t>2008 г</w:t>
        </w:r>
      </w:smartTag>
      <w:r w:rsidRPr="00A01FC2">
        <w:rPr>
          <w:sz w:val="28"/>
          <w:szCs w:val="28"/>
        </w:rPr>
        <w:t xml:space="preserve">.) и 17 января </w:t>
      </w:r>
      <w:smartTag w:uri="urn:schemas-microsoft-com:office:smarttags" w:element="metricconverter">
        <w:smartTagPr>
          <w:attr w:name="ProductID" w:val="2010 г"/>
        </w:smartTagPr>
        <w:r w:rsidRPr="00A01FC2">
          <w:rPr>
            <w:sz w:val="28"/>
            <w:szCs w:val="28"/>
          </w:rPr>
          <w:t>2010 г</w:t>
        </w:r>
      </w:smartTag>
      <w:r w:rsidRPr="00A01FC2">
        <w:rPr>
          <w:sz w:val="28"/>
          <w:szCs w:val="28"/>
        </w:rPr>
        <w:t xml:space="preserve">. шведский министр здравоохранения и общественных проблем Горан Хегглунд (Goeran Hegglund) открыл первую (с </w:t>
      </w:r>
      <w:smartTag w:uri="urn:schemas-microsoft-com:office:smarttags" w:element="metricconverter">
        <w:smartTagPr>
          <w:attr w:name="ProductID" w:val="1971 г"/>
        </w:smartTagPr>
        <w:r w:rsidRPr="00A01FC2">
          <w:rPr>
            <w:sz w:val="28"/>
            <w:szCs w:val="28"/>
          </w:rPr>
          <w:t>1971 г</w:t>
        </w:r>
      </w:smartTag>
      <w:r w:rsidRPr="00A01FC2">
        <w:rPr>
          <w:sz w:val="28"/>
          <w:szCs w:val="28"/>
        </w:rPr>
        <w:t>.) частную аптеку в стране.</w:t>
      </w:r>
    </w:p>
    <w:p w:rsidR="001636F2" w:rsidRPr="00A01FC2" w:rsidRDefault="001636F2" w:rsidP="00D71908">
      <w:pPr>
        <w:overflowPunct/>
        <w:autoSpaceDE/>
        <w:autoSpaceDN/>
        <w:adjustRightInd/>
        <w:spacing w:line="360" w:lineRule="auto"/>
        <w:ind w:firstLine="709"/>
        <w:jc w:val="both"/>
        <w:textAlignment w:val="auto"/>
        <w:rPr>
          <w:sz w:val="28"/>
          <w:szCs w:val="28"/>
        </w:rPr>
      </w:pPr>
      <w:r w:rsidRPr="00A01FC2">
        <w:rPr>
          <w:sz w:val="28"/>
          <w:szCs w:val="28"/>
        </w:rPr>
        <w:t xml:space="preserve">Группы частного акционерного капитала были главными победителями в этой борьбе по формированию нового по своей идеологии рынка сбыта. Объемы рынка и его технический уровень можно легко представить, если учесть, что еще в </w:t>
      </w:r>
      <w:smartTag w:uri="urn:schemas-microsoft-com:office:smarttags" w:element="metricconverter">
        <w:smartTagPr>
          <w:attr w:name="ProductID" w:val="2008 г"/>
        </w:smartTagPr>
        <w:r w:rsidRPr="00A01FC2">
          <w:rPr>
            <w:sz w:val="28"/>
            <w:szCs w:val="28"/>
          </w:rPr>
          <w:t>2008 г</w:t>
        </w:r>
      </w:smartTag>
      <w:r w:rsidRPr="00A01FC2">
        <w:rPr>
          <w:sz w:val="28"/>
          <w:szCs w:val="28"/>
        </w:rPr>
        <w:t>. шведские государственные аптеки ежегодно обрабатывали приблизительно 24 млн. только электронных рецептов, при 90 млн. обычных посетителей за год.</w:t>
      </w:r>
      <w:r w:rsidR="00383EC6" w:rsidRPr="00A01FC2">
        <w:rPr>
          <w:sz w:val="28"/>
          <w:szCs w:val="28"/>
        </w:rPr>
        <w:t>[6</w:t>
      </w:r>
      <w:r w:rsidR="006F1885" w:rsidRPr="00A01FC2">
        <w:rPr>
          <w:sz w:val="28"/>
          <w:szCs w:val="28"/>
        </w:rPr>
        <w:t>]</w:t>
      </w:r>
    </w:p>
    <w:p w:rsidR="005C3D9D" w:rsidRPr="00A01FC2" w:rsidRDefault="00D71908" w:rsidP="00D71908">
      <w:pPr>
        <w:spacing w:line="360" w:lineRule="auto"/>
        <w:ind w:firstLine="709"/>
        <w:jc w:val="both"/>
        <w:rPr>
          <w:b/>
          <w:sz w:val="28"/>
          <w:szCs w:val="28"/>
          <w:lang w:bidi="he-IL"/>
        </w:rPr>
      </w:pPr>
      <w:r w:rsidRPr="00A01FC2">
        <w:rPr>
          <w:b/>
          <w:sz w:val="28"/>
          <w:szCs w:val="28"/>
          <w:lang w:bidi="he-IL"/>
        </w:rPr>
        <w:br w:type="page"/>
      </w:r>
      <w:r w:rsidR="00741C6F" w:rsidRPr="00A01FC2">
        <w:rPr>
          <w:b/>
          <w:sz w:val="28"/>
          <w:szCs w:val="28"/>
          <w:lang w:bidi="he-IL"/>
        </w:rPr>
        <w:t xml:space="preserve">4. </w:t>
      </w:r>
      <w:r w:rsidR="005C3D9D" w:rsidRPr="00A01FC2">
        <w:rPr>
          <w:b/>
          <w:sz w:val="28"/>
          <w:szCs w:val="28"/>
          <w:lang w:bidi="he-IL"/>
        </w:rPr>
        <w:t>Основные фирмы-производители ЛС</w:t>
      </w:r>
    </w:p>
    <w:p w:rsidR="004E4EF3" w:rsidRPr="00A01FC2" w:rsidRDefault="004E4EF3" w:rsidP="00D71908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D5329B" w:rsidRPr="00A01FC2" w:rsidRDefault="00741C6F" w:rsidP="00D7190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A01FC2">
        <w:rPr>
          <w:b/>
          <w:sz w:val="28"/>
          <w:szCs w:val="28"/>
        </w:rPr>
        <w:t xml:space="preserve">4.1 </w:t>
      </w:r>
      <w:r w:rsidR="00ED4067" w:rsidRPr="00A01FC2">
        <w:rPr>
          <w:b/>
          <w:sz w:val="28"/>
          <w:szCs w:val="28"/>
        </w:rPr>
        <w:t>«</w:t>
      </w:r>
      <w:r w:rsidR="00D5329B" w:rsidRPr="00A01FC2">
        <w:rPr>
          <w:b/>
          <w:sz w:val="28"/>
          <w:szCs w:val="28"/>
        </w:rPr>
        <w:t>AstraZeneca</w:t>
      </w:r>
      <w:r w:rsidR="00ED4067" w:rsidRPr="00A01FC2">
        <w:rPr>
          <w:b/>
          <w:sz w:val="28"/>
          <w:szCs w:val="28"/>
        </w:rPr>
        <w:t>»</w:t>
      </w:r>
      <w:r w:rsidR="005C3D9D" w:rsidRPr="00A01FC2">
        <w:rPr>
          <w:b/>
          <w:sz w:val="28"/>
          <w:szCs w:val="28"/>
        </w:rPr>
        <w:t xml:space="preserve"> </w:t>
      </w:r>
    </w:p>
    <w:p w:rsidR="004E4EF3" w:rsidRPr="00A01FC2" w:rsidRDefault="004E4EF3" w:rsidP="00D71908">
      <w:pPr>
        <w:spacing w:line="360" w:lineRule="auto"/>
        <w:ind w:firstLine="709"/>
        <w:jc w:val="both"/>
        <w:rPr>
          <w:sz w:val="28"/>
          <w:szCs w:val="28"/>
        </w:rPr>
      </w:pPr>
    </w:p>
    <w:p w:rsidR="00ED4067" w:rsidRPr="00A01FC2" w:rsidRDefault="005C3D9D" w:rsidP="00D71908">
      <w:pPr>
        <w:spacing w:line="360" w:lineRule="auto"/>
        <w:ind w:firstLine="709"/>
        <w:jc w:val="both"/>
        <w:rPr>
          <w:sz w:val="28"/>
          <w:szCs w:val="28"/>
        </w:rPr>
      </w:pPr>
      <w:r w:rsidRPr="00A01FC2">
        <w:rPr>
          <w:sz w:val="28"/>
          <w:szCs w:val="28"/>
        </w:rPr>
        <w:t xml:space="preserve">Фармацевтическая компания </w:t>
      </w:r>
      <w:r w:rsidR="007C38E3" w:rsidRPr="00A01FC2">
        <w:rPr>
          <w:sz w:val="28"/>
          <w:szCs w:val="28"/>
        </w:rPr>
        <w:t>«</w:t>
      </w:r>
      <w:r w:rsidRPr="00A01FC2">
        <w:rPr>
          <w:sz w:val="28"/>
          <w:szCs w:val="28"/>
        </w:rPr>
        <w:t>АстраЗенека</w:t>
      </w:r>
      <w:r w:rsidR="007C38E3" w:rsidRPr="00A01FC2">
        <w:rPr>
          <w:sz w:val="28"/>
          <w:szCs w:val="28"/>
        </w:rPr>
        <w:t>»</w:t>
      </w:r>
      <w:r w:rsidRPr="00A01FC2">
        <w:rPr>
          <w:sz w:val="28"/>
          <w:szCs w:val="28"/>
        </w:rPr>
        <w:t xml:space="preserve"> является крупнейшей международной организацией, продажи которой составляют 24,00 миллиарда долларов в год. </w:t>
      </w:r>
      <w:r w:rsidR="00ED4067" w:rsidRPr="00A01FC2">
        <w:rPr>
          <w:sz w:val="28"/>
          <w:szCs w:val="28"/>
        </w:rPr>
        <w:t xml:space="preserve">История образования компании «АстраЗенека» начинается с появления международной фармацевтической группы «Астра АБ» в Швеции, через несколько десятков лет – была основана ещё одна компания «Зенека Груп ПЛС» в Великобритании. В 1999 году произошло слияние двух фирм. </w:t>
      </w:r>
    </w:p>
    <w:p w:rsidR="00ED4067" w:rsidRPr="00A01FC2" w:rsidRDefault="00ED4067" w:rsidP="00D71908">
      <w:pPr>
        <w:spacing w:line="360" w:lineRule="auto"/>
        <w:ind w:firstLine="709"/>
        <w:jc w:val="both"/>
        <w:rPr>
          <w:sz w:val="28"/>
          <w:szCs w:val="28"/>
        </w:rPr>
      </w:pPr>
      <w:r w:rsidRPr="00A01FC2">
        <w:rPr>
          <w:sz w:val="28"/>
          <w:szCs w:val="28"/>
        </w:rPr>
        <w:t xml:space="preserve">«Астра АБ» основана в 1913 году с головным офисом в шведском городе Сёдерталье. Занималась исследованием, разработкой, выпуском и продажей фармацевтических препаратов преимущественно в четырех главных областях медицины: гастроэнтерологии, кардиологии, пульмонологии и анестезиологии. Одновременно компания проводила исследования в неврологии. Кроме того, «Астра» занималась реализацией ряда других фармацевтических продуктов, включая антибактериальные препараты, и заведовала группой «Астра Тек», занимающейся производством медицинской аппаратуры. </w:t>
      </w:r>
    </w:p>
    <w:p w:rsidR="005C3D9D" w:rsidRPr="00A01FC2" w:rsidRDefault="00ED4067" w:rsidP="00D71908">
      <w:pPr>
        <w:spacing w:line="360" w:lineRule="auto"/>
        <w:ind w:firstLine="709"/>
        <w:jc w:val="both"/>
        <w:rPr>
          <w:sz w:val="28"/>
          <w:szCs w:val="28"/>
        </w:rPr>
      </w:pPr>
      <w:r w:rsidRPr="00A01FC2">
        <w:rPr>
          <w:sz w:val="28"/>
          <w:szCs w:val="28"/>
        </w:rPr>
        <w:t>1 июня 1993 года Империал Кемикал Индастрис (ICI, основанная в 1926 году) отделила три направления своего бизнеса (фармация, агрохимия и специализированная химия) для образования компании под названием «Зенека».</w:t>
      </w:r>
      <w:r w:rsidR="00D71908" w:rsidRPr="00A01FC2">
        <w:rPr>
          <w:sz w:val="28"/>
          <w:szCs w:val="28"/>
        </w:rPr>
        <w:t xml:space="preserve"> </w:t>
      </w:r>
      <w:r w:rsidRPr="00A01FC2">
        <w:rPr>
          <w:sz w:val="28"/>
          <w:szCs w:val="28"/>
        </w:rPr>
        <w:t xml:space="preserve">«Зенека» – одна из крупнейших международных научных групп с головным офисом в Лондоне. Сферой её деятельности было исследование, разработка, выпуск и сбыт фармацевтических препаратов (для анестезии, лечения рака, заболеваний дыхательных путей, сердечно-сосудистой и центральной нервной систем), производство агрохимических продуктов, она также занималась лечением отдельных заболеваний. Компания стремительно завоевывала позиции на международном рынке, проводя интенсивные научные исследования, а также обладая богатым маркетинговым опытом и основательной научной базой. </w:t>
      </w:r>
    </w:p>
    <w:p w:rsidR="00B76708" w:rsidRPr="00A01FC2" w:rsidRDefault="00ED4067" w:rsidP="00D7190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01FC2">
        <w:rPr>
          <w:sz w:val="28"/>
          <w:szCs w:val="28"/>
        </w:rPr>
        <w:t xml:space="preserve">«АстраЗенека» </w:t>
      </w:r>
      <w:r w:rsidR="005C3D9D" w:rsidRPr="00A01FC2">
        <w:rPr>
          <w:sz w:val="28"/>
          <w:szCs w:val="28"/>
        </w:rPr>
        <w:t xml:space="preserve">занимается исследованием, разработкой, выпуском и продажей лекарственных средств, а также медицинским обеспечением. </w:t>
      </w:r>
      <w:r w:rsidRPr="00A01FC2">
        <w:rPr>
          <w:sz w:val="28"/>
          <w:szCs w:val="28"/>
        </w:rPr>
        <w:t xml:space="preserve">Компания </w:t>
      </w:r>
      <w:r w:rsidR="005C3D9D" w:rsidRPr="00A01FC2">
        <w:rPr>
          <w:sz w:val="28"/>
          <w:szCs w:val="28"/>
        </w:rPr>
        <w:t>является лидером в таких областях как кардиология, пульмонология, онкология и неврология,</w:t>
      </w:r>
      <w:r w:rsidR="00B76708" w:rsidRPr="00A01FC2">
        <w:rPr>
          <w:sz w:val="28"/>
          <w:szCs w:val="28"/>
        </w:rPr>
        <w:t xml:space="preserve"> </w:t>
      </w:r>
      <w:r w:rsidR="005C3D9D" w:rsidRPr="00A01FC2">
        <w:rPr>
          <w:sz w:val="28"/>
          <w:szCs w:val="28"/>
        </w:rPr>
        <w:t xml:space="preserve">гастроэнтерология. </w:t>
      </w:r>
      <w:r w:rsidR="00B76708" w:rsidRPr="00A01FC2">
        <w:rPr>
          <w:sz w:val="28"/>
          <w:szCs w:val="28"/>
        </w:rPr>
        <w:t>«АстраЗенека» входит в пятерку ведущих фармацевтических компаний, осуществляющих продажу своих продуктов более чем в 100 странах.Компания владеет 31 заводом лекарственных средств в 20 странах мира. Ежедневно более 11 миллионов долларов «АстраЗенека» инвестирует в научно – исследовательскую деятельность. Исследовательские центры расположены в Швеции, Великобритании, США, Канаде, Франции, Японии, Индии, в компании трудится более 63 000 сотрудников.</w:t>
      </w:r>
    </w:p>
    <w:p w:rsidR="00C65235" w:rsidRPr="00A01FC2" w:rsidRDefault="00C65235" w:rsidP="00D7190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01FC2">
        <w:rPr>
          <w:sz w:val="28"/>
          <w:szCs w:val="28"/>
        </w:rPr>
        <w:t xml:space="preserve">Фармацевтические компании Astra и Zeneca открыли свои представительства в России в </w:t>
      </w:r>
      <w:smartTag w:uri="urn:schemas-microsoft-com:office:smarttags" w:element="metricconverter">
        <w:smartTagPr>
          <w:attr w:name="ProductID" w:val="1993 г"/>
        </w:smartTagPr>
        <w:r w:rsidRPr="00A01FC2">
          <w:rPr>
            <w:sz w:val="28"/>
            <w:szCs w:val="28"/>
          </w:rPr>
          <w:t>1993 г</w:t>
        </w:r>
      </w:smartTag>
      <w:r w:rsidRPr="00A01FC2">
        <w:rPr>
          <w:sz w:val="28"/>
          <w:szCs w:val="28"/>
        </w:rPr>
        <w:t xml:space="preserve">. Уже в </w:t>
      </w:r>
      <w:smartTag w:uri="urn:schemas-microsoft-com:office:smarttags" w:element="metricconverter">
        <w:smartTagPr>
          <w:attr w:name="ProductID" w:val="2005 г"/>
        </w:smartTagPr>
        <w:r w:rsidRPr="00A01FC2">
          <w:rPr>
            <w:sz w:val="28"/>
            <w:szCs w:val="28"/>
          </w:rPr>
          <w:t>2005 г</w:t>
        </w:r>
      </w:smartTag>
      <w:r w:rsidRPr="00A01FC2">
        <w:rPr>
          <w:sz w:val="28"/>
          <w:szCs w:val="28"/>
        </w:rPr>
        <w:t xml:space="preserve">. Россия признана одной из 9 стран, приоритетных для развития деятельности компании </w:t>
      </w:r>
      <w:r w:rsidR="002C4F0E" w:rsidRPr="00A01FC2">
        <w:rPr>
          <w:sz w:val="28"/>
          <w:szCs w:val="28"/>
        </w:rPr>
        <w:t>“</w:t>
      </w:r>
      <w:r w:rsidRPr="00A01FC2">
        <w:rPr>
          <w:sz w:val="28"/>
          <w:szCs w:val="28"/>
        </w:rPr>
        <w:t>AstraZeneca</w:t>
      </w:r>
      <w:r w:rsidR="002C4F0E" w:rsidRPr="00A01FC2">
        <w:rPr>
          <w:sz w:val="28"/>
          <w:szCs w:val="28"/>
        </w:rPr>
        <w:t>”</w:t>
      </w:r>
      <w:r w:rsidRPr="00A01FC2">
        <w:rPr>
          <w:sz w:val="28"/>
          <w:szCs w:val="28"/>
        </w:rPr>
        <w:t xml:space="preserve"> на ближайшие десятилетия. В Российской Федерации зарегистрированы и разрешены к использованию более 30 оригинальных препаратов компании. </w:t>
      </w:r>
      <w:r w:rsidR="002C4F0E" w:rsidRPr="00A01FC2">
        <w:rPr>
          <w:sz w:val="28"/>
          <w:szCs w:val="28"/>
        </w:rPr>
        <w:t>“</w:t>
      </w:r>
      <w:r w:rsidRPr="00A01FC2">
        <w:rPr>
          <w:sz w:val="28"/>
          <w:szCs w:val="28"/>
        </w:rPr>
        <w:t>AstraZeneca</w:t>
      </w:r>
      <w:r w:rsidR="002C4F0E" w:rsidRPr="00A01FC2">
        <w:rPr>
          <w:sz w:val="28"/>
          <w:szCs w:val="28"/>
        </w:rPr>
        <w:t>”</w:t>
      </w:r>
      <w:r w:rsidRPr="00A01FC2">
        <w:rPr>
          <w:sz w:val="28"/>
          <w:szCs w:val="28"/>
        </w:rPr>
        <w:t xml:space="preserve"> предлагает врачам и пациентам в России современные высококачественные лекарственные препараты, эффективность которых была доказана и подтверждена при проведении многочисленных клинических исследований. Компания рассматривает возможность их частичного производства в России, чтобы обеспечить россиян высококачественными доступными препаратами.</w:t>
      </w:r>
    </w:p>
    <w:p w:rsidR="00C65235" w:rsidRPr="00A01FC2" w:rsidRDefault="00C65235" w:rsidP="00D7190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01FC2">
        <w:rPr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2011 г"/>
        </w:smartTagPr>
        <w:r w:rsidRPr="00A01FC2">
          <w:rPr>
            <w:sz w:val="28"/>
            <w:szCs w:val="28"/>
          </w:rPr>
          <w:t>201</w:t>
        </w:r>
        <w:r w:rsidR="00B046DF" w:rsidRPr="00A01FC2">
          <w:rPr>
            <w:sz w:val="28"/>
            <w:szCs w:val="28"/>
          </w:rPr>
          <w:t xml:space="preserve">1 </w:t>
        </w:r>
        <w:r w:rsidRPr="00A01FC2">
          <w:rPr>
            <w:sz w:val="28"/>
            <w:szCs w:val="28"/>
          </w:rPr>
          <w:t>г</w:t>
        </w:r>
      </w:smartTag>
      <w:r w:rsidRPr="00A01FC2">
        <w:rPr>
          <w:sz w:val="28"/>
          <w:szCs w:val="28"/>
        </w:rPr>
        <w:t>. AstraZeneca собирается начать производство высококачественных брендированных дженериков в России, которая является одним из ключевых рынков для компании на глобальном уровне. В то же время сбалансированный портфель препаратов, включающий как инновационные лекарственные средства, так и брендированные дженерики, позволит AstraZeneca внести свой вклад в оптимизацию расходов российских покупателей и предложить им наиболее эффективные ценовые решения при проведении тендеров и аукционов в рамках государственных поставок. В компании полагают, что подобное расширение портфеля будет активно способствовать формированию инновационной российской фармацевтической промышленности и реализации стратегии развития «Фарма 2020».</w:t>
      </w:r>
      <w:r w:rsidR="00383EC6" w:rsidRPr="00A01FC2">
        <w:rPr>
          <w:sz w:val="28"/>
          <w:szCs w:val="28"/>
        </w:rPr>
        <w:t xml:space="preserve"> </w:t>
      </w:r>
      <w:r w:rsidR="004E4EF3" w:rsidRPr="00A01FC2">
        <w:rPr>
          <w:sz w:val="28"/>
          <w:szCs w:val="28"/>
        </w:rPr>
        <w:t>[</w:t>
      </w:r>
      <w:r w:rsidR="00383EC6" w:rsidRPr="00A01FC2">
        <w:rPr>
          <w:sz w:val="28"/>
          <w:szCs w:val="28"/>
        </w:rPr>
        <w:t>4</w:t>
      </w:r>
      <w:r w:rsidR="004E4EF3" w:rsidRPr="00A01FC2">
        <w:rPr>
          <w:sz w:val="28"/>
          <w:szCs w:val="28"/>
        </w:rPr>
        <w:t>]</w:t>
      </w:r>
    </w:p>
    <w:p w:rsidR="00D71908" w:rsidRPr="00A01FC2" w:rsidRDefault="00D71908" w:rsidP="00D71908">
      <w:pPr>
        <w:spacing w:line="360" w:lineRule="auto"/>
        <w:ind w:firstLine="709"/>
        <w:jc w:val="both"/>
        <w:rPr>
          <w:sz w:val="28"/>
          <w:szCs w:val="28"/>
        </w:rPr>
      </w:pPr>
    </w:p>
    <w:p w:rsidR="00D5329B" w:rsidRPr="00A01FC2" w:rsidRDefault="00930086" w:rsidP="00D7190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A01FC2">
        <w:rPr>
          <w:sz w:val="28"/>
          <w:szCs w:val="28"/>
        </w:rPr>
        <w:t xml:space="preserve">4.2 </w:t>
      </w:r>
      <w:r w:rsidR="00D5329B" w:rsidRPr="00A01FC2">
        <w:rPr>
          <w:b/>
          <w:sz w:val="28"/>
          <w:szCs w:val="28"/>
        </w:rPr>
        <w:t>Pharmacia</w:t>
      </w:r>
    </w:p>
    <w:p w:rsidR="004E4EF3" w:rsidRPr="00A01FC2" w:rsidRDefault="004E4EF3" w:rsidP="00D71908">
      <w:pPr>
        <w:spacing w:line="360" w:lineRule="auto"/>
        <w:ind w:firstLine="709"/>
        <w:jc w:val="both"/>
        <w:rPr>
          <w:sz w:val="28"/>
          <w:szCs w:val="28"/>
        </w:rPr>
      </w:pPr>
    </w:p>
    <w:p w:rsidR="00D71908" w:rsidRPr="00A01FC2" w:rsidRDefault="00C65235" w:rsidP="00D71908">
      <w:pPr>
        <w:spacing w:line="360" w:lineRule="auto"/>
        <w:ind w:firstLine="709"/>
        <w:jc w:val="both"/>
        <w:rPr>
          <w:sz w:val="28"/>
          <w:szCs w:val="28"/>
        </w:rPr>
      </w:pPr>
      <w:r w:rsidRPr="00A01FC2">
        <w:rPr>
          <w:sz w:val="28"/>
          <w:szCs w:val="28"/>
        </w:rPr>
        <w:t>Компания была образована в ноябре 1995 года в результате слияния двух всемирно известных компаний "Фармация Актиболаг" и "Апджон". Обе компании, вошедшие в состав "Фармация и Апджон", вправе гордиться многолетней историей и корпоративными традициями.</w:t>
      </w:r>
    </w:p>
    <w:p w:rsidR="00C65235" w:rsidRPr="00A01FC2" w:rsidRDefault="00C65235" w:rsidP="00D71908">
      <w:pPr>
        <w:spacing w:line="360" w:lineRule="auto"/>
        <w:ind w:firstLine="709"/>
        <w:jc w:val="both"/>
        <w:rPr>
          <w:sz w:val="28"/>
          <w:szCs w:val="28"/>
        </w:rPr>
      </w:pPr>
      <w:r w:rsidRPr="00A01FC2">
        <w:rPr>
          <w:sz w:val="28"/>
          <w:szCs w:val="28"/>
        </w:rPr>
        <w:t>История компании "Фармация", насчитывающая более ста лет, начиналась в Италии и Швеции. На момент слияния с компанией "Апджон" "Фармация" входила в число 20 крупнейших фармацевтических компаний мира. Она имела отделения в 40 странах, продукция компании продавалась в 100 странах мира, общее количество сотрудников составляло 18000 человек. История компании "Апджон" началась в 1886 году, когда основатель компании Апджон изобрел "крошащиеся таблетки", это и послужило основанием для образования компании "Апджон Пилл энд Грэнул Кампани оф Каламазу, Мичиган". Успешное развитие продолжалось и, вскоре, компания "Апджон" стала одной из ведущих фармацевтических компаний США.</w:t>
      </w:r>
    </w:p>
    <w:p w:rsidR="00C65235" w:rsidRPr="00A01FC2" w:rsidRDefault="00C65235" w:rsidP="00D71908">
      <w:pPr>
        <w:overflowPunct/>
        <w:autoSpaceDE/>
        <w:autoSpaceDN/>
        <w:adjustRightInd/>
        <w:spacing w:line="360" w:lineRule="auto"/>
        <w:ind w:firstLine="709"/>
        <w:jc w:val="both"/>
        <w:textAlignment w:val="auto"/>
        <w:rPr>
          <w:sz w:val="28"/>
          <w:szCs w:val="28"/>
        </w:rPr>
      </w:pPr>
      <w:r w:rsidRPr="00A01FC2">
        <w:rPr>
          <w:sz w:val="28"/>
          <w:szCs w:val="28"/>
        </w:rPr>
        <w:t>Результатом объединения стало увеличение исследовательского и производственного потенциала компании "Фармация и Апджон" в области разработки и внедрения новейших высокоэффективных лекарственных препаратов.</w:t>
      </w:r>
      <w:r w:rsidRPr="00A01FC2">
        <w:rPr>
          <w:b/>
          <w:bCs/>
          <w:sz w:val="28"/>
          <w:szCs w:val="28"/>
        </w:rPr>
        <w:t xml:space="preserve"> </w:t>
      </w:r>
      <w:r w:rsidRPr="00A01FC2">
        <w:rPr>
          <w:bCs/>
          <w:sz w:val="28"/>
          <w:szCs w:val="28"/>
        </w:rPr>
        <w:t xml:space="preserve">В данный момент компания вошла в другой фармацевтический гигант </w:t>
      </w:r>
      <w:r w:rsidRPr="00020ACB">
        <w:rPr>
          <w:bCs/>
          <w:sz w:val="28"/>
          <w:szCs w:val="28"/>
        </w:rPr>
        <w:t>Pfizer Inc. (USA)</w:t>
      </w:r>
      <w:r w:rsidR="00D5329B" w:rsidRPr="00A01FC2">
        <w:rPr>
          <w:bCs/>
          <w:sz w:val="28"/>
          <w:szCs w:val="28"/>
        </w:rPr>
        <w:t>.</w:t>
      </w:r>
    </w:p>
    <w:p w:rsidR="00A269AE" w:rsidRPr="00A01FC2" w:rsidRDefault="00C65235" w:rsidP="00D71908">
      <w:pPr>
        <w:overflowPunct/>
        <w:autoSpaceDE/>
        <w:autoSpaceDN/>
        <w:adjustRightInd/>
        <w:spacing w:line="360" w:lineRule="auto"/>
        <w:ind w:firstLine="709"/>
        <w:jc w:val="both"/>
        <w:textAlignment w:val="auto"/>
        <w:rPr>
          <w:sz w:val="28"/>
          <w:szCs w:val="28"/>
          <w:lang w:bidi="he-IL"/>
        </w:rPr>
      </w:pPr>
      <w:r w:rsidRPr="00A01FC2">
        <w:rPr>
          <w:sz w:val="28"/>
          <w:szCs w:val="28"/>
        </w:rPr>
        <w:t>Компания внедрила на мировом рынке множество эффективнейших препаратов, десятки других находятся на стадии клинических испытаний. В эту группу входят перспективные препараты по лечению заболеваний центральной нервной системы, кардиологических, онкологических и инфекционных заболеваний, астмы, болезней мочевого пузыря. Ежегодные расходы компании на проведение фундаментальных исследований и клинических испытаний составляют более 1 миллиарда долларов.</w:t>
      </w:r>
      <w:r w:rsidR="00D5329B" w:rsidRPr="00A01FC2">
        <w:rPr>
          <w:sz w:val="28"/>
          <w:szCs w:val="28"/>
        </w:rPr>
        <w:t xml:space="preserve"> </w:t>
      </w:r>
      <w:r w:rsidRPr="00A01FC2">
        <w:rPr>
          <w:sz w:val="28"/>
          <w:szCs w:val="28"/>
        </w:rPr>
        <w:t>Представители компании "Фармация и Апджон" работают во многих странах мира.</w:t>
      </w:r>
      <w:r w:rsidR="00D5329B" w:rsidRPr="00A01FC2">
        <w:rPr>
          <w:sz w:val="28"/>
          <w:szCs w:val="28"/>
          <w:lang w:bidi="he-IL"/>
        </w:rPr>
        <w:t xml:space="preserve"> </w:t>
      </w:r>
      <w:r w:rsidR="006F1885" w:rsidRPr="00A01FC2">
        <w:rPr>
          <w:sz w:val="28"/>
          <w:szCs w:val="28"/>
          <w:lang w:bidi="he-IL"/>
        </w:rPr>
        <w:t>[</w:t>
      </w:r>
      <w:r w:rsidR="00383EC6" w:rsidRPr="00A01FC2">
        <w:rPr>
          <w:sz w:val="28"/>
          <w:szCs w:val="28"/>
          <w:lang w:val="en-US" w:bidi="he-IL"/>
        </w:rPr>
        <w:t>2</w:t>
      </w:r>
      <w:r w:rsidR="006F1885" w:rsidRPr="00A01FC2">
        <w:rPr>
          <w:sz w:val="28"/>
          <w:szCs w:val="28"/>
          <w:lang w:bidi="he-IL"/>
        </w:rPr>
        <w:t>]</w:t>
      </w:r>
    </w:p>
    <w:p w:rsidR="00E31117" w:rsidRPr="00A01FC2" w:rsidRDefault="00E31117" w:rsidP="00D71908">
      <w:pPr>
        <w:overflowPunct/>
        <w:autoSpaceDE/>
        <w:autoSpaceDN/>
        <w:adjustRightInd/>
        <w:spacing w:line="360" w:lineRule="auto"/>
        <w:ind w:firstLine="709"/>
        <w:jc w:val="both"/>
        <w:textAlignment w:val="auto"/>
        <w:rPr>
          <w:b/>
          <w:sz w:val="28"/>
          <w:szCs w:val="28"/>
          <w:lang w:bidi="he-IL"/>
        </w:rPr>
      </w:pPr>
    </w:p>
    <w:p w:rsidR="00D5329B" w:rsidRPr="00A01FC2" w:rsidRDefault="00E31117" w:rsidP="00D71908">
      <w:pPr>
        <w:overflowPunct/>
        <w:autoSpaceDE/>
        <w:autoSpaceDN/>
        <w:adjustRightInd/>
        <w:spacing w:line="360" w:lineRule="auto"/>
        <w:ind w:firstLine="709"/>
        <w:jc w:val="both"/>
        <w:textAlignment w:val="auto"/>
        <w:rPr>
          <w:b/>
          <w:sz w:val="28"/>
          <w:szCs w:val="28"/>
        </w:rPr>
      </w:pPr>
      <w:r w:rsidRPr="00A01FC2">
        <w:rPr>
          <w:b/>
          <w:sz w:val="28"/>
          <w:szCs w:val="28"/>
          <w:lang w:bidi="he-IL"/>
        </w:rPr>
        <w:t>4.3</w:t>
      </w:r>
      <w:r w:rsidR="004E4EF3" w:rsidRPr="00A01FC2">
        <w:rPr>
          <w:b/>
          <w:sz w:val="28"/>
          <w:szCs w:val="28"/>
          <w:lang w:bidi="he-IL"/>
        </w:rPr>
        <w:t xml:space="preserve"> </w:t>
      </w:r>
      <w:r w:rsidR="00B77692" w:rsidRPr="00A01FC2">
        <w:rPr>
          <w:b/>
          <w:sz w:val="28"/>
          <w:szCs w:val="28"/>
          <w:lang w:bidi="he-IL"/>
        </w:rPr>
        <w:t xml:space="preserve">Место шведских </w:t>
      </w:r>
      <w:r w:rsidR="00D26F49" w:rsidRPr="00A01FC2">
        <w:rPr>
          <w:b/>
          <w:sz w:val="28"/>
          <w:szCs w:val="28"/>
          <w:lang w:bidi="he-IL"/>
        </w:rPr>
        <w:t xml:space="preserve">фармацевтических </w:t>
      </w:r>
      <w:r w:rsidR="00B77692" w:rsidRPr="00A01FC2">
        <w:rPr>
          <w:b/>
          <w:sz w:val="28"/>
          <w:szCs w:val="28"/>
          <w:lang w:bidi="he-IL"/>
        </w:rPr>
        <w:t>компаний на международном рынке</w:t>
      </w:r>
    </w:p>
    <w:p w:rsidR="00A02E8D" w:rsidRPr="00A01FC2" w:rsidRDefault="00A02E8D" w:rsidP="00D7190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8F32E8" w:rsidRPr="00A01FC2" w:rsidRDefault="00D26F49" w:rsidP="00D7190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01FC2">
        <w:rPr>
          <w:sz w:val="28"/>
          <w:szCs w:val="28"/>
        </w:rPr>
        <w:t>Компании “AstraZeneca” и “Pharmacia” занимают далеко не последнее место на мировом рынке фармпрепаратов.</w:t>
      </w:r>
    </w:p>
    <w:p w:rsidR="00D5329B" w:rsidRPr="00A01FC2" w:rsidRDefault="00D5329B" w:rsidP="00D7190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01FC2">
        <w:rPr>
          <w:sz w:val="28"/>
          <w:szCs w:val="28"/>
        </w:rPr>
        <w:t>По данным за 2000 год</w:t>
      </w:r>
      <w:r w:rsidRPr="00A01FC2">
        <w:rPr>
          <w:bCs/>
          <w:sz w:val="28"/>
          <w:szCs w:val="28"/>
        </w:rPr>
        <w:t xml:space="preserve"> по объему продаж рецептурных лекарственных средств фармацевтическая компания</w:t>
      </w:r>
      <w:r w:rsidR="008A3164" w:rsidRPr="00A01FC2">
        <w:rPr>
          <w:bCs/>
          <w:sz w:val="28"/>
          <w:szCs w:val="28"/>
        </w:rPr>
        <w:t xml:space="preserve"> </w:t>
      </w:r>
      <w:r w:rsidR="002C4F0E" w:rsidRPr="00A01FC2">
        <w:rPr>
          <w:sz w:val="28"/>
          <w:szCs w:val="28"/>
        </w:rPr>
        <w:t>“AstraZeneca” занимала</w:t>
      </w:r>
      <w:r w:rsidRPr="00A01FC2">
        <w:rPr>
          <w:sz w:val="28"/>
          <w:szCs w:val="28"/>
        </w:rPr>
        <w:t xml:space="preserve"> 4 место на мировом фармрынке, “Pharmacia” – 8 место.</w:t>
      </w:r>
    </w:p>
    <w:p w:rsidR="00D71908" w:rsidRPr="00A01FC2" w:rsidRDefault="00D71908" w:rsidP="00D71908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</w:p>
    <w:p w:rsidR="00D5329B" w:rsidRPr="00A01FC2" w:rsidRDefault="004E4EF3" w:rsidP="00D7190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01FC2">
        <w:rPr>
          <w:bCs/>
          <w:sz w:val="28"/>
          <w:szCs w:val="28"/>
        </w:rPr>
        <w:t>Таблица 1</w:t>
      </w:r>
      <w:r w:rsidR="00D71908" w:rsidRPr="00A01FC2">
        <w:rPr>
          <w:bCs/>
          <w:sz w:val="28"/>
          <w:szCs w:val="28"/>
        </w:rPr>
        <w:t xml:space="preserve">. </w:t>
      </w:r>
      <w:r w:rsidR="00D5329B" w:rsidRPr="00A01FC2">
        <w:rPr>
          <w:bCs/>
          <w:sz w:val="28"/>
          <w:szCs w:val="28"/>
        </w:rPr>
        <w:t>Рейтинг фармацевтических компаний по объему продаж рецептурных лекарственных средств</w:t>
      </w:r>
      <w:r w:rsidR="002049D6" w:rsidRPr="00A01FC2">
        <w:rPr>
          <w:bCs/>
          <w:sz w:val="28"/>
          <w:szCs w:val="28"/>
        </w:rPr>
        <w:t>(</w:t>
      </w:r>
      <w:r w:rsidR="002049D6" w:rsidRPr="00A01FC2">
        <w:rPr>
          <w:iCs/>
          <w:sz w:val="28"/>
          <w:szCs w:val="28"/>
        </w:rPr>
        <w:t>“</w:t>
      </w:r>
      <w:r w:rsidR="002049D6" w:rsidRPr="00A01FC2">
        <w:rPr>
          <w:iCs/>
          <w:sz w:val="28"/>
          <w:szCs w:val="28"/>
          <w:lang w:val="en-US"/>
        </w:rPr>
        <w:t>Scrip</w:t>
      </w:r>
      <w:r w:rsidR="002049D6" w:rsidRPr="00A01FC2">
        <w:rPr>
          <w:iCs/>
          <w:sz w:val="28"/>
          <w:szCs w:val="28"/>
        </w:rPr>
        <w:t xml:space="preserve"> </w:t>
      </w:r>
      <w:r w:rsidR="002049D6" w:rsidRPr="00A01FC2">
        <w:rPr>
          <w:iCs/>
          <w:sz w:val="28"/>
          <w:szCs w:val="28"/>
          <w:lang w:val="en-US"/>
        </w:rPr>
        <w:t>Magazine</w:t>
      </w:r>
      <w:r w:rsidR="002049D6" w:rsidRPr="00A01FC2">
        <w:rPr>
          <w:iCs/>
          <w:sz w:val="28"/>
          <w:szCs w:val="28"/>
        </w:rPr>
        <w:t>”</w:t>
      </w:r>
      <w:r w:rsidR="006F1885" w:rsidRPr="00A01FC2">
        <w:rPr>
          <w:iCs/>
          <w:sz w:val="28"/>
          <w:szCs w:val="28"/>
        </w:rPr>
        <w:t>,</w:t>
      </w:r>
      <w:r w:rsidR="005B4969" w:rsidRPr="00A01FC2">
        <w:rPr>
          <w:iCs/>
          <w:sz w:val="28"/>
          <w:szCs w:val="28"/>
        </w:rPr>
        <w:t xml:space="preserve"> </w:t>
      </w:r>
      <w:r w:rsidR="005B4969" w:rsidRPr="00A01FC2">
        <w:rPr>
          <w:sz w:val="28"/>
          <w:szCs w:val="28"/>
        </w:rPr>
        <w:t>№279</w:t>
      </w:r>
      <w:r w:rsidR="00A01FC2">
        <w:rPr>
          <w:sz w:val="28"/>
          <w:szCs w:val="28"/>
        </w:rPr>
        <w:t xml:space="preserve"> </w:t>
      </w:r>
      <w:r w:rsidR="005B4969" w:rsidRPr="00A01FC2">
        <w:rPr>
          <w:sz w:val="28"/>
          <w:szCs w:val="28"/>
        </w:rPr>
        <w:t>(8)</w:t>
      </w:r>
      <w:r w:rsidR="00A01FC2">
        <w:rPr>
          <w:sz w:val="28"/>
          <w:szCs w:val="28"/>
        </w:rPr>
        <w:t xml:space="preserve"> </w:t>
      </w:r>
      <w:r w:rsidR="005B4969" w:rsidRPr="00A01FC2">
        <w:rPr>
          <w:sz w:val="28"/>
          <w:szCs w:val="28"/>
        </w:rPr>
        <w:t>26.02.2001</w:t>
      </w:r>
      <w:r w:rsidR="002049D6" w:rsidRPr="00A01FC2">
        <w:rPr>
          <w:iCs/>
          <w:sz w:val="28"/>
          <w:szCs w:val="28"/>
        </w:rPr>
        <w:t>)</w:t>
      </w:r>
    </w:p>
    <w:tbl>
      <w:tblPr>
        <w:tblW w:w="4550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1430"/>
        <w:gridCol w:w="3402"/>
        <w:gridCol w:w="1856"/>
        <w:gridCol w:w="1959"/>
      </w:tblGrid>
      <w:tr w:rsidR="00D5329B" w:rsidRPr="00B62CF6" w:rsidTr="00D71908">
        <w:trPr>
          <w:tblCellSpacing w:w="7" w:type="dxa"/>
          <w:jc w:val="center"/>
        </w:trPr>
        <w:tc>
          <w:tcPr>
            <w:tcW w:w="815" w:type="pct"/>
          </w:tcPr>
          <w:p w:rsidR="00D5329B" w:rsidRPr="00B62CF6" w:rsidRDefault="00D5329B" w:rsidP="00B62CF6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B62CF6">
              <w:rPr>
                <w:bCs/>
                <w:sz w:val="20"/>
                <w:szCs w:val="20"/>
              </w:rPr>
              <w:t>Место в</w:t>
            </w:r>
            <w:r w:rsidR="00A01FC2" w:rsidRPr="00B62CF6">
              <w:rPr>
                <w:bCs/>
                <w:sz w:val="20"/>
                <w:szCs w:val="20"/>
              </w:rPr>
              <w:t xml:space="preserve"> </w:t>
            </w:r>
            <w:r w:rsidRPr="00B62CF6">
              <w:rPr>
                <w:bCs/>
                <w:sz w:val="20"/>
                <w:szCs w:val="20"/>
              </w:rPr>
              <w:t>рейтинге</w:t>
            </w:r>
          </w:p>
        </w:tc>
        <w:tc>
          <w:tcPr>
            <w:tcW w:w="1961" w:type="pct"/>
          </w:tcPr>
          <w:p w:rsidR="00D5329B" w:rsidRPr="00B62CF6" w:rsidRDefault="00D5329B" w:rsidP="00B62CF6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B62CF6">
              <w:rPr>
                <w:bCs/>
                <w:sz w:val="20"/>
                <w:szCs w:val="20"/>
              </w:rPr>
              <w:t>Компания</w:t>
            </w:r>
          </w:p>
        </w:tc>
        <w:tc>
          <w:tcPr>
            <w:tcW w:w="1066" w:type="pct"/>
          </w:tcPr>
          <w:p w:rsidR="00EA51E5" w:rsidRPr="00B62CF6" w:rsidRDefault="00D5329B" w:rsidP="00B62CF6">
            <w:pPr>
              <w:pStyle w:val="a3"/>
              <w:spacing w:before="0" w:beforeAutospacing="0" w:after="0" w:afterAutospacing="0" w:line="360" w:lineRule="auto"/>
              <w:jc w:val="both"/>
              <w:rPr>
                <w:bCs/>
                <w:sz w:val="20"/>
                <w:szCs w:val="20"/>
              </w:rPr>
            </w:pPr>
            <w:r w:rsidRPr="00B62CF6">
              <w:rPr>
                <w:bCs/>
                <w:sz w:val="20"/>
                <w:szCs w:val="20"/>
              </w:rPr>
              <w:t>Объем продаж,</w:t>
            </w:r>
          </w:p>
          <w:p w:rsidR="00EA51E5" w:rsidRPr="00B62CF6" w:rsidRDefault="00EA51E5" w:rsidP="00B62CF6">
            <w:pPr>
              <w:pStyle w:val="a3"/>
              <w:spacing w:before="0" w:beforeAutospacing="0" w:after="0" w:afterAutospacing="0" w:line="360" w:lineRule="auto"/>
              <w:jc w:val="both"/>
              <w:rPr>
                <w:bCs/>
                <w:sz w:val="20"/>
                <w:szCs w:val="20"/>
              </w:rPr>
            </w:pPr>
            <w:r w:rsidRPr="00B62CF6">
              <w:rPr>
                <w:bCs/>
                <w:sz w:val="20"/>
                <w:szCs w:val="20"/>
              </w:rPr>
              <w:t>м</w:t>
            </w:r>
            <w:r w:rsidR="00D5329B" w:rsidRPr="00B62CF6">
              <w:rPr>
                <w:bCs/>
                <w:sz w:val="20"/>
                <w:szCs w:val="20"/>
              </w:rPr>
              <w:t>лрд</w:t>
            </w:r>
            <w:r w:rsidRPr="00B62CF6">
              <w:rPr>
                <w:bCs/>
                <w:sz w:val="20"/>
                <w:szCs w:val="20"/>
              </w:rPr>
              <w:t>.</w:t>
            </w:r>
            <w:r w:rsidR="00D5329B" w:rsidRPr="00B62CF6">
              <w:rPr>
                <w:bCs/>
                <w:sz w:val="20"/>
                <w:szCs w:val="20"/>
              </w:rPr>
              <w:t xml:space="preserve"> долл.</w:t>
            </w:r>
          </w:p>
          <w:p w:rsidR="00D5329B" w:rsidRPr="00B62CF6" w:rsidRDefault="00D5329B" w:rsidP="00B62CF6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B62CF6">
              <w:rPr>
                <w:bCs/>
                <w:sz w:val="20"/>
                <w:szCs w:val="20"/>
              </w:rPr>
              <w:t>США</w:t>
            </w:r>
          </w:p>
        </w:tc>
        <w:tc>
          <w:tcPr>
            <w:tcW w:w="1122" w:type="pct"/>
          </w:tcPr>
          <w:p w:rsidR="00EA51E5" w:rsidRPr="00B62CF6" w:rsidRDefault="00D5329B" w:rsidP="00B62CF6">
            <w:pPr>
              <w:pStyle w:val="a3"/>
              <w:spacing w:before="0" w:beforeAutospacing="0" w:after="0" w:afterAutospacing="0" w:line="360" w:lineRule="auto"/>
              <w:jc w:val="both"/>
              <w:rPr>
                <w:bCs/>
                <w:sz w:val="20"/>
                <w:szCs w:val="20"/>
              </w:rPr>
            </w:pPr>
            <w:r w:rsidRPr="00B62CF6">
              <w:rPr>
                <w:bCs/>
                <w:sz w:val="20"/>
                <w:szCs w:val="20"/>
              </w:rPr>
              <w:t>Изменение объема продаж,</w:t>
            </w:r>
          </w:p>
          <w:p w:rsidR="00D5329B" w:rsidRPr="00B62CF6" w:rsidRDefault="00D5329B" w:rsidP="00B62CF6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B62CF6">
              <w:rPr>
                <w:bCs/>
                <w:sz w:val="20"/>
                <w:szCs w:val="20"/>
              </w:rPr>
              <w:t>%</w:t>
            </w:r>
          </w:p>
        </w:tc>
      </w:tr>
      <w:tr w:rsidR="00D5329B" w:rsidRPr="00B62CF6" w:rsidTr="00D71908">
        <w:trPr>
          <w:tblCellSpacing w:w="7" w:type="dxa"/>
          <w:jc w:val="center"/>
        </w:trPr>
        <w:tc>
          <w:tcPr>
            <w:tcW w:w="815" w:type="pct"/>
          </w:tcPr>
          <w:p w:rsidR="00D5329B" w:rsidRPr="00B62CF6" w:rsidRDefault="00D71908" w:rsidP="00B62CF6">
            <w:pPr>
              <w:spacing w:line="360" w:lineRule="auto"/>
              <w:jc w:val="both"/>
            </w:pPr>
            <w:r w:rsidRPr="00B62CF6">
              <w:t xml:space="preserve"> </w:t>
            </w:r>
            <w:r w:rsidR="00D5329B" w:rsidRPr="00B62CF6">
              <w:t>1-е</w:t>
            </w:r>
          </w:p>
        </w:tc>
        <w:tc>
          <w:tcPr>
            <w:tcW w:w="1961" w:type="pct"/>
            <w:vAlign w:val="center"/>
          </w:tcPr>
          <w:p w:rsidR="00D5329B" w:rsidRPr="00B62CF6" w:rsidRDefault="00D5329B" w:rsidP="00B62CF6">
            <w:pPr>
              <w:spacing w:line="360" w:lineRule="auto"/>
              <w:jc w:val="both"/>
            </w:pPr>
            <w:r w:rsidRPr="00B62CF6">
              <w:t>“GlaxoSmithKline” (Великобритания)</w:t>
            </w:r>
          </w:p>
        </w:tc>
        <w:tc>
          <w:tcPr>
            <w:tcW w:w="1066" w:type="pct"/>
          </w:tcPr>
          <w:p w:rsidR="00D5329B" w:rsidRPr="00B62CF6" w:rsidRDefault="00D5329B" w:rsidP="00B62CF6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B62CF6">
              <w:rPr>
                <w:sz w:val="20"/>
                <w:szCs w:val="20"/>
              </w:rPr>
              <w:t>22,210</w:t>
            </w:r>
          </w:p>
        </w:tc>
        <w:tc>
          <w:tcPr>
            <w:tcW w:w="1122" w:type="pct"/>
          </w:tcPr>
          <w:p w:rsidR="00D5329B" w:rsidRPr="00B62CF6" w:rsidRDefault="00D5329B" w:rsidP="00B62CF6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B62CF6">
              <w:rPr>
                <w:sz w:val="20"/>
                <w:szCs w:val="20"/>
              </w:rPr>
              <w:t>9,4</w:t>
            </w:r>
          </w:p>
        </w:tc>
      </w:tr>
      <w:tr w:rsidR="00D5329B" w:rsidRPr="00B62CF6" w:rsidTr="00D71908">
        <w:trPr>
          <w:tblCellSpacing w:w="7" w:type="dxa"/>
          <w:jc w:val="center"/>
        </w:trPr>
        <w:tc>
          <w:tcPr>
            <w:tcW w:w="815" w:type="pct"/>
          </w:tcPr>
          <w:p w:rsidR="00D5329B" w:rsidRPr="00B62CF6" w:rsidRDefault="00D5329B" w:rsidP="00B62CF6">
            <w:pPr>
              <w:spacing w:line="360" w:lineRule="auto"/>
              <w:jc w:val="both"/>
            </w:pPr>
            <w:r w:rsidRPr="00B62CF6">
              <w:t>2-е</w:t>
            </w:r>
          </w:p>
        </w:tc>
        <w:tc>
          <w:tcPr>
            <w:tcW w:w="1961" w:type="pct"/>
            <w:vAlign w:val="center"/>
          </w:tcPr>
          <w:p w:rsidR="00D5329B" w:rsidRPr="00B62CF6" w:rsidRDefault="00D5329B" w:rsidP="00B62CF6">
            <w:pPr>
              <w:spacing w:line="360" w:lineRule="auto"/>
              <w:jc w:val="both"/>
            </w:pPr>
            <w:r w:rsidRPr="00B62CF6">
              <w:t>“Pfizer” (США)</w:t>
            </w:r>
          </w:p>
        </w:tc>
        <w:tc>
          <w:tcPr>
            <w:tcW w:w="1066" w:type="pct"/>
          </w:tcPr>
          <w:p w:rsidR="00D5329B" w:rsidRPr="00B62CF6" w:rsidRDefault="00D5329B" w:rsidP="00B62CF6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B62CF6">
              <w:rPr>
                <w:sz w:val="20"/>
                <w:szCs w:val="20"/>
              </w:rPr>
              <w:t>20,500</w:t>
            </w:r>
          </w:p>
        </w:tc>
        <w:tc>
          <w:tcPr>
            <w:tcW w:w="1122" w:type="pct"/>
          </w:tcPr>
          <w:p w:rsidR="00D5329B" w:rsidRPr="00B62CF6" w:rsidRDefault="00D5329B" w:rsidP="00B62CF6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B62CF6">
              <w:rPr>
                <w:sz w:val="20"/>
                <w:szCs w:val="20"/>
              </w:rPr>
              <w:t>67,6</w:t>
            </w:r>
          </w:p>
        </w:tc>
      </w:tr>
      <w:tr w:rsidR="00D5329B" w:rsidRPr="00B62CF6" w:rsidTr="00D71908">
        <w:trPr>
          <w:tblCellSpacing w:w="7" w:type="dxa"/>
          <w:jc w:val="center"/>
        </w:trPr>
        <w:tc>
          <w:tcPr>
            <w:tcW w:w="815" w:type="pct"/>
          </w:tcPr>
          <w:p w:rsidR="00D5329B" w:rsidRPr="00B62CF6" w:rsidRDefault="00D5329B" w:rsidP="00B62CF6">
            <w:pPr>
              <w:spacing w:line="360" w:lineRule="auto"/>
              <w:jc w:val="both"/>
            </w:pPr>
            <w:r w:rsidRPr="00B62CF6">
              <w:t>3-е</w:t>
            </w:r>
          </w:p>
        </w:tc>
        <w:tc>
          <w:tcPr>
            <w:tcW w:w="1961" w:type="pct"/>
            <w:vAlign w:val="center"/>
          </w:tcPr>
          <w:p w:rsidR="00D5329B" w:rsidRPr="00B62CF6" w:rsidRDefault="00D5329B" w:rsidP="00B62CF6">
            <w:pPr>
              <w:spacing w:line="360" w:lineRule="auto"/>
              <w:jc w:val="both"/>
            </w:pPr>
            <w:r w:rsidRPr="00B62CF6">
              <w:t>“Merck &amp; Co.” (США)</w:t>
            </w:r>
          </w:p>
        </w:tc>
        <w:tc>
          <w:tcPr>
            <w:tcW w:w="1066" w:type="pct"/>
          </w:tcPr>
          <w:p w:rsidR="00D5329B" w:rsidRPr="00B62CF6" w:rsidRDefault="00D5329B" w:rsidP="00B62CF6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B62CF6">
              <w:rPr>
                <w:sz w:val="20"/>
                <w:szCs w:val="20"/>
              </w:rPr>
              <w:t>17,482</w:t>
            </w:r>
          </w:p>
        </w:tc>
        <w:tc>
          <w:tcPr>
            <w:tcW w:w="1122" w:type="pct"/>
          </w:tcPr>
          <w:p w:rsidR="00D5329B" w:rsidRPr="00B62CF6" w:rsidRDefault="00D5329B" w:rsidP="00B62CF6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B62CF6">
              <w:rPr>
                <w:sz w:val="20"/>
                <w:szCs w:val="20"/>
              </w:rPr>
              <w:t>14,3</w:t>
            </w:r>
          </w:p>
        </w:tc>
      </w:tr>
      <w:tr w:rsidR="00D5329B" w:rsidRPr="00B62CF6" w:rsidTr="00D71908">
        <w:trPr>
          <w:tblCellSpacing w:w="7" w:type="dxa"/>
          <w:jc w:val="center"/>
        </w:trPr>
        <w:tc>
          <w:tcPr>
            <w:tcW w:w="815" w:type="pct"/>
          </w:tcPr>
          <w:p w:rsidR="00D5329B" w:rsidRPr="00B62CF6" w:rsidRDefault="00D5329B" w:rsidP="00B62CF6">
            <w:pPr>
              <w:spacing w:line="360" w:lineRule="auto"/>
              <w:jc w:val="both"/>
            </w:pPr>
            <w:r w:rsidRPr="00B62CF6">
              <w:t>4-е</w:t>
            </w:r>
          </w:p>
        </w:tc>
        <w:tc>
          <w:tcPr>
            <w:tcW w:w="1961" w:type="pct"/>
            <w:vAlign w:val="center"/>
          </w:tcPr>
          <w:p w:rsidR="00D5329B" w:rsidRPr="00B62CF6" w:rsidRDefault="00D5329B" w:rsidP="00B62CF6">
            <w:pPr>
              <w:spacing w:line="360" w:lineRule="auto"/>
              <w:jc w:val="both"/>
            </w:pPr>
            <w:r w:rsidRPr="00B62CF6">
              <w:t>“AstraZeneca” (Швеция–Великобритания)</w:t>
            </w:r>
          </w:p>
        </w:tc>
        <w:tc>
          <w:tcPr>
            <w:tcW w:w="1066" w:type="pct"/>
          </w:tcPr>
          <w:p w:rsidR="00D5329B" w:rsidRPr="00B62CF6" w:rsidRDefault="00D5329B" w:rsidP="00B62CF6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B62CF6">
              <w:rPr>
                <w:sz w:val="20"/>
                <w:szCs w:val="20"/>
              </w:rPr>
              <w:t>14,834</w:t>
            </w:r>
          </w:p>
        </w:tc>
        <w:tc>
          <w:tcPr>
            <w:tcW w:w="1122" w:type="pct"/>
          </w:tcPr>
          <w:p w:rsidR="00D5329B" w:rsidRPr="00B62CF6" w:rsidRDefault="00D5329B" w:rsidP="00B62CF6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B62CF6">
              <w:rPr>
                <w:sz w:val="20"/>
                <w:szCs w:val="20"/>
              </w:rPr>
              <w:t>34,7</w:t>
            </w:r>
          </w:p>
        </w:tc>
      </w:tr>
      <w:tr w:rsidR="00D5329B" w:rsidRPr="00B62CF6" w:rsidTr="00D71908">
        <w:trPr>
          <w:tblCellSpacing w:w="7" w:type="dxa"/>
          <w:jc w:val="center"/>
        </w:trPr>
        <w:tc>
          <w:tcPr>
            <w:tcW w:w="815" w:type="pct"/>
          </w:tcPr>
          <w:p w:rsidR="00D5329B" w:rsidRPr="00B62CF6" w:rsidRDefault="00D5329B" w:rsidP="00B62CF6">
            <w:pPr>
              <w:spacing w:line="360" w:lineRule="auto"/>
              <w:jc w:val="both"/>
            </w:pPr>
            <w:r w:rsidRPr="00B62CF6">
              <w:t>5-е</w:t>
            </w:r>
          </w:p>
        </w:tc>
        <w:tc>
          <w:tcPr>
            <w:tcW w:w="1961" w:type="pct"/>
            <w:vAlign w:val="center"/>
          </w:tcPr>
          <w:p w:rsidR="00D5329B" w:rsidRPr="00B62CF6" w:rsidRDefault="00D5329B" w:rsidP="00B62CF6">
            <w:pPr>
              <w:spacing w:line="360" w:lineRule="auto"/>
              <w:jc w:val="both"/>
            </w:pPr>
            <w:r w:rsidRPr="00B62CF6">
              <w:t>“Aventis” (Франция–Германия)</w:t>
            </w:r>
          </w:p>
        </w:tc>
        <w:tc>
          <w:tcPr>
            <w:tcW w:w="1066" w:type="pct"/>
          </w:tcPr>
          <w:p w:rsidR="00D5329B" w:rsidRPr="00B62CF6" w:rsidRDefault="00D5329B" w:rsidP="00B62CF6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B62CF6">
              <w:rPr>
                <w:sz w:val="20"/>
                <w:szCs w:val="20"/>
              </w:rPr>
              <w:t>14,809</w:t>
            </w:r>
          </w:p>
        </w:tc>
        <w:tc>
          <w:tcPr>
            <w:tcW w:w="1122" w:type="pct"/>
          </w:tcPr>
          <w:p w:rsidR="00D5329B" w:rsidRPr="00B62CF6" w:rsidRDefault="00D5329B" w:rsidP="00B62CF6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B62CF6">
              <w:rPr>
                <w:sz w:val="20"/>
                <w:szCs w:val="20"/>
              </w:rPr>
              <w:t>6,9</w:t>
            </w:r>
          </w:p>
        </w:tc>
      </w:tr>
      <w:tr w:rsidR="00D5329B" w:rsidRPr="00B62CF6" w:rsidTr="00D71908">
        <w:trPr>
          <w:tblCellSpacing w:w="7" w:type="dxa"/>
          <w:jc w:val="center"/>
        </w:trPr>
        <w:tc>
          <w:tcPr>
            <w:tcW w:w="815" w:type="pct"/>
          </w:tcPr>
          <w:p w:rsidR="00D5329B" w:rsidRPr="00B62CF6" w:rsidRDefault="00D5329B" w:rsidP="00B62CF6">
            <w:pPr>
              <w:spacing w:line="360" w:lineRule="auto"/>
              <w:jc w:val="both"/>
            </w:pPr>
            <w:r w:rsidRPr="00B62CF6">
              <w:t>6-е</w:t>
            </w:r>
          </w:p>
        </w:tc>
        <w:tc>
          <w:tcPr>
            <w:tcW w:w="1961" w:type="pct"/>
            <w:vAlign w:val="center"/>
          </w:tcPr>
          <w:p w:rsidR="00D5329B" w:rsidRPr="00B62CF6" w:rsidRDefault="00D5329B" w:rsidP="00B62CF6">
            <w:pPr>
              <w:spacing w:line="360" w:lineRule="auto"/>
              <w:jc w:val="both"/>
            </w:pPr>
            <w:r w:rsidRPr="00B62CF6">
              <w:t>“Bristol-Myers Squibb” (США)</w:t>
            </w:r>
          </w:p>
        </w:tc>
        <w:tc>
          <w:tcPr>
            <w:tcW w:w="1066" w:type="pct"/>
          </w:tcPr>
          <w:p w:rsidR="00D5329B" w:rsidRPr="00B62CF6" w:rsidRDefault="00D5329B" w:rsidP="00B62CF6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B62CF6">
              <w:rPr>
                <w:sz w:val="20"/>
                <w:szCs w:val="20"/>
              </w:rPr>
              <w:t>14,309</w:t>
            </w:r>
          </w:p>
        </w:tc>
        <w:tc>
          <w:tcPr>
            <w:tcW w:w="1122" w:type="pct"/>
          </w:tcPr>
          <w:p w:rsidR="00D5329B" w:rsidRPr="00B62CF6" w:rsidRDefault="00D5329B" w:rsidP="00B62CF6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B62CF6">
              <w:rPr>
                <w:sz w:val="20"/>
                <w:szCs w:val="20"/>
              </w:rPr>
              <w:t>13,8</w:t>
            </w:r>
          </w:p>
        </w:tc>
      </w:tr>
      <w:tr w:rsidR="00D5329B" w:rsidRPr="00B62CF6" w:rsidTr="00D71908">
        <w:trPr>
          <w:tblCellSpacing w:w="7" w:type="dxa"/>
          <w:jc w:val="center"/>
        </w:trPr>
        <w:tc>
          <w:tcPr>
            <w:tcW w:w="815" w:type="pct"/>
          </w:tcPr>
          <w:p w:rsidR="00D5329B" w:rsidRPr="00B62CF6" w:rsidRDefault="00D5329B" w:rsidP="00B62CF6">
            <w:pPr>
              <w:spacing w:line="360" w:lineRule="auto"/>
              <w:jc w:val="both"/>
            </w:pPr>
            <w:r w:rsidRPr="00B62CF6">
              <w:t>7-е</w:t>
            </w:r>
          </w:p>
        </w:tc>
        <w:tc>
          <w:tcPr>
            <w:tcW w:w="1961" w:type="pct"/>
            <w:vAlign w:val="center"/>
          </w:tcPr>
          <w:p w:rsidR="00D5329B" w:rsidRPr="00B62CF6" w:rsidRDefault="00D5329B" w:rsidP="00B62CF6">
            <w:pPr>
              <w:spacing w:line="360" w:lineRule="auto"/>
              <w:jc w:val="both"/>
            </w:pPr>
            <w:r w:rsidRPr="00B62CF6">
              <w:t>“Novartis” (Швейцария)</w:t>
            </w:r>
          </w:p>
        </w:tc>
        <w:tc>
          <w:tcPr>
            <w:tcW w:w="1066" w:type="pct"/>
          </w:tcPr>
          <w:p w:rsidR="00D5329B" w:rsidRPr="00B62CF6" w:rsidRDefault="00D5329B" w:rsidP="00B62CF6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B62CF6">
              <w:rPr>
                <w:sz w:val="20"/>
                <w:szCs w:val="20"/>
              </w:rPr>
              <w:t>12,680</w:t>
            </w:r>
          </w:p>
        </w:tc>
        <w:tc>
          <w:tcPr>
            <w:tcW w:w="1122" w:type="pct"/>
          </w:tcPr>
          <w:p w:rsidR="00D5329B" w:rsidRPr="00B62CF6" w:rsidRDefault="00D5329B" w:rsidP="00B62CF6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B62CF6">
              <w:rPr>
                <w:sz w:val="20"/>
                <w:szCs w:val="20"/>
              </w:rPr>
              <w:t>8,6</w:t>
            </w:r>
          </w:p>
        </w:tc>
      </w:tr>
      <w:tr w:rsidR="00767BE8" w:rsidRPr="00B62CF6" w:rsidTr="00D71908">
        <w:trPr>
          <w:tblCellSpacing w:w="7" w:type="dxa"/>
          <w:jc w:val="center"/>
        </w:trPr>
        <w:tc>
          <w:tcPr>
            <w:tcW w:w="815" w:type="pct"/>
          </w:tcPr>
          <w:p w:rsidR="00767BE8" w:rsidRPr="00B62CF6" w:rsidRDefault="00767BE8" w:rsidP="00B62CF6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B62CF6">
              <w:rPr>
                <w:bCs/>
                <w:sz w:val="20"/>
                <w:szCs w:val="20"/>
              </w:rPr>
              <w:t>Место в</w:t>
            </w:r>
            <w:r w:rsidR="00A01FC2" w:rsidRPr="00B62CF6">
              <w:rPr>
                <w:bCs/>
                <w:sz w:val="20"/>
                <w:szCs w:val="20"/>
              </w:rPr>
              <w:t xml:space="preserve"> </w:t>
            </w:r>
            <w:r w:rsidRPr="00B62CF6">
              <w:rPr>
                <w:bCs/>
                <w:sz w:val="20"/>
                <w:szCs w:val="20"/>
              </w:rPr>
              <w:t>рейтинге</w:t>
            </w:r>
          </w:p>
        </w:tc>
        <w:tc>
          <w:tcPr>
            <w:tcW w:w="1961" w:type="pct"/>
          </w:tcPr>
          <w:p w:rsidR="00767BE8" w:rsidRPr="00B62CF6" w:rsidRDefault="00767BE8" w:rsidP="00B62CF6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B62CF6">
              <w:rPr>
                <w:bCs/>
                <w:sz w:val="20"/>
                <w:szCs w:val="20"/>
              </w:rPr>
              <w:t>Компания</w:t>
            </w:r>
          </w:p>
        </w:tc>
        <w:tc>
          <w:tcPr>
            <w:tcW w:w="1066" w:type="pct"/>
          </w:tcPr>
          <w:p w:rsidR="00767BE8" w:rsidRPr="00B62CF6" w:rsidRDefault="00767BE8" w:rsidP="00B62CF6">
            <w:pPr>
              <w:pStyle w:val="a3"/>
              <w:spacing w:before="0" w:beforeAutospacing="0" w:after="0" w:afterAutospacing="0" w:line="360" w:lineRule="auto"/>
              <w:jc w:val="both"/>
              <w:rPr>
                <w:bCs/>
                <w:sz w:val="20"/>
                <w:szCs w:val="20"/>
              </w:rPr>
            </w:pPr>
            <w:r w:rsidRPr="00B62CF6">
              <w:rPr>
                <w:bCs/>
                <w:sz w:val="20"/>
                <w:szCs w:val="20"/>
              </w:rPr>
              <w:t>Объем продаж,</w:t>
            </w:r>
          </w:p>
          <w:p w:rsidR="00767BE8" w:rsidRPr="00B62CF6" w:rsidRDefault="00767BE8" w:rsidP="00B62CF6">
            <w:pPr>
              <w:pStyle w:val="a3"/>
              <w:spacing w:before="0" w:beforeAutospacing="0" w:after="0" w:afterAutospacing="0" w:line="360" w:lineRule="auto"/>
              <w:jc w:val="both"/>
              <w:rPr>
                <w:bCs/>
                <w:sz w:val="20"/>
                <w:szCs w:val="20"/>
              </w:rPr>
            </w:pPr>
            <w:r w:rsidRPr="00B62CF6">
              <w:rPr>
                <w:bCs/>
                <w:sz w:val="20"/>
                <w:szCs w:val="20"/>
              </w:rPr>
              <w:t>млрд. долл.</w:t>
            </w:r>
          </w:p>
          <w:p w:rsidR="00767BE8" w:rsidRPr="00B62CF6" w:rsidRDefault="00767BE8" w:rsidP="00B62CF6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B62CF6">
              <w:rPr>
                <w:bCs/>
                <w:sz w:val="20"/>
                <w:szCs w:val="20"/>
              </w:rPr>
              <w:t>США</w:t>
            </w:r>
          </w:p>
        </w:tc>
        <w:tc>
          <w:tcPr>
            <w:tcW w:w="1122" w:type="pct"/>
          </w:tcPr>
          <w:p w:rsidR="00767BE8" w:rsidRPr="00B62CF6" w:rsidRDefault="00767BE8" w:rsidP="00B62CF6">
            <w:pPr>
              <w:pStyle w:val="a3"/>
              <w:spacing w:before="0" w:beforeAutospacing="0" w:after="0" w:afterAutospacing="0" w:line="360" w:lineRule="auto"/>
              <w:jc w:val="both"/>
              <w:rPr>
                <w:bCs/>
                <w:sz w:val="20"/>
                <w:szCs w:val="20"/>
              </w:rPr>
            </w:pPr>
            <w:r w:rsidRPr="00B62CF6">
              <w:rPr>
                <w:bCs/>
                <w:sz w:val="20"/>
                <w:szCs w:val="20"/>
              </w:rPr>
              <w:t>Изменение объема продаж,</w:t>
            </w:r>
          </w:p>
          <w:p w:rsidR="00767BE8" w:rsidRPr="00B62CF6" w:rsidRDefault="00767BE8" w:rsidP="00B62CF6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B62CF6">
              <w:rPr>
                <w:bCs/>
                <w:sz w:val="20"/>
                <w:szCs w:val="20"/>
              </w:rPr>
              <w:t>%</w:t>
            </w:r>
          </w:p>
        </w:tc>
      </w:tr>
      <w:tr w:rsidR="00767BE8" w:rsidRPr="00B62CF6" w:rsidTr="00D71908">
        <w:trPr>
          <w:tblCellSpacing w:w="7" w:type="dxa"/>
          <w:jc w:val="center"/>
        </w:trPr>
        <w:tc>
          <w:tcPr>
            <w:tcW w:w="815" w:type="pct"/>
          </w:tcPr>
          <w:p w:rsidR="00767BE8" w:rsidRPr="00B62CF6" w:rsidRDefault="00767BE8" w:rsidP="00B62CF6">
            <w:pPr>
              <w:spacing w:line="360" w:lineRule="auto"/>
              <w:jc w:val="both"/>
            </w:pPr>
            <w:r w:rsidRPr="00B62CF6">
              <w:t>8-е</w:t>
            </w:r>
          </w:p>
        </w:tc>
        <w:tc>
          <w:tcPr>
            <w:tcW w:w="1961" w:type="pct"/>
            <w:vAlign w:val="center"/>
          </w:tcPr>
          <w:p w:rsidR="00767BE8" w:rsidRPr="00B62CF6" w:rsidRDefault="00767BE8" w:rsidP="00B62CF6">
            <w:pPr>
              <w:spacing w:line="360" w:lineRule="auto"/>
              <w:jc w:val="both"/>
            </w:pPr>
            <w:r w:rsidRPr="00B62CF6">
              <w:t>“Pharmacia” (Швеция – США)</w:t>
            </w:r>
          </w:p>
        </w:tc>
        <w:tc>
          <w:tcPr>
            <w:tcW w:w="1066" w:type="pct"/>
          </w:tcPr>
          <w:p w:rsidR="00767BE8" w:rsidRPr="00B62CF6" w:rsidRDefault="00767BE8" w:rsidP="00B62CF6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B62CF6">
              <w:rPr>
                <w:sz w:val="20"/>
                <w:szCs w:val="20"/>
              </w:rPr>
              <w:t>11,177</w:t>
            </w:r>
          </w:p>
        </w:tc>
        <w:tc>
          <w:tcPr>
            <w:tcW w:w="1122" w:type="pct"/>
          </w:tcPr>
          <w:p w:rsidR="00767BE8" w:rsidRPr="00B62CF6" w:rsidRDefault="00767BE8" w:rsidP="00B62CF6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B62CF6">
              <w:rPr>
                <w:sz w:val="20"/>
                <w:szCs w:val="20"/>
              </w:rPr>
              <w:t>20,3</w:t>
            </w:r>
          </w:p>
        </w:tc>
      </w:tr>
      <w:tr w:rsidR="00767BE8" w:rsidRPr="00B62CF6" w:rsidTr="00D71908">
        <w:trPr>
          <w:tblCellSpacing w:w="7" w:type="dxa"/>
          <w:jc w:val="center"/>
        </w:trPr>
        <w:tc>
          <w:tcPr>
            <w:tcW w:w="815" w:type="pct"/>
          </w:tcPr>
          <w:p w:rsidR="00767BE8" w:rsidRPr="00B62CF6" w:rsidRDefault="00767BE8" w:rsidP="00B62CF6">
            <w:pPr>
              <w:spacing w:line="360" w:lineRule="auto"/>
              <w:jc w:val="both"/>
            </w:pPr>
            <w:r w:rsidRPr="00B62CF6">
              <w:t>9-е</w:t>
            </w:r>
          </w:p>
        </w:tc>
        <w:tc>
          <w:tcPr>
            <w:tcW w:w="1961" w:type="pct"/>
            <w:vAlign w:val="center"/>
          </w:tcPr>
          <w:p w:rsidR="00767BE8" w:rsidRPr="00B62CF6" w:rsidRDefault="00767BE8" w:rsidP="00B62CF6">
            <w:pPr>
              <w:spacing w:line="360" w:lineRule="auto"/>
              <w:jc w:val="both"/>
            </w:pPr>
            <w:r w:rsidRPr="00B62CF6">
              <w:t>“Hoffmann-La Roche” (Швейцария)</w:t>
            </w:r>
          </w:p>
        </w:tc>
        <w:tc>
          <w:tcPr>
            <w:tcW w:w="1066" w:type="pct"/>
          </w:tcPr>
          <w:p w:rsidR="00767BE8" w:rsidRPr="00B62CF6" w:rsidRDefault="00767BE8" w:rsidP="00B62CF6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B62CF6">
              <w:rPr>
                <w:sz w:val="20"/>
                <w:szCs w:val="20"/>
              </w:rPr>
              <w:t>10,974</w:t>
            </w:r>
          </w:p>
        </w:tc>
        <w:tc>
          <w:tcPr>
            <w:tcW w:w="1122" w:type="pct"/>
          </w:tcPr>
          <w:p w:rsidR="00767BE8" w:rsidRPr="00B62CF6" w:rsidRDefault="00767BE8" w:rsidP="00B62CF6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B62CF6">
              <w:rPr>
                <w:sz w:val="20"/>
                <w:szCs w:val="20"/>
              </w:rPr>
              <w:t>14,7</w:t>
            </w:r>
          </w:p>
        </w:tc>
      </w:tr>
      <w:tr w:rsidR="00767BE8" w:rsidRPr="00B62CF6" w:rsidTr="00D71908">
        <w:trPr>
          <w:tblCellSpacing w:w="7" w:type="dxa"/>
          <w:jc w:val="center"/>
        </w:trPr>
        <w:tc>
          <w:tcPr>
            <w:tcW w:w="815" w:type="pct"/>
          </w:tcPr>
          <w:p w:rsidR="00767BE8" w:rsidRPr="00B62CF6" w:rsidRDefault="00767BE8" w:rsidP="00B62CF6">
            <w:pPr>
              <w:spacing w:line="360" w:lineRule="auto"/>
              <w:jc w:val="both"/>
            </w:pPr>
            <w:r w:rsidRPr="00B62CF6">
              <w:t>10-е</w:t>
            </w:r>
          </w:p>
        </w:tc>
        <w:tc>
          <w:tcPr>
            <w:tcW w:w="1961" w:type="pct"/>
            <w:vAlign w:val="center"/>
          </w:tcPr>
          <w:p w:rsidR="00767BE8" w:rsidRPr="00B62CF6" w:rsidRDefault="00767BE8" w:rsidP="00B62CF6">
            <w:pPr>
              <w:spacing w:line="360" w:lineRule="auto"/>
              <w:jc w:val="both"/>
            </w:pPr>
            <w:r w:rsidRPr="00B62CF6">
              <w:t>“Johnson &amp; Johnson” (США)</w:t>
            </w:r>
          </w:p>
        </w:tc>
        <w:tc>
          <w:tcPr>
            <w:tcW w:w="1066" w:type="pct"/>
          </w:tcPr>
          <w:p w:rsidR="00767BE8" w:rsidRPr="00B62CF6" w:rsidRDefault="00767BE8" w:rsidP="00B62CF6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B62CF6">
              <w:rPr>
                <w:sz w:val="20"/>
                <w:szCs w:val="20"/>
              </w:rPr>
              <w:t>10,694</w:t>
            </w:r>
          </w:p>
        </w:tc>
        <w:tc>
          <w:tcPr>
            <w:tcW w:w="1122" w:type="pct"/>
          </w:tcPr>
          <w:p w:rsidR="00767BE8" w:rsidRPr="00B62CF6" w:rsidRDefault="00767BE8" w:rsidP="00B62CF6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B62CF6">
              <w:rPr>
                <w:sz w:val="20"/>
                <w:szCs w:val="20"/>
              </w:rPr>
              <w:t>24,9</w:t>
            </w:r>
          </w:p>
        </w:tc>
      </w:tr>
    </w:tbl>
    <w:p w:rsidR="00767BE8" w:rsidRPr="00A01FC2" w:rsidRDefault="00767BE8" w:rsidP="00D7190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D5329B" w:rsidRPr="00A01FC2" w:rsidRDefault="00D5329B" w:rsidP="00D7190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01FC2">
        <w:rPr>
          <w:sz w:val="28"/>
          <w:szCs w:val="28"/>
        </w:rPr>
        <w:t xml:space="preserve">Оценка размера операционной прибыли, полученной компаниями в </w:t>
      </w:r>
      <w:smartTag w:uri="urn:schemas-microsoft-com:office:smarttags" w:element="metricconverter">
        <w:smartTagPr>
          <w:attr w:name="ProductID" w:val="1999 г"/>
        </w:smartTagPr>
        <w:r w:rsidRPr="00A01FC2">
          <w:rPr>
            <w:sz w:val="28"/>
            <w:szCs w:val="28"/>
          </w:rPr>
          <w:t>1999 г</w:t>
        </w:r>
      </w:smartTag>
      <w:r w:rsidRPr="00A01FC2">
        <w:rPr>
          <w:sz w:val="28"/>
          <w:szCs w:val="28"/>
        </w:rPr>
        <w:t>. по результатам выпуска фармацевтической продукции, показывает, что по этому показа</w:t>
      </w:r>
      <w:r w:rsidR="002C4F0E" w:rsidRPr="00A01FC2">
        <w:rPr>
          <w:sz w:val="28"/>
          <w:szCs w:val="28"/>
        </w:rPr>
        <w:t>телю компания “Pharmacia” занимала</w:t>
      </w:r>
      <w:r w:rsidRPr="00A01FC2">
        <w:rPr>
          <w:sz w:val="28"/>
          <w:szCs w:val="28"/>
        </w:rPr>
        <w:t xml:space="preserve"> 8 место в рейтинге, а</w:t>
      </w:r>
      <w:r w:rsidR="004948C4" w:rsidRPr="00A01FC2">
        <w:rPr>
          <w:sz w:val="28"/>
          <w:szCs w:val="28"/>
        </w:rPr>
        <w:t xml:space="preserve"> </w:t>
      </w:r>
      <w:r w:rsidRPr="00A01FC2">
        <w:rPr>
          <w:sz w:val="28"/>
          <w:szCs w:val="28"/>
        </w:rPr>
        <w:t>“AstraZeneca”-</w:t>
      </w:r>
      <w:r w:rsidR="00767BE8" w:rsidRPr="00A01FC2">
        <w:rPr>
          <w:sz w:val="28"/>
          <w:szCs w:val="28"/>
        </w:rPr>
        <w:t xml:space="preserve"> </w:t>
      </w:r>
      <w:r w:rsidRPr="00A01FC2">
        <w:rPr>
          <w:sz w:val="28"/>
          <w:szCs w:val="28"/>
        </w:rPr>
        <w:t>9.</w:t>
      </w:r>
    </w:p>
    <w:p w:rsidR="00D71908" w:rsidRPr="00A01FC2" w:rsidRDefault="00D71908" w:rsidP="00D71908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</w:p>
    <w:p w:rsidR="00D5329B" w:rsidRPr="00A01FC2" w:rsidRDefault="00D5329B" w:rsidP="00D7190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01FC2">
        <w:rPr>
          <w:bCs/>
          <w:sz w:val="28"/>
          <w:szCs w:val="28"/>
        </w:rPr>
        <w:t>Таблица</w:t>
      </w:r>
      <w:r w:rsidR="00611020" w:rsidRPr="00A01FC2">
        <w:rPr>
          <w:bCs/>
          <w:sz w:val="28"/>
          <w:szCs w:val="28"/>
        </w:rPr>
        <w:t xml:space="preserve"> </w:t>
      </w:r>
      <w:r w:rsidR="00EA51E5" w:rsidRPr="00A01FC2">
        <w:rPr>
          <w:bCs/>
          <w:sz w:val="28"/>
          <w:szCs w:val="28"/>
        </w:rPr>
        <w:t xml:space="preserve">2 </w:t>
      </w:r>
      <w:r w:rsidRPr="00A01FC2">
        <w:rPr>
          <w:bCs/>
          <w:sz w:val="28"/>
          <w:szCs w:val="28"/>
        </w:rPr>
        <w:t>Прибыльность крупней</w:t>
      </w:r>
      <w:r w:rsidR="002E7476" w:rsidRPr="00A01FC2">
        <w:rPr>
          <w:bCs/>
          <w:sz w:val="28"/>
          <w:szCs w:val="28"/>
        </w:rPr>
        <w:t xml:space="preserve">ших фармацевтических компаний </w:t>
      </w:r>
      <w:r w:rsidR="005B4969" w:rsidRPr="00A01FC2">
        <w:rPr>
          <w:bCs/>
          <w:sz w:val="28"/>
          <w:szCs w:val="28"/>
        </w:rPr>
        <w:t>(</w:t>
      </w:r>
      <w:r w:rsidR="005B4969" w:rsidRPr="00A01FC2">
        <w:rPr>
          <w:iCs/>
          <w:sz w:val="28"/>
          <w:szCs w:val="28"/>
        </w:rPr>
        <w:t>“</w:t>
      </w:r>
      <w:r w:rsidR="005B4969" w:rsidRPr="00A01FC2">
        <w:rPr>
          <w:iCs/>
          <w:sz w:val="28"/>
          <w:szCs w:val="28"/>
          <w:lang w:val="en-US"/>
        </w:rPr>
        <w:t>Scrip</w:t>
      </w:r>
      <w:r w:rsidR="005B4969" w:rsidRPr="00A01FC2">
        <w:rPr>
          <w:iCs/>
          <w:sz w:val="28"/>
          <w:szCs w:val="28"/>
        </w:rPr>
        <w:t xml:space="preserve"> </w:t>
      </w:r>
      <w:r w:rsidR="005B4969" w:rsidRPr="00A01FC2">
        <w:rPr>
          <w:iCs/>
          <w:sz w:val="28"/>
          <w:szCs w:val="28"/>
          <w:lang w:val="en-US"/>
        </w:rPr>
        <w:t>Magazine</w:t>
      </w:r>
      <w:r w:rsidR="005B4969" w:rsidRPr="00A01FC2">
        <w:rPr>
          <w:iCs/>
          <w:sz w:val="28"/>
          <w:szCs w:val="28"/>
        </w:rPr>
        <w:t xml:space="preserve">”, </w:t>
      </w:r>
      <w:r w:rsidR="005B4969" w:rsidRPr="00A01FC2">
        <w:rPr>
          <w:sz w:val="28"/>
          <w:szCs w:val="28"/>
        </w:rPr>
        <w:t>№279</w:t>
      </w:r>
      <w:r w:rsidR="00A01FC2">
        <w:rPr>
          <w:sz w:val="28"/>
          <w:szCs w:val="28"/>
        </w:rPr>
        <w:t xml:space="preserve"> </w:t>
      </w:r>
      <w:r w:rsidR="005B4969" w:rsidRPr="00A01FC2">
        <w:rPr>
          <w:sz w:val="28"/>
          <w:szCs w:val="28"/>
        </w:rPr>
        <w:t>(8)</w:t>
      </w:r>
      <w:r w:rsidR="00A01FC2">
        <w:rPr>
          <w:sz w:val="28"/>
          <w:szCs w:val="28"/>
        </w:rPr>
        <w:t xml:space="preserve"> </w:t>
      </w:r>
      <w:r w:rsidR="005B4969" w:rsidRPr="00A01FC2">
        <w:rPr>
          <w:sz w:val="28"/>
          <w:szCs w:val="28"/>
        </w:rPr>
        <w:t>26.02.2001</w:t>
      </w:r>
      <w:r w:rsidR="005B4969" w:rsidRPr="00A01FC2">
        <w:rPr>
          <w:iCs/>
          <w:sz w:val="28"/>
          <w:szCs w:val="28"/>
        </w:rPr>
        <w:t>)</w:t>
      </w:r>
    </w:p>
    <w:tbl>
      <w:tblPr>
        <w:tblW w:w="4550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2509"/>
        <w:gridCol w:w="2072"/>
        <w:gridCol w:w="2072"/>
        <w:gridCol w:w="1994"/>
      </w:tblGrid>
      <w:tr w:rsidR="00D5329B" w:rsidRPr="00A01FC2" w:rsidTr="00D71908">
        <w:trPr>
          <w:tblCellSpacing w:w="7" w:type="dxa"/>
          <w:jc w:val="center"/>
        </w:trPr>
        <w:tc>
          <w:tcPr>
            <w:tcW w:w="1450" w:type="pct"/>
          </w:tcPr>
          <w:p w:rsidR="00D5329B" w:rsidRPr="00A01FC2" w:rsidRDefault="00D5329B" w:rsidP="00B62CF6">
            <w:pPr>
              <w:pStyle w:val="11"/>
            </w:pPr>
            <w:r w:rsidRPr="00A01FC2">
              <w:t>Компания</w:t>
            </w:r>
          </w:p>
        </w:tc>
        <w:tc>
          <w:tcPr>
            <w:tcW w:w="1200" w:type="pct"/>
          </w:tcPr>
          <w:p w:rsidR="002E7476" w:rsidRPr="00A01FC2" w:rsidRDefault="00D71908" w:rsidP="00B62CF6">
            <w:pPr>
              <w:pStyle w:val="11"/>
            </w:pPr>
            <w:r w:rsidRPr="00A01FC2">
              <w:t xml:space="preserve"> </w:t>
            </w:r>
            <w:r w:rsidR="00D5329B" w:rsidRPr="00A01FC2">
              <w:t xml:space="preserve">Прибыль, </w:t>
            </w:r>
          </w:p>
          <w:p w:rsidR="00D5329B" w:rsidRPr="00A01FC2" w:rsidRDefault="00D5329B" w:rsidP="00B62CF6">
            <w:pPr>
              <w:pStyle w:val="11"/>
            </w:pPr>
            <w:r w:rsidRPr="00A01FC2">
              <w:t>млрд</w:t>
            </w:r>
            <w:r w:rsidR="00611020" w:rsidRPr="00A01FC2">
              <w:t>.</w:t>
            </w:r>
            <w:r w:rsidRPr="00A01FC2">
              <w:t xml:space="preserve"> долл. США</w:t>
            </w:r>
          </w:p>
        </w:tc>
        <w:tc>
          <w:tcPr>
            <w:tcW w:w="1200" w:type="pct"/>
          </w:tcPr>
          <w:p w:rsidR="00D5329B" w:rsidRPr="00A01FC2" w:rsidRDefault="00D5329B" w:rsidP="00B62CF6">
            <w:pPr>
              <w:pStyle w:val="11"/>
            </w:pPr>
            <w:r w:rsidRPr="00A01FC2">
              <w:t>Объем продаж, млрд</w:t>
            </w:r>
            <w:r w:rsidR="00611020" w:rsidRPr="00A01FC2">
              <w:t>.</w:t>
            </w:r>
            <w:r w:rsidRPr="00A01FC2">
              <w:t xml:space="preserve"> долл. США</w:t>
            </w:r>
          </w:p>
        </w:tc>
        <w:tc>
          <w:tcPr>
            <w:tcW w:w="1200" w:type="pct"/>
          </w:tcPr>
          <w:p w:rsidR="00D71908" w:rsidRPr="00A01FC2" w:rsidRDefault="00D5329B" w:rsidP="00B62CF6">
            <w:pPr>
              <w:pStyle w:val="11"/>
            </w:pPr>
            <w:r w:rsidRPr="00A01FC2">
              <w:t xml:space="preserve">Прибыльность, </w:t>
            </w:r>
          </w:p>
          <w:p w:rsidR="00D5329B" w:rsidRPr="00A01FC2" w:rsidRDefault="00D5329B" w:rsidP="00B62CF6">
            <w:pPr>
              <w:pStyle w:val="11"/>
            </w:pPr>
            <w:r w:rsidRPr="00A01FC2">
              <w:t>%</w:t>
            </w:r>
          </w:p>
        </w:tc>
      </w:tr>
      <w:tr w:rsidR="00D5329B" w:rsidRPr="00A01FC2" w:rsidTr="00D71908">
        <w:trPr>
          <w:tblCellSpacing w:w="7" w:type="dxa"/>
          <w:jc w:val="center"/>
        </w:trPr>
        <w:tc>
          <w:tcPr>
            <w:tcW w:w="1450" w:type="pct"/>
            <w:vAlign w:val="center"/>
          </w:tcPr>
          <w:p w:rsidR="00D5329B" w:rsidRPr="00A01FC2" w:rsidRDefault="00D5329B" w:rsidP="00B62CF6">
            <w:pPr>
              <w:pStyle w:val="11"/>
            </w:pPr>
            <w:r w:rsidRPr="00A01FC2">
              <w:t>“Johnson &amp; Johnson”</w:t>
            </w:r>
          </w:p>
        </w:tc>
        <w:tc>
          <w:tcPr>
            <w:tcW w:w="1200" w:type="pct"/>
          </w:tcPr>
          <w:p w:rsidR="00D5329B" w:rsidRPr="00A01FC2" w:rsidRDefault="00D5329B" w:rsidP="00B62CF6">
            <w:pPr>
              <w:pStyle w:val="11"/>
            </w:pPr>
            <w:r w:rsidRPr="00A01FC2">
              <w:t>3,595</w:t>
            </w:r>
          </w:p>
        </w:tc>
        <w:tc>
          <w:tcPr>
            <w:tcW w:w="1200" w:type="pct"/>
          </w:tcPr>
          <w:p w:rsidR="00D5329B" w:rsidRPr="00A01FC2" w:rsidRDefault="00D5329B" w:rsidP="00B62CF6">
            <w:pPr>
              <w:pStyle w:val="11"/>
            </w:pPr>
            <w:r w:rsidRPr="00A01FC2">
              <w:t>10,694</w:t>
            </w:r>
          </w:p>
        </w:tc>
        <w:tc>
          <w:tcPr>
            <w:tcW w:w="1200" w:type="pct"/>
          </w:tcPr>
          <w:p w:rsidR="00D5329B" w:rsidRPr="00A01FC2" w:rsidRDefault="00D5329B" w:rsidP="00B62CF6">
            <w:pPr>
              <w:pStyle w:val="11"/>
            </w:pPr>
            <w:r w:rsidRPr="00A01FC2">
              <w:t>33,6</w:t>
            </w:r>
          </w:p>
        </w:tc>
      </w:tr>
      <w:tr w:rsidR="00D5329B" w:rsidRPr="00A01FC2" w:rsidTr="00D71908">
        <w:trPr>
          <w:tblCellSpacing w:w="7" w:type="dxa"/>
          <w:jc w:val="center"/>
        </w:trPr>
        <w:tc>
          <w:tcPr>
            <w:tcW w:w="1450" w:type="pct"/>
            <w:vAlign w:val="center"/>
          </w:tcPr>
          <w:p w:rsidR="00D5329B" w:rsidRPr="00A01FC2" w:rsidRDefault="00D5329B" w:rsidP="00B62CF6">
            <w:pPr>
              <w:pStyle w:val="11"/>
            </w:pPr>
            <w:r w:rsidRPr="00A01FC2">
              <w:t>“GlaxoSmithKline”</w:t>
            </w:r>
          </w:p>
        </w:tc>
        <w:tc>
          <w:tcPr>
            <w:tcW w:w="1200" w:type="pct"/>
          </w:tcPr>
          <w:p w:rsidR="00D5329B" w:rsidRPr="00A01FC2" w:rsidRDefault="00D5329B" w:rsidP="00B62CF6">
            <w:pPr>
              <w:pStyle w:val="11"/>
            </w:pPr>
            <w:r w:rsidRPr="00A01FC2">
              <w:t>6,735</w:t>
            </w:r>
          </w:p>
        </w:tc>
        <w:tc>
          <w:tcPr>
            <w:tcW w:w="1200" w:type="pct"/>
          </w:tcPr>
          <w:p w:rsidR="00D5329B" w:rsidRPr="00A01FC2" w:rsidRDefault="00D5329B" w:rsidP="00B62CF6">
            <w:pPr>
              <w:pStyle w:val="11"/>
            </w:pPr>
            <w:r w:rsidRPr="00A01FC2">
              <w:t>22,209</w:t>
            </w:r>
          </w:p>
        </w:tc>
        <w:tc>
          <w:tcPr>
            <w:tcW w:w="1200" w:type="pct"/>
          </w:tcPr>
          <w:p w:rsidR="00D5329B" w:rsidRPr="00A01FC2" w:rsidRDefault="00D5329B" w:rsidP="00B62CF6">
            <w:pPr>
              <w:pStyle w:val="11"/>
            </w:pPr>
            <w:r w:rsidRPr="00A01FC2">
              <w:t>30,3</w:t>
            </w:r>
          </w:p>
        </w:tc>
      </w:tr>
      <w:tr w:rsidR="00D5329B" w:rsidRPr="00A01FC2" w:rsidTr="00D71908">
        <w:trPr>
          <w:tblCellSpacing w:w="7" w:type="dxa"/>
          <w:jc w:val="center"/>
        </w:trPr>
        <w:tc>
          <w:tcPr>
            <w:tcW w:w="1450" w:type="pct"/>
            <w:vAlign w:val="center"/>
          </w:tcPr>
          <w:p w:rsidR="00D5329B" w:rsidRPr="00A01FC2" w:rsidRDefault="00D5329B" w:rsidP="00B62CF6">
            <w:pPr>
              <w:pStyle w:val="11"/>
            </w:pPr>
            <w:r w:rsidRPr="00A01FC2">
              <w:t>“Novartis”</w:t>
            </w:r>
          </w:p>
        </w:tc>
        <w:tc>
          <w:tcPr>
            <w:tcW w:w="1200" w:type="pct"/>
          </w:tcPr>
          <w:p w:rsidR="00D5329B" w:rsidRPr="00A01FC2" w:rsidRDefault="00D5329B" w:rsidP="00B62CF6">
            <w:pPr>
              <w:pStyle w:val="11"/>
            </w:pPr>
            <w:r w:rsidRPr="00A01FC2">
              <w:t>3,612</w:t>
            </w:r>
          </w:p>
        </w:tc>
        <w:tc>
          <w:tcPr>
            <w:tcW w:w="1200" w:type="pct"/>
          </w:tcPr>
          <w:p w:rsidR="00D5329B" w:rsidRPr="00A01FC2" w:rsidRDefault="00D5329B" w:rsidP="00B62CF6">
            <w:pPr>
              <w:pStyle w:val="11"/>
            </w:pPr>
            <w:r w:rsidRPr="00A01FC2">
              <w:t>12,680</w:t>
            </w:r>
          </w:p>
        </w:tc>
        <w:tc>
          <w:tcPr>
            <w:tcW w:w="1200" w:type="pct"/>
          </w:tcPr>
          <w:p w:rsidR="00D5329B" w:rsidRPr="00A01FC2" w:rsidRDefault="00D5329B" w:rsidP="00B62CF6">
            <w:pPr>
              <w:pStyle w:val="11"/>
            </w:pPr>
            <w:r w:rsidRPr="00A01FC2">
              <w:t>28,5</w:t>
            </w:r>
          </w:p>
        </w:tc>
      </w:tr>
      <w:tr w:rsidR="00D5329B" w:rsidRPr="00A01FC2" w:rsidTr="00D71908">
        <w:trPr>
          <w:tblCellSpacing w:w="7" w:type="dxa"/>
          <w:jc w:val="center"/>
        </w:trPr>
        <w:tc>
          <w:tcPr>
            <w:tcW w:w="1450" w:type="pct"/>
            <w:vAlign w:val="center"/>
          </w:tcPr>
          <w:p w:rsidR="00D5329B" w:rsidRPr="00A01FC2" w:rsidRDefault="00D5329B" w:rsidP="00B62CF6">
            <w:pPr>
              <w:pStyle w:val="11"/>
            </w:pPr>
            <w:r w:rsidRPr="00A01FC2">
              <w:t>“Bristol-Myers Squibb”</w:t>
            </w:r>
          </w:p>
        </w:tc>
        <w:tc>
          <w:tcPr>
            <w:tcW w:w="1200" w:type="pct"/>
          </w:tcPr>
          <w:p w:rsidR="00D5329B" w:rsidRPr="00A01FC2" w:rsidRDefault="00D5329B" w:rsidP="00B62CF6">
            <w:pPr>
              <w:pStyle w:val="11"/>
            </w:pPr>
            <w:r w:rsidRPr="00A01FC2">
              <w:t>4,018</w:t>
            </w:r>
          </w:p>
        </w:tc>
        <w:tc>
          <w:tcPr>
            <w:tcW w:w="1200" w:type="pct"/>
          </w:tcPr>
          <w:p w:rsidR="00D5329B" w:rsidRPr="00A01FC2" w:rsidRDefault="00D5329B" w:rsidP="00B62CF6">
            <w:pPr>
              <w:pStyle w:val="11"/>
            </w:pPr>
            <w:r w:rsidRPr="00A01FC2">
              <w:t>14,309</w:t>
            </w:r>
          </w:p>
        </w:tc>
        <w:tc>
          <w:tcPr>
            <w:tcW w:w="1200" w:type="pct"/>
          </w:tcPr>
          <w:p w:rsidR="00D5329B" w:rsidRPr="00A01FC2" w:rsidRDefault="00D5329B" w:rsidP="00B62CF6">
            <w:pPr>
              <w:pStyle w:val="11"/>
            </w:pPr>
            <w:r w:rsidRPr="00A01FC2">
              <w:t>28,1</w:t>
            </w:r>
          </w:p>
        </w:tc>
      </w:tr>
      <w:tr w:rsidR="00D5329B" w:rsidRPr="00A01FC2" w:rsidTr="00D71908">
        <w:trPr>
          <w:tblCellSpacing w:w="7" w:type="dxa"/>
          <w:jc w:val="center"/>
        </w:trPr>
        <w:tc>
          <w:tcPr>
            <w:tcW w:w="1450" w:type="pct"/>
            <w:vAlign w:val="center"/>
          </w:tcPr>
          <w:p w:rsidR="00D5329B" w:rsidRPr="00A01FC2" w:rsidRDefault="00D5329B" w:rsidP="00B62CF6">
            <w:pPr>
              <w:pStyle w:val="11"/>
            </w:pPr>
            <w:r w:rsidRPr="00A01FC2">
              <w:t>“Merck &amp; Co”</w:t>
            </w:r>
          </w:p>
        </w:tc>
        <w:tc>
          <w:tcPr>
            <w:tcW w:w="1200" w:type="pct"/>
          </w:tcPr>
          <w:p w:rsidR="00D5329B" w:rsidRPr="00A01FC2" w:rsidRDefault="00D5329B" w:rsidP="00B62CF6">
            <w:pPr>
              <w:pStyle w:val="11"/>
            </w:pPr>
            <w:r w:rsidRPr="00A01FC2">
              <w:t>8,620</w:t>
            </w:r>
          </w:p>
        </w:tc>
        <w:tc>
          <w:tcPr>
            <w:tcW w:w="1200" w:type="pct"/>
          </w:tcPr>
          <w:p w:rsidR="00D5329B" w:rsidRPr="00A01FC2" w:rsidRDefault="00D5329B" w:rsidP="00B62CF6">
            <w:pPr>
              <w:pStyle w:val="11"/>
            </w:pPr>
            <w:r w:rsidRPr="00A01FC2">
              <w:t>32,714</w:t>
            </w:r>
          </w:p>
        </w:tc>
        <w:tc>
          <w:tcPr>
            <w:tcW w:w="1200" w:type="pct"/>
          </w:tcPr>
          <w:p w:rsidR="00D5329B" w:rsidRPr="00A01FC2" w:rsidRDefault="00D5329B" w:rsidP="00B62CF6">
            <w:pPr>
              <w:pStyle w:val="11"/>
            </w:pPr>
            <w:r w:rsidRPr="00A01FC2">
              <w:t>26.6</w:t>
            </w:r>
          </w:p>
        </w:tc>
      </w:tr>
      <w:tr w:rsidR="00D5329B" w:rsidRPr="00A01FC2" w:rsidTr="00D71908">
        <w:trPr>
          <w:tblCellSpacing w:w="7" w:type="dxa"/>
          <w:jc w:val="center"/>
        </w:trPr>
        <w:tc>
          <w:tcPr>
            <w:tcW w:w="1450" w:type="pct"/>
            <w:vAlign w:val="center"/>
          </w:tcPr>
          <w:p w:rsidR="00D5329B" w:rsidRPr="00A01FC2" w:rsidRDefault="00D5329B" w:rsidP="00B62CF6">
            <w:pPr>
              <w:pStyle w:val="11"/>
            </w:pPr>
            <w:r w:rsidRPr="00A01FC2">
              <w:t>“Lilly”</w:t>
            </w:r>
          </w:p>
        </w:tc>
        <w:tc>
          <w:tcPr>
            <w:tcW w:w="1200" w:type="pct"/>
          </w:tcPr>
          <w:p w:rsidR="00D5329B" w:rsidRPr="00A01FC2" w:rsidRDefault="00D5329B" w:rsidP="00B62CF6">
            <w:pPr>
              <w:pStyle w:val="11"/>
            </w:pPr>
            <w:r w:rsidRPr="00A01FC2">
              <w:t>2,517</w:t>
            </w:r>
          </w:p>
        </w:tc>
        <w:tc>
          <w:tcPr>
            <w:tcW w:w="1200" w:type="pct"/>
          </w:tcPr>
          <w:p w:rsidR="00D5329B" w:rsidRPr="00A01FC2" w:rsidRDefault="00D5329B" w:rsidP="00B62CF6">
            <w:pPr>
              <w:pStyle w:val="11"/>
            </w:pPr>
            <w:r w:rsidRPr="00A01FC2">
              <w:t>9,375</w:t>
            </w:r>
          </w:p>
        </w:tc>
        <w:tc>
          <w:tcPr>
            <w:tcW w:w="1200" w:type="pct"/>
          </w:tcPr>
          <w:p w:rsidR="00D5329B" w:rsidRPr="00A01FC2" w:rsidRDefault="00D5329B" w:rsidP="00B62CF6">
            <w:pPr>
              <w:pStyle w:val="11"/>
            </w:pPr>
            <w:r w:rsidRPr="00A01FC2">
              <w:t>25,4</w:t>
            </w:r>
          </w:p>
        </w:tc>
      </w:tr>
      <w:tr w:rsidR="00D5329B" w:rsidRPr="00A01FC2" w:rsidTr="00D71908">
        <w:trPr>
          <w:tblCellSpacing w:w="7" w:type="dxa"/>
          <w:jc w:val="center"/>
        </w:trPr>
        <w:tc>
          <w:tcPr>
            <w:tcW w:w="1450" w:type="pct"/>
            <w:vAlign w:val="center"/>
          </w:tcPr>
          <w:p w:rsidR="00D5329B" w:rsidRPr="00A01FC2" w:rsidRDefault="00D5329B" w:rsidP="00B62CF6">
            <w:pPr>
              <w:pStyle w:val="11"/>
            </w:pPr>
            <w:r w:rsidRPr="00A01FC2">
              <w:t>“Hoffmann-La Roche”</w:t>
            </w:r>
          </w:p>
        </w:tc>
        <w:tc>
          <w:tcPr>
            <w:tcW w:w="1200" w:type="pct"/>
          </w:tcPr>
          <w:p w:rsidR="00D5329B" w:rsidRPr="00A01FC2" w:rsidRDefault="00D5329B" w:rsidP="00B62CF6">
            <w:pPr>
              <w:pStyle w:val="11"/>
            </w:pPr>
            <w:r w:rsidRPr="00A01FC2">
              <w:t>2,332</w:t>
            </w:r>
          </w:p>
        </w:tc>
        <w:tc>
          <w:tcPr>
            <w:tcW w:w="1200" w:type="pct"/>
          </w:tcPr>
          <w:p w:rsidR="00D5329B" w:rsidRPr="00A01FC2" w:rsidRDefault="00D5329B" w:rsidP="00B62CF6">
            <w:pPr>
              <w:pStyle w:val="11"/>
            </w:pPr>
            <w:r w:rsidRPr="00A01FC2">
              <w:t>10,974</w:t>
            </w:r>
          </w:p>
        </w:tc>
        <w:tc>
          <w:tcPr>
            <w:tcW w:w="1200" w:type="pct"/>
          </w:tcPr>
          <w:p w:rsidR="00D5329B" w:rsidRPr="00A01FC2" w:rsidRDefault="00D5329B" w:rsidP="00B62CF6">
            <w:pPr>
              <w:pStyle w:val="11"/>
            </w:pPr>
            <w:r w:rsidRPr="00A01FC2">
              <w:t>21,3</w:t>
            </w:r>
          </w:p>
        </w:tc>
      </w:tr>
      <w:tr w:rsidR="00D5329B" w:rsidRPr="00A01FC2" w:rsidTr="00D71908">
        <w:trPr>
          <w:tblCellSpacing w:w="7" w:type="dxa"/>
          <w:jc w:val="center"/>
        </w:trPr>
        <w:tc>
          <w:tcPr>
            <w:tcW w:w="1450" w:type="pct"/>
            <w:vAlign w:val="center"/>
          </w:tcPr>
          <w:p w:rsidR="00D5329B" w:rsidRPr="00A01FC2" w:rsidRDefault="00D5329B" w:rsidP="00B62CF6">
            <w:pPr>
              <w:pStyle w:val="11"/>
            </w:pPr>
            <w:r w:rsidRPr="00A01FC2">
              <w:t>“Pharmacia”</w:t>
            </w:r>
          </w:p>
        </w:tc>
        <w:tc>
          <w:tcPr>
            <w:tcW w:w="1200" w:type="pct"/>
          </w:tcPr>
          <w:p w:rsidR="00D5329B" w:rsidRPr="00A01FC2" w:rsidRDefault="00D5329B" w:rsidP="00B62CF6">
            <w:pPr>
              <w:pStyle w:val="11"/>
            </w:pPr>
            <w:r w:rsidRPr="00A01FC2">
              <w:t>2,189</w:t>
            </w:r>
          </w:p>
        </w:tc>
        <w:tc>
          <w:tcPr>
            <w:tcW w:w="1200" w:type="pct"/>
          </w:tcPr>
          <w:p w:rsidR="00D5329B" w:rsidRPr="00A01FC2" w:rsidRDefault="00D5329B" w:rsidP="00B62CF6">
            <w:pPr>
              <w:pStyle w:val="11"/>
            </w:pPr>
            <w:r w:rsidRPr="00A01FC2">
              <w:t>11,177</w:t>
            </w:r>
          </w:p>
        </w:tc>
        <w:tc>
          <w:tcPr>
            <w:tcW w:w="1200" w:type="pct"/>
          </w:tcPr>
          <w:p w:rsidR="00D5329B" w:rsidRPr="00A01FC2" w:rsidRDefault="00D5329B" w:rsidP="00B62CF6">
            <w:pPr>
              <w:pStyle w:val="11"/>
            </w:pPr>
            <w:r w:rsidRPr="00A01FC2">
              <w:t>19,6</w:t>
            </w:r>
          </w:p>
        </w:tc>
      </w:tr>
      <w:tr w:rsidR="00D5329B" w:rsidRPr="00A01FC2" w:rsidTr="00D71908">
        <w:trPr>
          <w:tblCellSpacing w:w="7" w:type="dxa"/>
          <w:jc w:val="center"/>
        </w:trPr>
        <w:tc>
          <w:tcPr>
            <w:tcW w:w="1450" w:type="pct"/>
            <w:vAlign w:val="center"/>
          </w:tcPr>
          <w:p w:rsidR="00D5329B" w:rsidRPr="00A01FC2" w:rsidRDefault="00D5329B" w:rsidP="00B62CF6">
            <w:pPr>
              <w:pStyle w:val="11"/>
            </w:pPr>
            <w:r w:rsidRPr="00A01FC2">
              <w:t>“AstraZeneca”</w:t>
            </w:r>
          </w:p>
        </w:tc>
        <w:tc>
          <w:tcPr>
            <w:tcW w:w="1200" w:type="pct"/>
          </w:tcPr>
          <w:p w:rsidR="00D5329B" w:rsidRPr="00A01FC2" w:rsidRDefault="00D5329B" w:rsidP="00B62CF6">
            <w:pPr>
              <w:pStyle w:val="11"/>
            </w:pPr>
            <w:r w:rsidRPr="00A01FC2">
              <w:t>2,711</w:t>
            </w:r>
          </w:p>
        </w:tc>
        <w:tc>
          <w:tcPr>
            <w:tcW w:w="1200" w:type="pct"/>
          </w:tcPr>
          <w:p w:rsidR="00D5329B" w:rsidRPr="00A01FC2" w:rsidRDefault="00D5329B" w:rsidP="00B62CF6">
            <w:pPr>
              <w:pStyle w:val="11"/>
            </w:pPr>
            <w:r w:rsidRPr="00A01FC2">
              <w:t>14,834</w:t>
            </w:r>
          </w:p>
        </w:tc>
        <w:tc>
          <w:tcPr>
            <w:tcW w:w="1200" w:type="pct"/>
          </w:tcPr>
          <w:p w:rsidR="00D5329B" w:rsidRPr="00A01FC2" w:rsidRDefault="00D5329B" w:rsidP="00B62CF6">
            <w:pPr>
              <w:pStyle w:val="11"/>
            </w:pPr>
            <w:r w:rsidRPr="00A01FC2">
              <w:t>18,3</w:t>
            </w:r>
          </w:p>
        </w:tc>
      </w:tr>
      <w:tr w:rsidR="00D5329B" w:rsidRPr="00A01FC2" w:rsidTr="00D71908">
        <w:trPr>
          <w:tblCellSpacing w:w="7" w:type="dxa"/>
          <w:jc w:val="center"/>
        </w:trPr>
        <w:tc>
          <w:tcPr>
            <w:tcW w:w="1450" w:type="pct"/>
            <w:vAlign w:val="center"/>
          </w:tcPr>
          <w:p w:rsidR="00D5329B" w:rsidRPr="00A01FC2" w:rsidRDefault="00D5329B" w:rsidP="00B62CF6">
            <w:pPr>
              <w:pStyle w:val="11"/>
            </w:pPr>
            <w:r w:rsidRPr="00A01FC2">
              <w:t>“Aventis”</w:t>
            </w:r>
          </w:p>
        </w:tc>
        <w:tc>
          <w:tcPr>
            <w:tcW w:w="1200" w:type="pct"/>
          </w:tcPr>
          <w:p w:rsidR="00D5329B" w:rsidRPr="00A01FC2" w:rsidRDefault="00D5329B" w:rsidP="00B62CF6">
            <w:pPr>
              <w:pStyle w:val="11"/>
            </w:pPr>
            <w:r w:rsidRPr="00A01FC2">
              <w:t>2,609</w:t>
            </w:r>
          </w:p>
        </w:tc>
        <w:tc>
          <w:tcPr>
            <w:tcW w:w="1200" w:type="pct"/>
          </w:tcPr>
          <w:p w:rsidR="00D5329B" w:rsidRPr="00A01FC2" w:rsidRDefault="00D5329B" w:rsidP="00B62CF6">
            <w:pPr>
              <w:pStyle w:val="11"/>
            </w:pPr>
            <w:r w:rsidRPr="00A01FC2">
              <w:t>14,809</w:t>
            </w:r>
          </w:p>
        </w:tc>
        <w:tc>
          <w:tcPr>
            <w:tcW w:w="1200" w:type="pct"/>
          </w:tcPr>
          <w:p w:rsidR="00D5329B" w:rsidRPr="00A01FC2" w:rsidRDefault="00D5329B" w:rsidP="00B62CF6">
            <w:pPr>
              <w:pStyle w:val="11"/>
            </w:pPr>
            <w:r w:rsidRPr="00A01FC2">
              <w:t>17,6</w:t>
            </w:r>
          </w:p>
        </w:tc>
      </w:tr>
    </w:tbl>
    <w:p w:rsidR="002C4F0E" w:rsidRPr="00A01FC2" w:rsidRDefault="002C4F0E" w:rsidP="00D7190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2049D6" w:rsidRPr="00A01FC2" w:rsidRDefault="00D5329B" w:rsidP="00D7190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01FC2">
        <w:rPr>
          <w:sz w:val="28"/>
          <w:szCs w:val="28"/>
        </w:rPr>
        <w:t xml:space="preserve">По размеру инвестиций в научные исследования и разработки в </w:t>
      </w:r>
      <w:smartTag w:uri="urn:schemas-microsoft-com:office:smarttags" w:element="metricconverter">
        <w:smartTagPr>
          <w:attr w:name="ProductID" w:val="1999 г"/>
        </w:smartTagPr>
        <w:r w:rsidRPr="00A01FC2">
          <w:rPr>
            <w:sz w:val="28"/>
            <w:szCs w:val="28"/>
          </w:rPr>
          <w:t>1999 г</w:t>
        </w:r>
      </w:smartTag>
      <w:r w:rsidRPr="00A01FC2">
        <w:rPr>
          <w:sz w:val="28"/>
          <w:szCs w:val="28"/>
        </w:rPr>
        <w:t>. 4-е место занимает компания “AstraZeneca”, а “Pharmacia”-8.</w:t>
      </w:r>
    </w:p>
    <w:p w:rsidR="00D5329B" w:rsidRPr="00A01FC2" w:rsidRDefault="002049D6" w:rsidP="00D7190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01FC2">
        <w:rPr>
          <w:sz w:val="28"/>
          <w:szCs w:val="28"/>
        </w:rPr>
        <w:t>Таблица 3</w:t>
      </w:r>
      <w:r w:rsidR="00D71908" w:rsidRPr="00A01FC2">
        <w:rPr>
          <w:sz w:val="28"/>
          <w:szCs w:val="28"/>
        </w:rPr>
        <w:t xml:space="preserve">. </w:t>
      </w:r>
      <w:r w:rsidRPr="00A01FC2">
        <w:rPr>
          <w:bCs/>
          <w:sz w:val="28"/>
          <w:szCs w:val="28"/>
        </w:rPr>
        <w:t>З</w:t>
      </w:r>
      <w:r w:rsidR="00D5329B" w:rsidRPr="00A01FC2">
        <w:rPr>
          <w:bCs/>
          <w:sz w:val="28"/>
          <w:szCs w:val="28"/>
        </w:rPr>
        <w:t xml:space="preserve">атраты ведущих компаний на исследования и разработки в </w:t>
      </w:r>
      <w:smartTag w:uri="urn:schemas-microsoft-com:office:smarttags" w:element="metricconverter">
        <w:smartTagPr>
          <w:attr w:name="ProductID" w:val="1999 г"/>
        </w:smartTagPr>
        <w:r w:rsidR="00D5329B" w:rsidRPr="00A01FC2">
          <w:rPr>
            <w:bCs/>
            <w:sz w:val="28"/>
            <w:szCs w:val="28"/>
          </w:rPr>
          <w:t>1999 г</w:t>
        </w:r>
      </w:smartTag>
      <w:r w:rsidR="00D5329B" w:rsidRPr="00A01FC2">
        <w:rPr>
          <w:bCs/>
          <w:sz w:val="28"/>
          <w:szCs w:val="28"/>
        </w:rPr>
        <w:t>.</w:t>
      </w:r>
      <w:r w:rsidRPr="00A01FC2">
        <w:rPr>
          <w:bCs/>
          <w:sz w:val="28"/>
          <w:szCs w:val="28"/>
        </w:rPr>
        <w:t xml:space="preserve"> </w:t>
      </w:r>
      <w:r w:rsidR="005B4969" w:rsidRPr="00A01FC2">
        <w:rPr>
          <w:bCs/>
          <w:sz w:val="28"/>
          <w:szCs w:val="28"/>
        </w:rPr>
        <w:t>(</w:t>
      </w:r>
      <w:r w:rsidR="005B4969" w:rsidRPr="00A01FC2">
        <w:rPr>
          <w:iCs/>
          <w:sz w:val="28"/>
          <w:szCs w:val="28"/>
        </w:rPr>
        <w:t>“</w:t>
      </w:r>
      <w:r w:rsidR="005B4969" w:rsidRPr="00A01FC2">
        <w:rPr>
          <w:iCs/>
          <w:sz w:val="28"/>
          <w:szCs w:val="28"/>
          <w:lang w:val="en-US"/>
        </w:rPr>
        <w:t>Scrip</w:t>
      </w:r>
      <w:r w:rsidR="005B4969" w:rsidRPr="00A01FC2">
        <w:rPr>
          <w:iCs/>
          <w:sz w:val="28"/>
          <w:szCs w:val="28"/>
        </w:rPr>
        <w:t xml:space="preserve"> </w:t>
      </w:r>
      <w:r w:rsidR="005B4969" w:rsidRPr="00A01FC2">
        <w:rPr>
          <w:iCs/>
          <w:sz w:val="28"/>
          <w:szCs w:val="28"/>
          <w:lang w:val="en-US"/>
        </w:rPr>
        <w:t>Magazine</w:t>
      </w:r>
      <w:r w:rsidR="005B4969" w:rsidRPr="00A01FC2">
        <w:rPr>
          <w:iCs/>
          <w:sz w:val="28"/>
          <w:szCs w:val="28"/>
        </w:rPr>
        <w:t xml:space="preserve">”, </w:t>
      </w:r>
      <w:r w:rsidR="005B4969" w:rsidRPr="00A01FC2">
        <w:rPr>
          <w:sz w:val="28"/>
          <w:szCs w:val="28"/>
        </w:rPr>
        <w:t>№279</w:t>
      </w:r>
      <w:r w:rsidR="00A01FC2">
        <w:rPr>
          <w:sz w:val="28"/>
          <w:szCs w:val="28"/>
        </w:rPr>
        <w:t xml:space="preserve"> </w:t>
      </w:r>
      <w:r w:rsidR="005B4969" w:rsidRPr="00A01FC2">
        <w:rPr>
          <w:sz w:val="28"/>
          <w:szCs w:val="28"/>
        </w:rPr>
        <w:t>(8)</w:t>
      </w:r>
      <w:r w:rsidR="00A01FC2">
        <w:rPr>
          <w:sz w:val="28"/>
          <w:szCs w:val="28"/>
        </w:rPr>
        <w:t xml:space="preserve"> </w:t>
      </w:r>
      <w:r w:rsidR="005B4969" w:rsidRPr="00A01FC2">
        <w:rPr>
          <w:sz w:val="28"/>
          <w:szCs w:val="28"/>
        </w:rPr>
        <w:t>26.02.2001</w:t>
      </w:r>
      <w:r w:rsidR="005B4969" w:rsidRPr="00A01FC2">
        <w:rPr>
          <w:iCs/>
          <w:sz w:val="28"/>
          <w:szCs w:val="28"/>
        </w:rPr>
        <w:t>)</w:t>
      </w:r>
    </w:p>
    <w:tbl>
      <w:tblPr>
        <w:tblW w:w="4550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2422"/>
        <w:gridCol w:w="2416"/>
        <w:gridCol w:w="1472"/>
        <w:gridCol w:w="2337"/>
      </w:tblGrid>
      <w:tr w:rsidR="00D5329B" w:rsidRPr="00A01FC2" w:rsidTr="00D71908">
        <w:trPr>
          <w:tblCellSpacing w:w="7" w:type="dxa"/>
          <w:jc w:val="center"/>
        </w:trPr>
        <w:tc>
          <w:tcPr>
            <w:tcW w:w="1390" w:type="pct"/>
          </w:tcPr>
          <w:p w:rsidR="00D5329B" w:rsidRPr="00A01FC2" w:rsidRDefault="00D5329B" w:rsidP="00B62CF6">
            <w:pPr>
              <w:pStyle w:val="11"/>
            </w:pPr>
            <w:r w:rsidRPr="00A01FC2">
              <w:t>Компания</w:t>
            </w:r>
          </w:p>
        </w:tc>
        <w:tc>
          <w:tcPr>
            <w:tcW w:w="1390" w:type="pct"/>
          </w:tcPr>
          <w:p w:rsidR="00D5329B" w:rsidRPr="00A01FC2" w:rsidRDefault="00D5329B" w:rsidP="00B62CF6">
            <w:pPr>
              <w:pStyle w:val="11"/>
            </w:pPr>
            <w:r w:rsidRPr="00A01FC2">
              <w:t>Расходы на научные исследования и разработки, млрд долл. США</w:t>
            </w:r>
          </w:p>
        </w:tc>
        <w:tc>
          <w:tcPr>
            <w:tcW w:w="844" w:type="pct"/>
          </w:tcPr>
          <w:p w:rsidR="00D5329B" w:rsidRPr="00A01FC2" w:rsidRDefault="00D5329B" w:rsidP="00B62CF6">
            <w:pPr>
              <w:pStyle w:val="11"/>
            </w:pPr>
            <w:r w:rsidRPr="00A01FC2">
              <w:t>Объем продаж, млрд</w:t>
            </w:r>
            <w:r w:rsidR="00A01FC2">
              <w:t xml:space="preserve"> </w:t>
            </w:r>
            <w:r w:rsidRPr="00A01FC2">
              <w:t>долл. США</w:t>
            </w:r>
          </w:p>
        </w:tc>
        <w:tc>
          <w:tcPr>
            <w:tcW w:w="1340" w:type="pct"/>
          </w:tcPr>
          <w:p w:rsidR="00D5329B" w:rsidRPr="00A01FC2" w:rsidRDefault="00D5329B" w:rsidP="00B62CF6">
            <w:pPr>
              <w:pStyle w:val="11"/>
            </w:pPr>
            <w:r w:rsidRPr="00A01FC2">
              <w:t>Расходы на научные исследования и разработки, в</w:t>
            </w:r>
            <w:r w:rsidR="00A01FC2">
              <w:t xml:space="preserve"> </w:t>
            </w:r>
            <w:r w:rsidRPr="00A01FC2">
              <w:t>%</w:t>
            </w:r>
            <w:r w:rsidR="00A01FC2">
              <w:t xml:space="preserve"> </w:t>
            </w:r>
            <w:r w:rsidRPr="00A01FC2">
              <w:t>от</w:t>
            </w:r>
            <w:r w:rsidR="00A01FC2">
              <w:t xml:space="preserve"> </w:t>
            </w:r>
            <w:r w:rsidRPr="00A01FC2">
              <w:t>объема продаж</w:t>
            </w:r>
          </w:p>
        </w:tc>
      </w:tr>
      <w:tr w:rsidR="00D5329B" w:rsidRPr="00A01FC2" w:rsidTr="00D71908">
        <w:trPr>
          <w:tblCellSpacing w:w="7" w:type="dxa"/>
          <w:jc w:val="center"/>
        </w:trPr>
        <w:tc>
          <w:tcPr>
            <w:tcW w:w="1390" w:type="pct"/>
            <w:vAlign w:val="center"/>
          </w:tcPr>
          <w:p w:rsidR="00D5329B" w:rsidRPr="00A01FC2" w:rsidRDefault="00D5329B" w:rsidP="00B62CF6">
            <w:pPr>
              <w:pStyle w:val="11"/>
            </w:pPr>
            <w:r w:rsidRPr="00A01FC2">
              <w:t>“Pfizer”</w:t>
            </w:r>
          </w:p>
        </w:tc>
        <w:tc>
          <w:tcPr>
            <w:tcW w:w="1390" w:type="pct"/>
          </w:tcPr>
          <w:p w:rsidR="00D5329B" w:rsidRPr="00A01FC2" w:rsidRDefault="00D5329B" w:rsidP="00B62CF6">
            <w:pPr>
              <w:pStyle w:val="11"/>
            </w:pPr>
            <w:r w:rsidRPr="00A01FC2">
              <w:t>4,500</w:t>
            </w:r>
          </w:p>
        </w:tc>
        <w:tc>
          <w:tcPr>
            <w:tcW w:w="844" w:type="pct"/>
          </w:tcPr>
          <w:p w:rsidR="00D5329B" w:rsidRPr="00A01FC2" w:rsidRDefault="00D5329B" w:rsidP="00B62CF6">
            <w:pPr>
              <w:pStyle w:val="11"/>
            </w:pPr>
            <w:r w:rsidRPr="00A01FC2">
              <w:t>20,500</w:t>
            </w:r>
          </w:p>
        </w:tc>
        <w:tc>
          <w:tcPr>
            <w:tcW w:w="1340" w:type="pct"/>
          </w:tcPr>
          <w:p w:rsidR="00D5329B" w:rsidRPr="00A01FC2" w:rsidRDefault="00D5329B" w:rsidP="00B62CF6">
            <w:pPr>
              <w:pStyle w:val="11"/>
            </w:pPr>
            <w:r w:rsidRPr="00A01FC2">
              <w:t>15,6</w:t>
            </w:r>
          </w:p>
        </w:tc>
      </w:tr>
      <w:tr w:rsidR="00D5329B" w:rsidRPr="00A01FC2" w:rsidTr="00D71908">
        <w:trPr>
          <w:tblCellSpacing w:w="7" w:type="dxa"/>
          <w:jc w:val="center"/>
        </w:trPr>
        <w:tc>
          <w:tcPr>
            <w:tcW w:w="1390" w:type="pct"/>
            <w:vAlign w:val="center"/>
          </w:tcPr>
          <w:p w:rsidR="00D5329B" w:rsidRPr="00A01FC2" w:rsidRDefault="00D5329B" w:rsidP="00B62CF6">
            <w:pPr>
              <w:pStyle w:val="11"/>
            </w:pPr>
            <w:r w:rsidRPr="00A01FC2">
              <w:t>“GlaxoSmithKline”</w:t>
            </w:r>
          </w:p>
        </w:tc>
        <w:tc>
          <w:tcPr>
            <w:tcW w:w="1390" w:type="pct"/>
          </w:tcPr>
          <w:p w:rsidR="00D5329B" w:rsidRPr="00A01FC2" w:rsidRDefault="00D5329B" w:rsidP="00B62CF6">
            <w:pPr>
              <w:pStyle w:val="11"/>
            </w:pPr>
            <w:r w:rsidRPr="00A01FC2">
              <w:t>3,700</w:t>
            </w:r>
          </w:p>
        </w:tc>
        <w:tc>
          <w:tcPr>
            <w:tcW w:w="844" w:type="pct"/>
          </w:tcPr>
          <w:p w:rsidR="00D5329B" w:rsidRPr="00A01FC2" w:rsidRDefault="00D5329B" w:rsidP="00B62CF6">
            <w:pPr>
              <w:pStyle w:val="11"/>
            </w:pPr>
            <w:r w:rsidRPr="00A01FC2">
              <w:t>22,210</w:t>
            </w:r>
          </w:p>
        </w:tc>
        <w:tc>
          <w:tcPr>
            <w:tcW w:w="1340" w:type="pct"/>
          </w:tcPr>
          <w:p w:rsidR="00D5329B" w:rsidRPr="00A01FC2" w:rsidRDefault="00D5329B" w:rsidP="00B62CF6">
            <w:pPr>
              <w:pStyle w:val="11"/>
            </w:pPr>
            <w:r w:rsidRPr="00A01FC2">
              <w:t>16,6</w:t>
            </w:r>
          </w:p>
        </w:tc>
      </w:tr>
      <w:tr w:rsidR="00D5329B" w:rsidRPr="00A01FC2" w:rsidTr="00D71908">
        <w:trPr>
          <w:tblCellSpacing w:w="7" w:type="dxa"/>
          <w:jc w:val="center"/>
        </w:trPr>
        <w:tc>
          <w:tcPr>
            <w:tcW w:w="1390" w:type="pct"/>
            <w:vAlign w:val="center"/>
          </w:tcPr>
          <w:p w:rsidR="00D5329B" w:rsidRPr="00A01FC2" w:rsidRDefault="00D5329B" w:rsidP="00B62CF6">
            <w:pPr>
              <w:pStyle w:val="11"/>
            </w:pPr>
            <w:r w:rsidRPr="00A01FC2">
              <w:t>“Aventis”</w:t>
            </w:r>
          </w:p>
        </w:tc>
        <w:tc>
          <w:tcPr>
            <w:tcW w:w="1390" w:type="pct"/>
          </w:tcPr>
          <w:p w:rsidR="00D5329B" w:rsidRPr="00A01FC2" w:rsidRDefault="00D5329B" w:rsidP="00B62CF6">
            <w:pPr>
              <w:pStyle w:val="11"/>
            </w:pPr>
            <w:r w:rsidRPr="00A01FC2">
              <w:t>2,593</w:t>
            </w:r>
          </w:p>
        </w:tc>
        <w:tc>
          <w:tcPr>
            <w:tcW w:w="844" w:type="pct"/>
          </w:tcPr>
          <w:p w:rsidR="00D5329B" w:rsidRPr="00A01FC2" w:rsidRDefault="00D5329B" w:rsidP="00B62CF6">
            <w:pPr>
              <w:pStyle w:val="11"/>
            </w:pPr>
            <w:r w:rsidRPr="00A01FC2">
              <w:t>14,809</w:t>
            </w:r>
          </w:p>
        </w:tc>
        <w:tc>
          <w:tcPr>
            <w:tcW w:w="1340" w:type="pct"/>
          </w:tcPr>
          <w:p w:rsidR="00D5329B" w:rsidRPr="00A01FC2" w:rsidRDefault="00D5329B" w:rsidP="00B62CF6">
            <w:pPr>
              <w:pStyle w:val="11"/>
            </w:pPr>
            <w:r w:rsidRPr="00A01FC2">
              <w:t>17,5</w:t>
            </w:r>
          </w:p>
        </w:tc>
      </w:tr>
      <w:tr w:rsidR="00D5329B" w:rsidRPr="00A01FC2" w:rsidTr="00D71908">
        <w:trPr>
          <w:tblCellSpacing w:w="7" w:type="dxa"/>
          <w:jc w:val="center"/>
        </w:trPr>
        <w:tc>
          <w:tcPr>
            <w:tcW w:w="1390" w:type="pct"/>
            <w:vAlign w:val="center"/>
          </w:tcPr>
          <w:p w:rsidR="00D5329B" w:rsidRPr="00A01FC2" w:rsidRDefault="003415B1" w:rsidP="00B62CF6">
            <w:pPr>
              <w:pStyle w:val="11"/>
              <w:rPr>
                <w:lang w:val="en-US"/>
              </w:rPr>
            </w:pPr>
            <w:r w:rsidRPr="00A01FC2">
              <w:t>“AstraZeneca”</w:t>
            </w:r>
          </w:p>
        </w:tc>
        <w:tc>
          <w:tcPr>
            <w:tcW w:w="1390" w:type="pct"/>
          </w:tcPr>
          <w:p w:rsidR="00D5329B" w:rsidRPr="00A01FC2" w:rsidRDefault="00D5329B" w:rsidP="00B62CF6">
            <w:pPr>
              <w:pStyle w:val="11"/>
            </w:pPr>
            <w:r w:rsidRPr="00A01FC2">
              <w:t>2,454</w:t>
            </w:r>
          </w:p>
        </w:tc>
        <w:tc>
          <w:tcPr>
            <w:tcW w:w="844" w:type="pct"/>
          </w:tcPr>
          <w:p w:rsidR="00D5329B" w:rsidRPr="00A01FC2" w:rsidRDefault="00D5329B" w:rsidP="00B62CF6">
            <w:pPr>
              <w:pStyle w:val="11"/>
            </w:pPr>
            <w:r w:rsidRPr="00A01FC2">
              <w:t>14,834</w:t>
            </w:r>
          </w:p>
        </w:tc>
        <w:tc>
          <w:tcPr>
            <w:tcW w:w="1340" w:type="pct"/>
          </w:tcPr>
          <w:p w:rsidR="00D5329B" w:rsidRPr="00A01FC2" w:rsidRDefault="00D5329B" w:rsidP="00B62CF6">
            <w:pPr>
              <w:pStyle w:val="11"/>
            </w:pPr>
            <w:r w:rsidRPr="00A01FC2">
              <w:t>16,5</w:t>
            </w:r>
          </w:p>
        </w:tc>
      </w:tr>
      <w:tr w:rsidR="00D5329B" w:rsidRPr="00A01FC2" w:rsidTr="00D71908">
        <w:trPr>
          <w:tblCellSpacing w:w="7" w:type="dxa"/>
          <w:jc w:val="center"/>
        </w:trPr>
        <w:tc>
          <w:tcPr>
            <w:tcW w:w="1390" w:type="pct"/>
            <w:vAlign w:val="center"/>
          </w:tcPr>
          <w:p w:rsidR="00D5329B" w:rsidRPr="00A01FC2" w:rsidRDefault="00D5329B" w:rsidP="00B62CF6">
            <w:pPr>
              <w:pStyle w:val="11"/>
            </w:pPr>
            <w:r w:rsidRPr="00A01FC2">
              <w:t>“Merck &amp; Co”</w:t>
            </w:r>
          </w:p>
        </w:tc>
        <w:tc>
          <w:tcPr>
            <w:tcW w:w="1390" w:type="pct"/>
          </w:tcPr>
          <w:p w:rsidR="00D5329B" w:rsidRPr="00A01FC2" w:rsidRDefault="00D5329B" w:rsidP="00B62CF6">
            <w:pPr>
              <w:pStyle w:val="11"/>
            </w:pPr>
            <w:r w:rsidRPr="00A01FC2">
              <w:t>2,068</w:t>
            </w:r>
          </w:p>
        </w:tc>
        <w:tc>
          <w:tcPr>
            <w:tcW w:w="844" w:type="pct"/>
          </w:tcPr>
          <w:p w:rsidR="00D5329B" w:rsidRPr="00A01FC2" w:rsidRDefault="00D5329B" w:rsidP="00B62CF6">
            <w:pPr>
              <w:pStyle w:val="11"/>
            </w:pPr>
            <w:r w:rsidRPr="00A01FC2">
              <w:t>17,482</w:t>
            </w:r>
          </w:p>
        </w:tc>
        <w:tc>
          <w:tcPr>
            <w:tcW w:w="1340" w:type="pct"/>
          </w:tcPr>
          <w:p w:rsidR="00D5329B" w:rsidRPr="00A01FC2" w:rsidRDefault="00D5329B" w:rsidP="00B62CF6">
            <w:pPr>
              <w:pStyle w:val="11"/>
            </w:pPr>
            <w:r w:rsidRPr="00A01FC2">
              <w:t>11,8</w:t>
            </w:r>
          </w:p>
        </w:tc>
      </w:tr>
      <w:tr w:rsidR="00D5329B" w:rsidRPr="00A01FC2" w:rsidTr="00D71908">
        <w:trPr>
          <w:tblCellSpacing w:w="7" w:type="dxa"/>
          <w:jc w:val="center"/>
        </w:trPr>
        <w:tc>
          <w:tcPr>
            <w:tcW w:w="1390" w:type="pct"/>
            <w:vAlign w:val="center"/>
          </w:tcPr>
          <w:p w:rsidR="00D5329B" w:rsidRPr="00A01FC2" w:rsidRDefault="00D5329B" w:rsidP="00B62CF6">
            <w:pPr>
              <w:pStyle w:val="11"/>
            </w:pPr>
            <w:r w:rsidRPr="00A01FC2">
              <w:t>“Novartis”</w:t>
            </w:r>
          </w:p>
        </w:tc>
        <w:tc>
          <w:tcPr>
            <w:tcW w:w="1390" w:type="pct"/>
          </w:tcPr>
          <w:p w:rsidR="00D5329B" w:rsidRPr="00A01FC2" w:rsidRDefault="00D5329B" w:rsidP="00B62CF6">
            <w:pPr>
              <w:pStyle w:val="11"/>
            </w:pPr>
            <w:r w:rsidRPr="00A01FC2">
              <w:t>2,075</w:t>
            </w:r>
          </w:p>
        </w:tc>
        <w:tc>
          <w:tcPr>
            <w:tcW w:w="844" w:type="pct"/>
          </w:tcPr>
          <w:p w:rsidR="00D5329B" w:rsidRPr="00A01FC2" w:rsidRDefault="00D5329B" w:rsidP="00B62CF6">
            <w:pPr>
              <w:pStyle w:val="11"/>
            </w:pPr>
            <w:r w:rsidRPr="00A01FC2">
              <w:t>12,680</w:t>
            </w:r>
          </w:p>
        </w:tc>
        <w:tc>
          <w:tcPr>
            <w:tcW w:w="1340" w:type="pct"/>
          </w:tcPr>
          <w:p w:rsidR="00D5329B" w:rsidRPr="00A01FC2" w:rsidRDefault="00D5329B" w:rsidP="00B62CF6">
            <w:pPr>
              <w:pStyle w:val="11"/>
            </w:pPr>
            <w:r w:rsidRPr="00A01FC2">
              <w:t>16,4</w:t>
            </w:r>
          </w:p>
        </w:tc>
      </w:tr>
      <w:tr w:rsidR="00D5329B" w:rsidRPr="00A01FC2" w:rsidTr="00D71908">
        <w:trPr>
          <w:tblCellSpacing w:w="7" w:type="dxa"/>
          <w:jc w:val="center"/>
        </w:trPr>
        <w:tc>
          <w:tcPr>
            <w:tcW w:w="1390" w:type="pct"/>
            <w:vAlign w:val="center"/>
          </w:tcPr>
          <w:p w:rsidR="00D5329B" w:rsidRPr="00A01FC2" w:rsidRDefault="00D5329B" w:rsidP="00B62CF6">
            <w:pPr>
              <w:pStyle w:val="11"/>
            </w:pPr>
            <w:r w:rsidRPr="00A01FC2">
              <w:t>“Hoffmann-La Roche”</w:t>
            </w:r>
          </w:p>
        </w:tc>
        <w:tc>
          <w:tcPr>
            <w:tcW w:w="1390" w:type="pct"/>
          </w:tcPr>
          <w:p w:rsidR="00D5329B" w:rsidRPr="00A01FC2" w:rsidRDefault="00D5329B" w:rsidP="00B62CF6">
            <w:pPr>
              <w:pStyle w:val="11"/>
            </w:pPr>
            <w:r w:rsidRPr="00A01FC2">
              <w:t>2,029</w:t>
            </w:r>
          </w:p>
        </w:tc>
        <w:tc>
          <w:tcPr>
            <w:tcW w:w="844" w:type="pct"/>
          </w:tcPr>
          <w:p w:rsidR="00D5329B" w:rsidRPr="00A01FC2" w:rsidRDefault="00D5329B" w:rsidP="00B62CF6">
            <w:pPr>
              <w:pStyle w:val="11"/>
            </w:pPr>
            <w:r w:rsidRPr="00A01FC2">
              <w:t>10,974</w:t>
            </w:r>
          </w:p>
        </w:tc>
        <w:tc>
          <w:tcPr>
            <w:tcW w:w="1340" w:type="pct"/>
          </w:tcPr>
          <w:p w:rsidR="00D5329B" w:rsidRPr="00A01FC2" w:rsidRDefault="00D5329B" w:rsidP="00B62CF6">
            <w:pPr>
              <w:pStyle w:val="11"/>
            </w:pPr>
            <w:r w:rsidRPr="00A01FC2">
              <w:t>18,5</w:t>
            </w:r>
          </w:p>
        </w:tc>
      </w:tr>
      <w:tr w:rsidR="00D5329B" w:rsidRPr="00A01FC2" w:rsidTr="00D71908">
        <w:trPr>
          <w:tblCellSpacing w:w="7" w:type="dxa"/>
          <w:jc w:val="center"/>
        </w:trPr>
        <w:tc>
          <w:tcPr>
            <w:tcW w:w="1390" w:type="pct"/>
            <w:vAlign w:val="center"/>
          </w:tcPr>
          <w:p w:rsidR="00D5329B" w:rsidRPr="00A01FC2" w:rsidRDefault="00D5329B" w:rsidP="00B62CF6">
            <w:pPr>
              <w:pStyle w:val="11"/>
            </w:pPr>
            <w:r w:rsidRPr="00A01FC2">
              <w:t>“Pharmacia”</w:t>
            </w:r>
          </w:p>
        </w:tc>
        <w:tc>
          <w:tcPr>
            <w:tcW w:w="1390" w:type="pct"/>
          </w:tcPr>
          <w:p w:rsidR="00D5329B" w:rsidRPr="00A01FC2" w:rsidRDefault="00D5329B" w:rsidP="00B62CF6">
            <w:pPr>
              <w:pStyle w:val="11"/>
            </w:pPr>
            <w:r w:rsidRPr="00A01FC2">
              <w:t>2,000</w:t>
            </w:r>
          </w:p>
        </w:tc>
        <w:tc>
          <w:tcPr>
            <w:tcW w:w="844" w:type="pct"/>
          </w:tcPr>
          <w:p w:rsidR="00D5329B" w:rsidRPr="00A01FC2" w:rsidRDefault="00D5329B" w:rsidP="00B62CF6">
            <w:pPr>
              <w:pStyle w:val="11"/>
            </w:pPr>
            <w:r w:rsidRPr="00A01FC2">
              <w:t>11,177</w:t>
            </w:r>
          </w:p>
        </w:tc>
        <w:tc>
          <w:tcPr>
            <w:tcW w:w="1340" w:type="pct"/>
          </w:tcPr>
          <w:p w:rsidR="00D5329B" w:rsidRPr="00A01FC2" w:rsidRDefault="00D5329B" w:rsidP="00B62CF6">
            <w:pPr>
              <w:pStyle w:val="11"/>
            </w:pPr>
            <w:r w:rsidRPr="00A01FC2">
              <w:t>17,9</w:t>
            </w:r>
          </w:p>
        </w:tc>
      </w:tr>
      <w:tr w:rsidR="00D5329B" w:rsidRPr="00A01FC2" w:rsidTr="00D71908">
        <w:trPr>
          <w:tblCellSpacing w:w="7" w:type="dxa"/>
          <w:jc w:val="center"/>
        </w:trPr>
        <w:tc>
          <w:tcPr>
            <w:tcW w:w="1390" w:type="pct"/>
            <w:vAlign w:val="center"/>
          </w:tcPr>
          <w:p w:rsidR="00D5329B" w:rsidRPr="00A01FC2" w:rsidRDefault="00D5329B" w:rsidP="00B62CF6">
            <w:pPr>
              <w:pStyle w:val="11"/>
            </w:pPr>
            <w:r w:rsidRPr="00A01FC2">
              <w:t>“Bristol-Myers Squibb”</w:t>
            </w:r>
          </w:p>
        </w:tc>
        <w:tc>
          <w:tcPr>
            <w:tcW w:w="1390" w:type="pct"/>
          </w:tcPr>
          <w:p w:rsidR="00D5329B" w:rsidRPr="00A01FC2" w:rsidRDefault="00D5329B" w:rsidP="00B62CF6">
            <w:pPr>
              <w:pStyle w:val="11"/>
            </w:pPr>
            <w:r w:rsidRPr="00A01FC2">
              <w:t>1,840</w:t>
            </w:r>
          </w:p>
        </w:tc>
        <w:tc>
          <w:tcPr>
            <w:tcW w:w="844" w:type="pct"/>
          </w:tcPr>
          <w:p w:rsidR="00D5329B" w:rsidRPr="00A01FC2" w:rsidRDefault="00D5329B" w:rsidP="00B62CF6">
            <w:pPr>
              <w:pStyle w:val="11"/>
            </w:pPr>
            <w:r w:rsidRPr="00A01FC2">
              <w:t>14,309</w:t>
            </w:r>
          </w:p>
        </w:tc>
        <w:tc>
          <w:tcPr>
            <w:tcW w:w="1340" w:type="pct"/>
          </w:tcPr>
          <w:p w:rsidR="00D5329B" w:rsidRPr="00A01FC2" w:rsidRDefault="00D5329B" w:rsidP="00B62CF6">
            <w:pPr>
              <w:pStyle w:val="11"/>
            </w:pPr>
            <w:r w:rsidRPr="00A01FC2">
              <w:t>12,9</w:t>
            </w:r>
          </w:p>
        </w:tc>
      </w:tr>
      <w:tr w:rsidR="00D5329B" w:rsidRPr="00A01FC2" w:rsidTr="00D71908">
        <w:trPr>
          <w:tblCellSpacing w:w="7" w:type="dxa"/>
          <w:jc w:val="center"/>
        </w:trPr>
        <w:tc>
          <w:tcPr>
            <w:tcW w:w="1390" w:type="pct"/>
            <w:vAlign w:val="center"/>
          </w:tcPr>
          <w:p w:rsidR="00D5329B" w:rsidRPr="00A01FC2" w:rsidRDefault="00D5329B" w:rsidP="00B62CF6">
            <w:pPr>
              <w:pStyle w:val="11"/>
            </w:pPr>
            <w:r w:rsidRPr="00A01FC2">
              <w:t>“Lilly”</w:t>
            </w:r>
          </w:p>
        </w:tc>
        <w:tc>
          <w:tcPr>
            <w:tcW w:w="1390" w:type="pct"/>
          </w:tcPr>
          <w:p w:rsidR="00D5329B" w:rsidRPr="00A01FC2" w:rsidRDefault="00D5329B" w:rsidP="00B62CF6">
            <w:pPr>
              <w:pStyle w:val="11"/>
            </w:pPr>
            <w:r w:rsidRPr="00A01FC2">
              <w:t>1,784</w:t>
            </w:r>
          </w:p>
        </w:tc>
        <w:tc>
          <w:tcPr>
            <w:tcW w:w="844" w:type="pct"/>
          </w:tcPr>
          <w:p w:rsidR="00D5329B" w:rsidRPr="00A01FC2" w:rsidRDefault="00D5329B" w:rsidP="00B62CF6">
            <w:pPr>
              <w:pStyle w:val="11"/>
            </w:pPr>
            <w:r w:rsidRPr="00A01FC2">
              <w:t>9,375</w:t>
            </w:r>
          </w:p>
        </w:tc>
        <w:tc>
          <w:tcPr>
            <w:tcW w:w="1340" w:type="pct"/>
          </w:tcPr>
          <w:p w:rsidR="00D5329B" w:rsidRPr="00A01FC2" w:rsidRDefault="00D5329B" w:rsidP="00B62CF6">
            <w:pPr>
              <w:pStyle w:val="11"/>
            </w:pPr>
            <w:r w:rsidRPr="00A01FC2">
              <w:t>19,0</w:t>
            </w:r>
          </w:p>
        </w:tc>
      </w:tr>
    </w:tbl>
    <w:p w:rsidR="00260994" w:rsidRPr="00A01FC2" w:rsidRDefault="008F32E8" w:rsidP="00D71908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A01FC2">
        <w:rPr>
          <w:b/>
          <w:sz w:val="28"/>
          <w:szCs w:val="28"/>
        </w:rPr>
        <w:t xml:space="preserve"> </w:t>
      </w:r>
    </w:p>
    <w:p w:rsidR="008F32E8" w:rsidRPr="00A01FC2" w:rsidRDefault="008F32E8" w:rsidP="00D7190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01FC2">
        <w:rPr>
          <w:sz w:val="28"/>
          <w:szCs w:val="28"/>
        </w:rPr>
        <w:t>Из последних данных можно представить рейтинг крупнейших фармацевтических компаний</w:t>
      </w:r>
      <w:r w:rsidR="008A3164" w:rsidRPr="00A01FC2">
        <w:rPr>
          <w:sz w:val="28"/>
          <w:szCs w:val="28"/>
        </w:rPr>
        <w:t xml:space="preserve"> (рис.1.) из которого видно, что“AstraZeneca” не теряет своих позиций на мировом рынке и занимает в нем 6 место, а компания “</w:t>
      </w:r>
      <w:r w:rsidR="008A3164" w:rsidRPr="00A01FC2">
        <w:rPr>
          <w:sz w:val="28"/>
          <w:szCs w:val="28"/>
          <w:lang w:val="en-US"/>
        </w:rPr>
        <w:t>Pfaizer</w:t>
      </w:r>
      <w:r w:rsidR="008A3164" w:rsidRPr="00A01FC2">
        <w:rPr>
          <w:sz w:val="28"/>
          <w:szCs w:val="28"/>
        </w:rPr>
        <w:t xml:space="preserve">”, включившая в себя в настоящее время </w:t>
      </w:r>
      <w:r w:rsidR="002C4F0E" w:rsidRPr="00A01FC2">
        <w:rPr>
          <w:sz w:val="28"/>
          <w:szCs w:val="28"/>
        </w:rPr>
        <w:t xml:space="preserve">компанию </w:t>
      </w:r>
      <w:r w:rsidR="008A3164" w:rsidRPr="00A01FC2">
        <w:rPr>
          <w:sz w:val="28"/>
          <w:szCs w:val="28"/>
        </w:rPr>
        <w:t>“Pharmacia” лидирует с большим отрывом.</w:t>
      </w:r>
    </w:p>
    <w:p w:rsidR="00D71908" w:rsidRPr="00A01FC2" w:rsidRDefault="00D71908" w:rsidP="00D7190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2C4F0E" w:rsidRPr="00A01FC2" w:rsidRDefault="00B77692" w:rsidP="00D7190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01FC2">
        <w:rPr>
          <w:sz w:val="28"/>
          <w:szCs w:val="28"/>
        </w:rPr>
        <w:t>Таблица 4</w:t>
      </w:r>
      <w:r w:rsidR="00D71908" w:rsidRPr="00A01FC2">
        <w:rPr>
          <w:sz w:val="28"/>
          <w:szCs w:val="28"/>
        </w:rPr>
        <w:t xml:space="preserve">. </w:t>
      </w:r>
      <w:r w:rsidR="008A3164" w:rsidRPr="00A01FC2">
        <w:rPr>
          <w:sz w:val="28"/>
          <w:szCs w:val="28"/>
        </w:rPr>
        <w:t>Рейтинг крупнейших фармацевтических компаний («</w:t>
      </w:r>
      <w:r w:rsidR="008A3164" w:rsidRPr="00A01FC2">
        <w:rPr>
          <w:sz w:val="28"/>
          <w:szCs w:val="28"/>
          <w:lang w:val="en-US"/>
        </w:rPr>
        <w:t>Handelsblatt</w:t>
      </w:r>
      <w:r w:rsidR="008A3164" w:rsidRPr="00A01FC2">
        <w:rPr>
          <w:sz w:val="28"/>
          <w:szCs w:val="28"/>
        </w:rPr>
        <w:t>»,2009)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1"/>
        <w:gridCol w:w="3233"/>
        <w:gridCol w:w="1683"/>
        <w:gridCol w:w="1682"/>
        <w:gridCol w:w="1853"/>
      </w:tblGrid>
      <w:tr w:rsidR="003415B1" w:rsidRPr="00DE4021" w:rsidTr="00DE4021">
        <w:trPr>
          <w:trHeight w:val="360"/>
          <w:jc w:val="center"/>
        </w:trPr>
        <w:tc>
          <w:tcPr>
            <w:tcW w:w="648" w:type="dxa"/>
            <w:vMerge w:val="restart"/>
            <w:shd w:val="clear" w:color="auto" w:fill="auto"/>
          </w:tcPr>
          <w:p w:rsidR="003415B1" w:rsidRPr="00A01FC2" w:rsidRDefault="003415B1" w:rsidP="00B62CF6">
            <w:pPr>
              <w:pStyle w:val="11"/>
            </w:pPr>
            <w:r w:rsidRPr="00A01FC2">
              <w:t>№</w:t>
            </w:r>
          </w:p>
        </w:tc>
        <w:tc>
          <w:tcPr>
            <w:tcW w:w="3422" w:type="dxa"/>
            <w:vMerge w:val="restart"/>
            <w:shd w:val="clear" w:color="auto" w:fill="auto"/>
          </w:tcPr>
          <w:p w:rsidR="003415B1" w:rsidRPr="00A01FC2" w:rsidRDefault="003415B1" w:rsidP="00B62CF6">
            <w:pPr>
              <w:pStyle w:val="11"/>
            </w:pPr>
            <w:r w:rsidRPr="00A01FC2">
              <w:t>Компания</w:t>
            </w:r>
          </w:p>
        </w:tc>
        <w:tc>
          <w:tcPr>
            <w:tcW w:w="3608" w:type="dxa"/>
            <w:gridSpan w:val="2"/>
            <w:shd w:val="clear" w:color="auto" w:fill="auto"/>
          </w:tcPr>
          <w:p w:rsidR="003415B1" w:rsidRPr="00A01FC2" w:rsidRDefault="003415B1" w:rsidP="00B62CF6">
            <w:pPr>
              <w:pStyle w:val="11"/>
            </w:pPr>
            <w:r w:rsidRPr="00A01FC2">
              <w:t>Оборот, млрд долл. США</w:t>
            </w:r>
          </w:p>
        </w:tc>
        <w:tc>
          <w:tcPr>
            <w:tcW w:w="1974" w:type="dxa"/>
            <w:vMerge w:val="restart"/>
            <w:shd w:val="clear" w:color="auto" w:fill="auto"/>
          </w:tcPr>
          <w:p w:rsidR="003415B1" w:rsidRPr="00A01FC2" w:rsidRDefault="003415B1" w:rsidP="00B62CF6">
            <w:pPr>
              <w:pStyle w:val="11"/>
            </w:pPr>
            <w:r w:rsidRPr="00A01FC2">
              <w:t xml:space="preserve"> Прирост к 2007г.</w:t>
            </w:r>
            <w:r w:rsidR="00B77692" w:rsidRPr="00A01FC2">
              <w:t>%</w:t>
            </w:r>
          </w:p>
        </w:tc>
      </w:tr>
      <w:tr w:rsidR="003415B1" w:rsidRPr="00DE4021" w:rsidTr="00DE4021">
        <w:trPr>
          <w:trHeight w:val="372"/>
          <w:jc w:val="center"/>
        </w:trPr>
        <w:tc>
          <w:tcPr>
            <w:tcW w:w="648" w:type="dxa"/>
            <w:vMerge/>
            <w:shd w:val="clear" w:color="auto" w:fill="auto"/>
          </w:tcPr>
          <w:p w:rsidR="003415B1" w:rsidRPr="00A01FC2" w:rsidRDefault="003415B1" w:rsidP="00B62CF6">
            <w:pPr>
              <w:pStyle w:val="11"/>
            </w:pPr>
          </w:p>
        </w:tc>
        <w:tc>
          <w:tcPr>
            <w:tcW w:w="3422" w:type="dxa"/>
            <w:vMerge/>
            <w:shd w:val="clear" w:color="auto" w:fill="auto"/>
          </w:tcPr>
          <w:p w:rsidR="003415B1" w:rsidRPr="00A01FC2" w:rsidRDefault="003415B1" w:rsidP="00B62CF6">
            <w:pPr>
              <w:pStyle w:val="11"/>
            </w:pPr>
          </w:p>
        </w:tc>
        <w:tc>
          <w:tcPr>
            <w:tcW w:w="1805" w:type="dxa"/>
            <w:shd w:val="clear" w:color="auto" w:fill="auto"/>
          </w:tcPr>
          <w:p w:rsidR="003415B1" w:rsidRPr="00A01FC2" w:rsidRDefault="003415B1" w:rsidP="00B62CF6">
            <w:pPr>
              <w:pStyle w:val="11"/>
            </w:pPr>
            <w:r w:rsidRPr="00A01FC2">
              <w:t>2007</w:t>
            </w:r>
          </w:p>
        </w:tc>
        <w:tc>
          <w:tcPr>
            <w:tcW w:w="1803" w:type="dxa"/>
            <w:shd w:val="clear" w:color="auto" w:fill="auto"/>
          </w:tcPr>
          <w:p w:rsidR="003415B1" w:rsidRPr="00A01FC2" w:rsidRDefault="003415B1" w:rsidP="00B62CF6">
            <w:pPr>
              <w:pStyle w:val="11"/>
            </w:pPr>
            <w:r w:rsidRPr="00A01FC2">
              <w:t>2008</w:t>
            </w:r>
          </w:p>
        </w:tc>
        <w:tc>
          <w:tcPr>
            <w:tcW w:w="1974" w:type="dxa"/>
            <w:vMerge/>
            <w:shd w:val="clear" w:color="auto" w:fill="auto"/>
          </w:tcPr>
          <w:p w:rsidR="003415B1" w:rsidRPr="00A01FC2" w:rsidRDefault="003415B1" w:rsidP="00B62CF6">
            <w:pPr>
              <w:pStyle w:val="11"/>
            </w:pPr>
          </w:p>
        </w:tc>
      </w:tr>
      <w:tr w:rsidR="003415B1" w:rsidRPr="00DE4021" w:rsidTr="00DE4021">
        <w:trPr>
          <w:jc w:val="center"/>
        </w:trPr>
        <w:tc>
          <w:tcPr>
            <w:tcW w:w="648" w:type="dxa"/>
            <w:shd w:val="clear" w:color="auto" w:fill="auto"/>
          </w:tcPr>
          <w:p w:rsidR="003415B1" w:rsidRPr="00A01FC2" w:rsidRDefault="003415B1" w:rsidP="00B62CF6">
            <w:pPr>
              <w:pStyle w:val="11"/>
            </w:pPr>
            <w:r w:rsidRPr="00A01FC2">
              <w:t>1</w:t>
            </w:r>
          </w:p>
        </w:tc>
        <w:tc>
          <w:tcPr>
            <w:tcW w:w="3422" w:type="dxa"/>
            <w:shd w:val="clear" w:color="auto" w:fill="auto"/>
          </w:tcPr>
          <w:p w:rsidR="003415B1" w:rsidRPr="00DE4021" w:rsidRDefault="003415B1" w:rsidP="00B62CF6">
            <w:pPr>
              <w:pStyle w:val="11"/>
              <w:rPr>
                <w:lang w:val="en-US"/>
              </w:rPr>
            </w:pPr>
            <w:r w:rsidRPr="00A01FC2">
              <w:t>“Pfizer”</w:t>
            </w:r>
          </w:p>
        </w:tc>
        <w:tc>
          <w:tcPr>
            <w:tcW w:w="1805" w:type="dxa"/>
            <w:shd w:val="clear" w:color="auto" w:fill="auto"/>
          </w:tcPr>
          <w:p w:rsidR="003415B1" w:rsidRPr="00A01FC2" w:rsidRDefault="003415B1" w:rsidP="00B62CF6">
            <w:pPr>
              <w:pStyle w:val="11"/>
            </w:pPr>
            <w:r w:rsidRPr="00A01FC2">
              <w:t>44,424</w:t>
            </w:r>
          </w:p>
        </w:tc>
        <w:tc>
          <w:tcPr>
            <w:tcW w:w="1803" w:type="dxa"/>
            <w:shd w:val="clear" w:color="auto" w:fill="auto"/>
          </w:tcPr>
          <w:p w:rsidR="003415B1" w:rsidRPr="00A01FC2" w:rsidRDefault="00B77692" w:rsidP="00B62CF6">
            <w:pPr>
              <w:pStyle w:val="11"/>
            </w:pPr>
            <w:r w:rsidRPr="00A01FC2">
              <w:t>44</w:t>
            </w:r>
            <w:r w:rsidR="003415B1" w:rsidRPr="00A01FC2">
              <w:t>,</w:t>
            </w:r>
            <w:r w:rsidRPr="00A01FC2">
              <w:t>174</w:t>
            </w:r>
          </w:p>
        </w:tc>
        <w:tc>
          <w:tcPr>
            <w:tcW w:w="1974" w:type="dxa"/>
            <w:shd w:val="clear" w:color="auto" w:fill="auto"/>
          </w:tcPr>
          <w:p w:rsidR="003415B1" w:rsidRPr="00A01FC2" w:rsidRDefault="00B77692" w:rsidP="00B62CF6">
            <w:pPr>
              <w:pStyle w:val="11"/>
            </w:pPr>
            <w:r w:rsidRPr="00A01FC2">
              <w:t>-1</w:t>
            </w:r>
          </w:p>
        </w:tc>
      </w:tr>
      <w:tr w:rsidR="003415B1" w:rsidRPr="00DE4021" w:rsidTr="00DE4021">
        <w:trPr>
          <w:jc w:val="center"/>
        </w:trPr>
        <w:tc>
          <w:tcPr>
            <w:tcW w:w="648" w:type="dxa"/>
            <w:shd w:val="clear" w:color="auto" w:fill="auto"/>
          </w:tcPr>
          <w:p w:rsidR="003415B1" w:rsidRPr="00A01FC2" w:rsidRDefault="003415B1" w:rsidP="00B62CF6">
            <w:pPr>
              <w:pStyle w:val="11"/>
            </w:pPr>
            <w:r w:rsidRPr="00A01FC2">
              <w:t>2</w:t>
            </w:r>
          </w:p>
        </w:tc>
        <w:tc>
          <w:tcPr>
            <w:tcW w:w="3422" w:type="dxa"/>
            <w:shd w:val="clear" w:color="auto" w:fill="auto"/>
          </w:tcPr>
          <w:p w:rsidR="003415B1" w:rsidRPr="00A01FC2" w:rsidRDefault="003415B1" w:rsidP="00B62CF6">
            <w:pPr>
              <w:pStyle w:val="11"/>
            </w:pPr>
            <w:r w:rsidRPr="00A01FC2">
              <w:t>“GlaxoSmithKline”</w:t>
            </w:r>
          </w:p>
        </w:tc>
        <w:tc>
          <w:tcPr>
            <w:tcW w:w="1805" w:type="dxa"/>
            <w:shd w:val="clear" w:color="auto" w:fill="auto"/>
          </w:tcPr>
          <w:p w:rsidR="003415B1" w:rsidRPr="00A01FC2" w:rsidRDefault="003415B1" w:rsidP="00B62CF6">
            <w:pPr>
              <w:pStyle w:val="11"/>
            </w:pPr>
            <w:r w:rsidRPr="00A01FC2">
              <w:t>38,501</w:t>
            </w:r>
          </w:p>
        </w:tc>
        <w:tc>
          <w:tcPr>
            <w:tcW w:w="1803" w:type="dxa"/>
            <w:shd w:val="clear" w:color="auto" w:fill="auto"/>
          </w:tcPr>
          <w:p w:rsidR="003415B1" w:rsidRPr="00A01FC2" w:rsidRDefault="003415B1" w:rsidP="00B62CF6">
            <w:pPr>
              <w:pStyle w:val="11"/>
            </w:pPr>
            <w:r w:rsidRPr="00A01FC2">
              <w:t>37,</w:t>
            </w:r>
            <w:r w:rsidR="00B77692" w:rsidRPr="00A01FC2">
              <w:t>705</w:t>
            </w:r>
          </w:p>
        </w:tc>
        <w:tc>
          <w:tcPr>
            <w:tcW w:w="1974" w:type="dxa"/>
            <w:shd w:val="clear" w:color="auto" w:fill="auto"/>
          </w:tcPr>
          <w:p w:rsidR="003415B1" w:rsidRPr="00A01FC2" w:rsidRDefault="00B77692" w:rsidP="00B62CF6">
            <w:pPr>
              <w:pStyle w:val="11"/>
            </w:pPr>
            <w:r w:rsidRPr="00A01FC2">
              <w:t>-2,1</w:t>
            </w:r>
          </w:p>
        </w:tc>
      </w:tr>
      <w:tr w:rsidR="003415B1" w:rsidRPr="00DE4021" w:rsidTr="00DE4021">
        <w:trPr>
          <w:jc w:val="center"/>
        </w:trPr>
        <w:tc>
          <w:tcPr>
            <w:tcW w:w="648" w:type="dxa"/>
            <w:shd w:val="clear" w:color="auto" w:fill="auto"/>
          </w:tcPr>
          <w:p w:rsidR="003415B1" w:rsidRPr="00A01FC2" w:rsidRDefault="003415B1" w:rsidP="00B62CF6">
            <w:pPr>
              <w:pStyle w:val="11"/>
            </w:pPr>
            <w:r w:rsidRPr="00A01FC2">
              <w:t>3</w:t>
            </w:r>
          </w:p>
        </w:tc>
        <w:tc>
          <w:tcPr>
            <w:tcW w:w="3422" w:type="dxa"/>
            <w:shd w:val="clear" w:color="auto" w:fill="auto"/>
          </w:tcPr>
          <w:p w:rsidR="003415B1" w:rsidRPr="00A01FC2" w:rsidRDefault="003415B1" w:rsidP="00B62CF6">
            <w:pPr>
              <w:pStyle w:val="11"/>
            </w:pPr>
            <w:r w:rsidRPr="00A01FC2">
              <w:t>“</w:t>
            </w:r>
            <w:r w:rsidRPr="00DE4021">
              <w:rPr>
                <w:lang w:val="en-US"/>
              </w:rPr>
              <w:t>Sanofi-</w:t>
            </w:r>
            <w:r w:rsidRPr="00A01FC2">
              <w:t>Aventis”</w:t>
            </w:r>
          </w:p>
        </w:tc>
        <w:tc>
          <w:tcPr>
            <w:tcW w:w="1805" w:type="dxa"/>
            <w:shd w:val="clear" w:color="auto" w:fill="auto"/>
          </w:tcPr>
          <w:p w:rsidR="003415B1" w:rsidRPr="00A01FC2" w:rsidRDefault="003415B1" w:rsidP="00B62CF6">
            <w:pPr>
              <w:pStyle w:val="11"/>
            </w:pPr>
            <w:r w:rsidRPr="00A01FC2">
              <w:t>38,452</w:t>
            </w:r>
          </w:p>
        </w:tc>
        <w:tc>
          <w:tcPr>
            <w:tcW w:w="1803" w:type="dxa"/>
            <w:shd w:val="clear" w:color="auto" w:fill="auto"/>
          </w:tcPr>
          <w:p w:rsidR="003415B1" w:rsidRPr="00A01FC2" w:rsidRDefault="003415B1" w:rsidP="00B62CF6">
            <w:pPr>
              <w:pStyle w:val="11"/>
            </w:pPr>
            <w:r w:rsidRPr="00A01FC2">
              <w:t>3</w:t>
            </w:r>
            <w:r w:rsidR="00B77692" w:rsidRPr="00A01FC2">
              <w:t>7,683</w:t>
            </w:r>
          </w:p>
        </w:tc>
        <w:tc>
          <w:tcPr>
            <w:tcW w:w="1974" w:type="dxa"/>
            <w:shd w:val="clear" w:color="auto" w:fill="auto"/>
          </w:tcPr>
          <w:p w:rsidR="003415B1" w:rsidRPr="00A01FC2" w:rsidRDefault="00B77692" w:rsidP="00B62CF6">
            <w:pPr>
              <w:pStyle w:val="11"/>
            </w:pPr>
            <w:r w:rsidRPr="00A01FC2">
              <w:t>-2</w:t>
            </w:r>
          </w:p>
        </w:tc>
      </w:tr>
      <w:tr w:rsidR="003415B1" w:rsidRPr="00DE4021" w:rsidTr="00DE4021">
        <w:trPr>
          <w:jc w:val="center"/>
        </w:trPr>
        <w:tc>
          <w:tcPr>
            <w:tcW w:w="648" w:type="dxa"/>
            <w:shd w:val="clear" w:color="auto" w:fill="auto"/>
          </w:tcPr>
          <w:p w:rsidR="003415B1" w:rsidRPr="00A01FC2" w:rsidRDefault="003415B1" w:rsidP="00B62CF6">
            <w:pPr>
              <w:pStyle w:val="11"/>
            </w:pPr>
            <w:r w:rsidRPr="00A01FC2">
              <w:t>4</w:t>
            </w:r>
          </w:p>
        </w:tc>
        <w:tc>
          <w:tcPr>
            <w:tcW w:w="3422" w:type="dxa"/>
            <w:shd w:val="clear" w:color="auto" w:fill="auto"/>
          </w:tcPr>
          <w:p w:rsidR="003415B1" w:rsidRPr="00A01FC2" w:rsidRDefault="003415B1" w:rsidP="00B62CF6">
            <w:pPr>
              <w:pStyle w:val="11"/>
            </w:pPr>
            <w:r w:rsidRPr="00A01FC2">
              <w:t>“Novartis”</w:t>
            </w:r>
          </w:p>
        </w:tc>
        <w:tc>
          <w:tcPr>
            <w:tcW w:w="1805" w:type="dxa"/>
            <w:shd w:val="clear" w:color="auto" w:fill="auto"/>
          </w:tcPr>
          <w:p w:rsidR="003415B1" w:rsidRPr="00A01FC2" w:rsidRDefault="003415B1" w:rsidP="00B62CF6">
            <w:pPr>
              <w:pStyle w:val="11"/>
            </w:pPr>
            <w:r w:rsidRPr="00A01FC2">
              <w:t>31,194</w:t>
            </w:r>
          </w:p>
        </w:tc>
        <w:tc>
          <w:tcPr>
            <w:tcW w:w="1803" w:type="dxa"/>
            <w:shd w:val="clear" w:color="auto" w:fill="auto"/>
          </w:tcPr>
          <w:p w:rsidR="003415B1" w:rsidRPr="00A01FC2" w:rsidRDefault="003415B1" w:rsidP="00B62CF6">
            <w:pPr>
              <w:pStyle w:val="11"/>
            </w:pPr>
            <w:r w:rsidRPr="00A01FC2">
              <w:t>3</w:t>
            </w:r>
            <w:r w:rsidR="00B77692" w:rsidRPr="00A01FC2">
              <w:t>2,600</w:t>
            </w:r>
          </w:p>
        </w:tc>
        <w:tc>
          <w:tcPr>
            <w:tcW w:w="1974" w:type="dxa"/>
            <w:shd w:val="clear" w:color="auto" w:fill="auto"/>
          </w:tcPr>
          <w:p w:rsidR="003415B1" w:rsidRPr="00A01FC2" w:rsidRDefault="00B77692" w:rsidP="00B62CF6">
            <w:pPr>
              <w:pStyle w:val="11"/>
            </w:pPr>
            <w:r w:rsidRPr="00A01FC2">
              <w:t>4,4</w:t>
            </w:r>
          </w:p>
        </w:tc>
      </w:tr>
      <w:tr w:rsidR="003415B1" w:rsidRPr="00DE4021" w:rsidTr="00DE4021">
        <w:trPr>
          <w:jc w:val="center"/>
        </w:trPr>
        <w:tc>
          <w:tcPr>
            <w:tcW w:w="648" w:type="dxa"/>
            <w:shd w:val="clear" w:color="auto" w:fill="auto"/>
          </w:tcPr>
          <w:p w:rsidR="003415B1" w:rsidRPr="00A01FC2" w:rsidRDefault="003415B1" w:rsidP="00B62CF6">
            <w:pPr>
              <w:pStyle w:val="11"/>
            </w:pPr>
            <w:r w:rsidRPr="00A01FC2">
              <w:t>5</w:t>
            </w:r>
          </w:p>
        </w:tc>
        <w:tc>
          <w:tcPr>
            <w:tcW w:w="3422" w:type="dxa"/>
            <w:shd w:val="clear" w:color="auto" w:fill="auto"/>
          </w:tcPr>
          <w:p w:rsidR="003415B1" w:rsidRPr="00A01FC2" w:rsidRDefault="003415B1" w:rsidP="00B62CF6">
            <w:pPr>
              <w:pStyle w:val="11"/>
            </w:pPr>
            <w:r w:rsidRPr="00DE4021">
              <w:rPr>
                <w:lang w:val="en-US"/>
              </w:rPr>
              <w:t>“</w:t>
            </w:r>
            <w:r w:rsidRPr="00A01FC2">
              <w:t>Roche”</w:t>
            </w:r>
          </w:p>
        </w:tc>
        <w:tc>
          <w:tcPr>
            <w:tcW w:w="1805" w:type="dxa"/>
            <w:shd w:val="clear" w:color="auto" w:fill="auto"/>
          </w:tcPr>
          <w:p w:rsidR="003415B1" w:rsidRPr="00A01FC2" w:rsidRDefault="003415B1" w:rsidP="00B62CF6">
            <w:pPr>
              <w:pStyle w:val="11"/>
            </w:pPr>
            <w:r w:rsidRPr="00A01FC2">
              <w:t>30,686</w:t>
            </w:r>
          </w:p>
        </w:tc>
        <w:tc>
          <w:tcPr>
            <w:tcW w:w="1803" w:type="dxa"/>
            <w:shd w:val="clear" w:color="auto" w:fill="auto"/>
          </w:tcPr>
          <w:p w:rsidR="003415B1" w:rsidRPr="00A01FC2" w:rsidRDefault="003415B1" w:rsidP="00B62CF6">
            <w:pPr>
              <w:pStyle w:val="11"/>
            </w:pPr>
            <w:r w:rsidRPr="00A01FC2">
              <w:t>31,</w:t>
            </w:r>
            <w:r w:rsidR="00B77692" w:rsidRPr="00A01FC2">
              <w:t>230</w:t>
            </w:r>
          </w:p>
        </w:tc>
        <w:tc>
          <w:tcPr>
            <w:tcW w:w="1974" w:type="dxa"/>
            <w:shd w:val="clear" w:color="auto" w:fill="auto"/>
          </w:tcPr>
          <w:p w:rsidR="003415B1" w:rsidRPr="00A01FC2" w:rsidRDefault="00B77692" w:rsidP="00B62CF6">
            <w:pPr>
              <w:pStyle w:val="11"/>
            </w:pPr>
            <w:r w:rsidRPr="00A01FC2">
              <w:t>1,8</w:t>
            </w:r>
          </w:p>
        </w:tc>
      </w:tr>
      <w:tr w:rsidR="003415B1" w:rsidRPr="00DE4021" w:rsidTr="00DE4021">
        <w:trPr>
          <w:jc w:val="center"/>
        </w:trPr>
        <w:tc>
          <w:tcPr>
            <w:tcW w:w="648" w:type="dxa"/>
            <w:shd w:val="clear" w:color="auto" w:fill="auto"/>
          </w:tcPr>
          <w:p w:rsidR="003415B1" w:rsidRPr="00A01FC2" w:rsidRDefault="003415B1" w:rsidP="00B62CF6">
            <w:pPr>
              <w:pStyle w:val="11"/>
            </w:pPr>
            <w:r w:rsidRPr="00A01FC2">
              <w:t>6</w:t>
            </w:r>
          </w:p>
        </w:tc>
        <w:tc>
          <w:tcPr>
            <w:tcW w:w="3422" w:type="dxa"/>
            <w:shd w:val="clear" w:color="auto" w:fill="auto"/>
          </w:tcPr>
          <w:p w:rsidR="003415B1" w:rsidRPr="00DE4021" w:rsidRDefault="003415B1" w:rsidP="00B62CF6">
            <w:pPr>
              <w:pStyle w:val="11"/>
              <w:rPr>
                <w:lang w:val="en-US"/>
              </w:rPr>
            </w:pPr>
            <w:r w:rsidRPr="00A01FC2">
              <w:t>“AstraZeneca”</w:t>
            </w:r>
          </w:p>
        </w:tc>
        <w:tc>
          <w:tcPr>
            <w:tcW w:w="1805" w:type="dxa"/>
            <w:shd w:val="clear" w:color="auto" w:fill="auto"/>
          </w:tcPr>
          <w:p w:rsidR="003415B1" w:rsidRPr="00A01FC2" w:rsidRDefault="003415B1" w:rsidP="00B62CF6">
            <w:pPr>
              <w:pStyle w:val="11"/>
            </w:pPr>
            <w:r w:rsidRPr="00A01FC2">
              <w:t>29,559</w:t>
            </w:r>
          </w:p>
        </w:tc>
        <w:tc>
          <w:tcPr>
            <w:tcW w:w="1803" w:type="dxa"/>
            <w:shd w:val="clear" w:color="auto" w:fill="auto"/>
          </w:tcPr>
          <w:p w:rsidR="003415B1" w:rsidRPr="00A01FC2" w:rsidRDefault="00B77692" w:rsidP="00B62CF6">
            <w:pPr>
              <w:pStyle w:val="11"/>
            </w:pPr>
            <w:r w:rsidRPr="00A01FC2">
              <w:t>31,601</w:t>
            </w:r>
          </w:p>
        </w:tc>
        <w:tc>
          <w:tcPr>
            <w:tcW w:w="1974" w:type="dxa"/>
            <w:shd w:val="clear" w:color="auto" w:fill="auto"/>
          </w:tcPr>
          <w:p w:rsidR="003415B1" w:rsidRPr="00A01FC2" w:rsidRDefault="00B77692" w:rsidP="00B62CF6">
            <w:pPr>
              <w:pStyle w:val="11"/>
            </w:pPr>
            <w:r w:rsidRPr="00A01FC2">
              <w:t>7</w:t>
            </w:r>
          </w:p>
        </w:tc>
      </w:tr>
      <w:tr w:rsidR="003415B1" w:rsidRPr="00DE4021" w:rsidTr="00DE4021">
        <w:trPr>
          <w:jc w:val="center"/>
        </w:trPr>
        <w:tc>
          <w:tcPr>
            <w:tcW w:w="648" w:type="dxa"/>
            <w:shd w:val="clear" w:color="auto" w:fill="auto"/>
          </w:tcPr>
          <w:p w:rsidR="003415B1" w:rsidRPr="00A01FC2" w:rsidRDefault="003415B1" w:rsidP="00B62CF6">
            <w:pPr>
              <w:pStyle w:val="11"/>
            </w:pPr>
            <w:r w:rsidRPr="00A01FC2">
              <w:t>7</w:t>
            </w:r>
          </w:p>
        </w:tc>
        <w:tc>
          <w:tcPr>
            <w:tcW w:w="3422" w:type="dxa"/>
            <w:shd w:val="clear" w:color="auto" w:fill="auto"/>
          </w:tcPr>
          <w:p w:rsidR="003415B1" w:rsidRPr="00A01FC2" w:rsidRDefault="003415B1" w:rsidP="00B62CF6">
            <w:pPr>
              <w:pStyle w:val="11"/>
            </w:pPr>
            <w:r w:rsidRPr="00A01FC2">
              <w:t>“Johnson &amp; Johnson”</w:t>
            </w:r>
          </w:p>
        </w:tc>
        <w:tc>
          <w:tcPr>
            <w:tcW w:w="1805" w:type="dxa"/>
            <w:shd w:val="clear" w:color="auto" w:fill="auto"/>
          </w:tcPr>
          <w:p w:rsidR="003415B1" w:rsidRPr="00A01FC2" w:rsidRDefault="003415B1" w:rsidP="00B62CF6">
            <w:pPr>
              <w:pStyle w:val="11"/>
            </w:pPr>
            <w:r w:rsidRPr="00A01FC2">
              <w:t>24,866</w:t>
            </w:r>
          </w:p>
        </w:tc>
        <w:tc>
          <w:tcPr>
            <w:tcW w:w="1803" w:type="dxa"/>
            <w:shd w:val="clear" w:color="auto" w:fill="auto"/>
          </w:tcPr>
          <w:p w:rsidR="003415B1" w:rsidRPr="00A01FC2" w:rsidRDefault="003415B1" w:rsidP="00B62CF6">
            <w:pPr>
              <w:pStyle w:val="11"/>
            </w:pPr>
            <w:r w:rsidRPr="00A01FC2">
              <w:t>2</w:t>
            </w:r>
            <w:r w:rsidR="00B77692" w:rsidRPr="00A01FC2">
              <w:t>4,600</w:t>
            </w:r>
          </w:p>
        </w:tc>
        <w:tc>
          <w:tcPr>
            <w:tcW w:w="1974" w:type="dxa"/>
            <w:shd w:val="clear" w:color="auto" w:fill="auto"/>
          </w:tcPr>
          <w:p w:rsidR="003415B1" w:rsidRPr="00A01FC2" w:rsidRDefault="00B77692" w:rsidP="00B62CF6">
            <w:pPr>
              <w:pStyle w:val="11"/>
            </w:pPr>
            <w:r w:rsidRPr="00A01FC2">
              <w:t>-1</w:t>
            </w:r>
          </w:p>
        </w:tc>
      </w:tr>
      <w:tr w:rsidR="003415B1" w:rsidRPr="00DE4021" w:rsidTr="00DE4021">
        <w:trPr>
          <w:jc w:val="center"/>
        </w:trPr>
        <w:tc>
          <w:tcPr>
            <w:tcW w:w="648" w:type="dxa"/>
            <w:shd w:val="clear" w:color="auto" w:fill="auto"/>
          </w:tcPr>
          <w:p w:rsidR="003415B1" w:rsidRPr="00A01FC2" w:rsidRDefault="003415B1" w:rsidP="00B62CF6">
            <w:pPr>
              <w:pStyle w:val="11"/>
            </w:pPr>
            <w:r w:rsidRPr="00A01FC2">
              <w:t>8</w:t>
            </w:r>
          </w:p>
        </w:tc>
        <w:tc>
          <w:tcPr>
            <w:tcW w:w="3422" w:type="dxa"/>
            <w:shd w:val="clear" w:color="auto" w:fill="auto"/>
          </w:tcPr>
          <w:p w:rsidR="003415B1" w:rsidRPr="00A01FC2" w:rsidRDefault="003415B1" w:rsidP="00B62CF6">
            <w:pPr>
              <w:pStyle w:val="11"/>
            </w:pPr>
            <w:r w:rsidRPr="00A01FC2">
              <w:t>“Merck &amp; Co”</w:t>
            </w:r>
          </w:p>
        </w:tc>
        <w:tc>
          <w:tcPr>
            <w:tcW w:w="1805" w:type="dxa"/>
            <w:shd w:val="clear" w:color="auto" w:fill="auto"/>
          </w:tcPr>
          <w:p w:rsidR="003415B1" w:rsidRPr="00A01FC2" w:rsidRDefault="003415B1" w:rsidP="00B62CF6">
            <w:pPr>
              <w:pStyle w:val="11"/>
            </w:pPr>
            <w:r w:rsidRPr="00A01FC2">
              <w:t>20,102</w:t>
            </w:r>
          </w:p>
        </w:tc>
        <w:tc>
          <w:tcPr>
            <w:tcW w:w="1803" w:type="dxa"/>
            <w:shd w:val="clear" w:color="auto" w:fill="auto"/>
          </w:tcPr>
          <w:p w:rsidR="003415B1" w:rsidRPr="00A01FC2" w:rsidRDefault="003415B1" w:rsidP="00B62CF6">
            <w:pPr>
              <w:pStyle w:val="11"/>
            </w:pPr>
            <w:r w:rsidRPr="00A01FC2">
              <w:t>2</w:t>
            </w:r>
            <w:r w:rsidR="00B77692" w:rsidRPr="00A01FC2">
              <w:t>3,900</w:t>
            </w:r>
          </w:p>
        </w:tc>
        <w:tc>
          <w:tcPr>
            <w:tcW w:w="1974" w:type="dxa"/>
            <w:shd w:val="clear" w:color="auto" w:fill="auto"/>
          </w:tcPr>
          <w:p w:rsidR="003415B1" w:rsidRPr="00A01FC2" w:rsidRDefault="00B77692" w:rsidP="00B62CF6">
            <w:pPr>
              <w:pStyle w:val="11"/>
            </w:pPr>
            <w:r w:rsidRPr="00A01FC2">
              <w:t>19</w:t>
            </w:r>
          </w:p>
        </w:tc>
      </w:tr>
      <w:tr w:rsidR="003415B1" w:rsidRPr="00DE4021" w:rsidTr="00DE4021">
        <w:trPr>
          <w:jc w:val="center"/>
        </w:trPr>
        <w:tc>
          <w:tcPr>
            <w:tcW w:w="648" w:type="dxa"/>
            <w:shd w:val="clear" w:color="auto" w:fill="auto"/>
          </w:tcPr>
          <w:p w:rsidR="003415B1" w:rsidRPr="00A01FC2" w:rsidRDefault="003415B1" w:rsidP="00B62CF6">
            <w:pPr>
              <w:pStyle w:val="11"/>
            </w:pPr>
            <w:r w:rsidRPr="00A01FC2">
              <w:t>9</w:t>
            </w:r>
          </w:p>
        </w:tc>
        <w:tc>
          <w:tcPr>
            <w:tcW w:w="3422" w:type="dxa"/>
            <w:shd w:val="clear" w:color="auto" w:fill="auto"/>
          </w:tcPr>
          <w:p w:rsidR="003415B1" w:rsidRPr="00DE4021" w:rsidRDefault="003415B1" w:rsidP="00B62CF6">
            <w:pPr>
              <w:pStyle w:val="11"/>
              <w:rPr>
                <w:lang w:val="en-US"/>
              </w:rPr>
            </w:pPr>
            <w:r w:rsidRPr="00DE4021">
              <w:rPr>
                <w:lang w:val="en-US"/>
              </w:rPr>
              <w:t>“Wyeth”</w:t>
            </w:r>
          </w:p>
        </w:tc>
        <w:tc>
          <w:tcPr>
            <w:tcW w:w="1805" w:type="dxa"/>
            <w:shd w:val="clear" w:color="auto" w:fill="auto"/>
          </w:tcPr>
          <w:p w:rsidR="003415B1" w:rsidRPr="00A01FC2" w:rsidRDefault="003415B1" w:rsidP="00B62CF6">
            <w:pPr>
              <w:pStyle w:val="11"/>
            </w:pPr>
            <w:r w:rsidRPr="00A01FC2">
              <w:t>22,400</w:t>
            </w:r>
          </w:p>
        </w:tc>
        <w:tc>
          <w:tcPr>
            <w:tcW w:w="1803" w:type="dxa"/>
            <w:shd w:val="clear" w:color="auto" w:fill="auto"/>
          </w:tcPr>
          <w:p w:rsidR="003415B1" w:rsidRPr="00A01FC2" w:rsidRDefault="003415B1" w:rsidP="00B62CF6">
            <w:pPr>
              <w:pStyle w:val="11"/>
            </w:pPr>
            <w:r w:rsidRPr="00A01FC2">
              <w:t>2</w:t>
            </w:r>
            <w:r w:rsidR="00B77692" w:rsidRPr="00A01FC2">
              <w:t>2,834</w:t>
            </w:r>
          </w:p>
        </w:tc>
        <w:tc>
          <w:tcPr>
            <w:tcW w:w="1974" w:type="dxa"/>
            <w:shd w:val="clear" w:color="auto" w:fill="auto"/>
          </w:tcPr>
          <w:p w:rsidR="003415B1" w:rsidRPr="00A01FC2" w:rsidRDefault="00B77692" w:rsidP="00B62CF6">
            <w:pPr>
              <w:pStyle w:val="11"/>
            </w:pPr>
            <w:r w:rsidRPr="00A01FC2">
              <w:t>2</w:t>
            </w:r>
          </w:p>
        </w:tc>
      </w:tr>
      <w:tr w:rsidR="003415B1" w:rsidRPr="00DE4021" w:rsidTr="00DE4021">
        <w:trPr>
          <w:jc w:val="center"/>
        </w:trPr>
        <w:tc>
          <w:tcPr>
            <w:tcW w:w="648" w:type="dxa"/>
            <w:shd w:val="clear" w:color="auto" w:fill="auto"/>
          </w:tcPr>
          <w:p w:rsidR="003415B1" w:rsidRPr="00A01FC2" w:rsidRDefault="003415B1" w:rsidP="00B62CF6">
            <w:pPr>
              <w:pStyle w:val="11"/>
            </w:pPr>
            <w:r w:rsidRPr="00A01FC2">
              <w:t>10</w:t>
            </w:r>
          </w:p>
        </w:tc>
        <w:tc>
          <w:tcPr>
            <w:tcW w:w="3422" w:type="dxa"/>
            <w:shd w:val="clear" w:color="auto" w:fill="auto"/>
          </w:tcPr>
          <w:p w:rsidR="003415B1" w:rsidRPr="00A01FC2" w:rsidRDefault="003415B1" w:rsidP="00B62CF6">
            <w:pPr>
              <w:pStyle w:val="11"/>
            </w:pPr>
            <w:r w:rsidRPr="00A01FC2">
              <w:t>“Lilly”</w:t>
            </w:r>
          </w:p>
        </w:tc>
        <w:tc>
          <w:tcPr>
            <w:tcW w:w="1805" w:type="dxa"/>
            <w:shd w:val="clear" w:color="auto" w:fill="auto"/>
          </w:tcPr>
          <w:p w:rsidR="003415B1" w:rsidRPr="00A01FC2" w:rsidRDefault="003415B1" w:rsidP="00B62CF6">
            <w:pPr>
              <w:pStyle w:val="11"/>
            </w:pPr>
            <w:r w:rsidRPr="00A01FC2">
              <w:t>17,638</w:t>
            </w:r>
          </w:p>
        </w:tc>
        <w:tc>
          <w:tcPr>
            <w:tcW w:w="1803" w:type="dxa"/>
            <w:shd w:val="clear" w:color="auto" w:fill="auto"/>
          </w:tcPr>
          <w:p w:rsidR="003415B1" w:rsidRPr="00A01FC2" w:rsidRDefault="003415B1" w:rsidP="00B62CF6">
            <w:pPr>
              <w:pStyle w:val="11"/>
            </w:pPr>
            <w:r w:rsidRPr="00A01FC2">
              <w:t>20,</w:t>
            </w:r>
            <w:r w:rsidR="00B77692" w:rsidRPr="00A01FC2">
              <w:t>378</w:t>
            </w:r>
          </w:p>
        </w:tc>
        <w:tc>
          <w:tcPr>
            <w:tcW w:w="1974" w:type="dxa"/>
            <w:shd w:val="clear" w:color="auto" w:fill="auto"/>
          </w:tcPr>
          <w:p w:rsidR="003415B1" w:rsidRPr="00A01FC2" w:rsidRDefault="00B77692" w:rsidP="00B62CF6">
            <w:pPr>
              <w:pStyle w:val="11"/>
            </w:pPr>
            <w:r w:rsidRPr="00A01FC2">
              <w:t>16</w:t>
            </w:r>
          </w:p>
        </w:tc>
      </w:tr>
    </w:tbl>
    <w:p w:rsidR="008A3164" w:rsidRPr="00A01FC2" w:rsidRDefault="008A3164" w:rsidP="00D7190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260994" w:rsidRPr="00A01FC2" w:rsidRDefault="006620A6" w:rsidP="00D7190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01FC2">
        <w:rPr>
          <w:sz w:val="28"/>
          <w:szCs w:val="28"/>
        </w:rPr>
        <w:t>На основе представленных данных можно сделать вывод о том, что шведские фармацевтические компании имеют значительный вес на мировом фармрынке, уверенно удерживают свои позиции и непрерывно развиваются.</w:t>
      </w:r>
    </w:p>
    <w:p w:rsidR="00827A98" w:rsidRPr="00A01FC2" w:rsidRDefault="00D71908" w:rsidP="00D71908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  <w:lang w:bidi="he-IL"/>
        </w:rPr>
      </w:pPr>
      <w:r w:rsidRPr="00A01FC2">
        <w:rPr>
          <w:b/>
          <w:sz w:val="28"/>
          <w:szCs w:val="28"/>
        </w:rPr>
        <w:br w:type="page"/>
      </w:r>
      <w:r w:rsidR="00E31117" w:rsidRPr="00A01FC2">
        <w:rPr>
          <w:b/>
          <w:sz w:val="28"/>
          <w:szCs w:val="28"/>
        </w:rPr>
        <w:t>5.</w:t>
      </w:r>
      <w:r w:rsidR="00B62CF6">
        <w:rPr>
          <w:b/>
          <w:sz w:val="28"/>
          <w:szCs w:val="28"/>
        </w:rPr>
        <w:t xml:space="preserve"> </w:t>
      </w:r>
      <w:r w:rsidR="00827A98" w:rsidRPr="00A01FC2">
        <w:rPr>
          <w:b/>
          <w:sz w:val="28"/>
          <w:szCs w:val="28"/>
          <w:lang w:val="en-US"/>
        </w:rPr>
        <w:t>STEP</w:t>
      </w:r>
      <w:r w:rsidR="00827A98" w:rsidRPr="00A01FC2">
        <w:rPr>
          <w:b/>
          <w:sz w:val="28"/>
          <w:szCs w:val="28"/>
        </w:rPr>
        <w:t>-анализ</w:t>
      </w:r>
      <w:r w:rsidR="00260994" w:rsidRPr="00A01FC2">
        <w:rPr>
          <w:b/>
          <w:sz w:val="28"/>
          <w:szCs w:val="28"/>
          <w:lang w:bidi="he-IL"/>
        </w:rPr>
        <w:t xml:space="preserve"> фармацевтического рынка Швеции</w:t>
      </w:r>
    </w:p>
    <w:p w:rsidR="00767BE8" w:rsidRPr="00A01FC2" w:rsidRDefault="00767BE8" w:rsidP="00D71908">
      <w:pPr>
        <w:pStyle w:val="a3"/>
        <w:spacing w:before="0" w:beforeAutospacing="0" w:after="0" w:afterAutospacing="0" w:line="360" w:lineRule="auto"/>
        <w:ind w:firstLine="709"/>
        <w:jc w:val="both"/>
        <w:rPr>
          <w:rStyle w:val="a7"/>
          <w:b w:val="0"/>
          <w:sz w:val="28"/>
          <w:szCs w:val="28"/>
        </w:rPr>
      </w:pPr>
    </w:p>
    <w:p w:rsidR="009800D0" w:rsidRPr="00A01FC2" w:rsidRDefault="009800D0" w:rsidP="00D7190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01FC2">
        <w:rPr>
          <w:rStyle w:val="a7"/>
          <w:b w:val="0"/>
          <w:sz w:val="28"/>
          <w:szCs w:val="28"/>
        </w:rPr>
        <w:t>СТЕП-анализ</w:t>
      </w:r>
      <w:r w:rsidR="00D71908" w:rsidRPr="00A01FC2">
        <w:rPr>
          <w:sz w:val="28"/>
          <w:szCs w:val="28"/>
        </w:rPr>
        <w:t xml:space="preserve"> </w:t>
      </w:r>
      <w:r w:rsidRPr="00A01FC2">
        <w:rPr>
          <w:sz w:val="28"/>
          <w:szCs w:val="28"/>
        </w:rPr>
        <w:t xml:space="preserve">- полезный инструмент стратегического менеджмента, позволяющий анализировать рыночную ситуацию, положение </w:t>
      </w:r>
      <w:r w:rsidR="004948C4" w:rsidRPr="00A01FC2">
        <w:rPr>
          <w:sz w:val="28"/>
          <w:szCs w:val="28"/>
        </w:rPr>
        <w:t>объекта исследования на рынке, его</w:t>
      </w:r>
      <w:r w:rsidRPr="00A01FC2">
        <w:rPr>
          <w:sz w:val="28"/>
          <w:szCs w:val="28"/>
        </w:rPr>
        <w:t xml:space="preserve"> потенциал и направление для развития. </w:t>
      </w:r>
      <w:r w:rsidRPr="00A01FC2">
        <w:rPr>
          <w:sz w:val="28"/>
          <w:szCs w:val="28"/>
          <w:lang w:val="en-US"/>
        </w:rPr>
        <w:t>STEP-</w:t>
      </w:r>
      <w:r w:rsidR="004A5A35" w:rsidRPr="00A01FC2">
        <w:rPr>
          <w:sz w:val="28"/>
          <w:szCs w:val="28"/>
        </w:rPr>
        <w:t>анализ</w:t>
      </w:r>
      <w:r w:rsidRPr="00A01FC2">
        <w:rPr>
          <w:sz w:val="28"/>
          <w:szCs w:val="28"/>
          <w:lang w:val="en-US"/>
        </w:rPr>
        <w:t xml:space="preserve"> </w:t>
      </w:r>
      <w:r w:rsidR="004A5A35" w:rsidRPr="00A01FC2">
        <w:rPr>
          <w:sz w:val="28"/>
          <w:szCs w:val="28"/>
        </w:rPr>
        <w:t>и</w:t>
      </w:r>
      <w:r w:rsidRPr="00A01FC2">
        <w:rPr>
          <w:sz w:val="28"/>
          <w:szCs w:val="28"/>
          <w:lang w:val="en-US"/>
        </w:rPr>
        <w:t xml:space="preserve"> PEST-</w:t>
      </w:r>
      <w:r w:rsidR="004A5A35" w:rsidRPr="00A01FC2">
        <w:rPr>
          <w:sz w:val="28"/>
          <w:szCs w:val="28"/>
        </w:rPr>
        <w:t>анализ</w:t>
      </w:r>
      <w:r w:rsidRPr="00A01FC2">
        <w:rPr>
          <w:sz w:val="28"/>
          <w:szCs w:val="28"/>
          <w:lang w:val="en-US"/>
        </w:rPr>
        <w:t xml:space="preserve"> </w:t>
      </w:r>
      <w:r w:rsidRPr="00A01FC2">
        <w:rPr>
          <w:sz w:val="28"/>
          <w:szCs w:val="28"/>
        </w:rPr>
        <w:t>акроним</w:t>
      </w:r>
      <w:r w:rsidRPr="00A01FC2">
        <w:rPr>
          <w:sz w:val="28"/>
          <w:szCs w:val="28"/>
          <w:lang w:val="en-US"/>
        </w:rPr>
        <w:t xml:space="preserve"> </w:t>
      </w:r>
      <w:r w:rsidRPr="00A01FC2">
        <w:rPr>
          <w:sz w:val="28"/>
          <w:szCs w:val="28"/>
        </w:rPr>
        <w:t>английских</w:t>
      </w:r>
      <w:r w:rsidRPr="00A01FC2">
        <w:rPr>
          <w:sz w:val="28"/>
          <w:szCs w:val="28"/>
          <w:lang w:val="en-US"/>
        </w:rPr>
        <w:t xml:space="preserve"> </w:t>
      </w:r>
      <w:r w:rsidRPr="00A01FC2">
        <w:rPr>
          <w:sz w:val="28"/>
          <w:szCs w:val="28"/>
        </w:rPr>
        <w:t>слов</w:t>
      </w:r>
      <w:r w:rsidRPr="00A01FC2">
        <w:rPr>
          <w:sz w:val="28"/>
          <w:szCs w:val="28"/>
          <w:lang w:val="en-US"/>
        </w:rPr>
        <w:t xml:space="preserve"> Social, Technological, Economic, Political. </w:t>
      </w:r>
      <w:r w:rsidRPr="00A01FC2">
        <w:rPr>
          <w:sz w:val="28"/>
          <w:szCs w:val="28"/>
        </w:rPr>
        <w:t xml:space="preserve">Именно эти факторы внешней среды, оказывающие прямое или косвенное воздействие на жизнедеятельность субъекта бизнеса являются предметом изучения </w:t>
      </w:r>
      <w:r w:rsidRPr="00A01FC2">
        <w:rPr>
          <w:rStyle w:val="a7"/>
          <w:b w:val="0"/>
          <w:sz w:val="28"/>
          <w:szCs w:val="28"/>
        </w:rPr>
        <w:t>СТЕП-анализа</w:t>
      </w:r>
      <w:r w:rsidRPr="00A01FC2">
        <w:rPr>
          <w:sz w:val="28"/>
          <w:szCs w:val="28"/>
        </w:rPr>
        <w:t xml:space="preserve">. На ряду со </w:t>
      </w:r>
      <w:r w:rsidRPr="00A01FC2">
        <w:rPr>
          <w:rStyle w:val="a7"/>
          <w:b w:val="0"/>
          <w:sz w:val="28"/>
          <w:szCs w:val="28"/>
        </w:rPr>
        <w:t>СТЕП-анализ</w:t>
      </w:r>
      <w:r w:rsidRPr="00A01FC2">
        <w:rPr>
          <w:sz w:val="28"/>
          <w:szCs w:val="28"/>
        </w:rPr>
        <w:t>ом в стратегическом менеджменте применяется также СВОТ-анализ</w:t>
      </w:r>
      <w:r w:rsidR="004948C4" w:rsidRPr="00A01FC2">
        <w:rPr>
          <w:sz w:val="28"/>
          <w:szCs w:val="28"/>
        </w:rPr>
        <w:t>.</w:t>
      </w:r>
    </w:p>
    <w:p w:rsidR="001D103E" w:rsidRPr="00A01FC2" w:rsidRDefault="009800D0" w:rsidP="00D7190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01FC2">
        <w:rPr>
          <w:sz w:val="28"/>
          <w:szCs w:val="28"/>
        </w:rPr>
        <w:t xml:space="preserve">В зарубежной литературе чаще встречается аббревиатура </w:t>
      </w:r>
      <w:r w:rsidRPr="00A01FC2">
        <w:rPr>
          <w:rStyle w:val="a7"/>
          <w:b w:val="0"/>
          <w:sz w:val="28"/>
          <w:szCs w:val="28"/>
        </w:rPr>
        <w:t>ПЕСТ-анализ</w:t>
      </w:r>
      <w:r w:rsidRPr="00A01FC2">
        <w:rPr>
          <w:sz w:val="28"/>
          <w:szCs w:val="28"/>
        </w:rPr>
        <w:t xml:space="preserve">. Кроме того, часто можно встретить название PESTELI последние три буквы которого означают факторы экологического (ecological or environmental), правового </w:t>
      </w:r>
      <w:r w:rsidR="004948C4" w:rsidRPr="00A01FC2">
        <w:rPr>
          <w:sz w:val="28"/>
          <w:szCs w:val="28"/>
        </w:rPr>
        <w:t>(</w:t>
      </w:r>
      <w:r w:rsidRPr="00A01FC2">
        <w:rPr>
          <w:sz w:val="28"/>
          <w:szCs w:val="28"/>
        </w:rPr>
        <w:t>legal</w:t>
      </w:r>
      <w:r w:rsidR="004948C4" w:rsidRPr="00A01FC2">
        <w:rPr>
          <w:sz w:val="28"/>
          <w:szCs w:val="28"/>
        </w:rPr>
        <w:t>)</w:t>
      </w:r>
      <w:r w:rsidRPr="00A01FC2">
        <w:rPr>
          <w:sz w:val="28"/>
          <w:szCs w:val="28"/>
        </w:rPr>
        <w:t xml:space="preserve"> и промышленного (industrial) характера. Или, например</w:t>
      </w:r>
      <w:r w:rsidR="00D71908" w:rsidRPr="00A01FC2">
        <w:rPr>
          <w:sz w:val="28"/>
          <w:szCs w:val="28"/>
        </w:rPr>
        <w:t xml:space="preserve"> </w:t>
      </w:r>
      <w:r w:rsidRPr="00A01FC2">
        <w:rPr>
          <w:sz w:val="28"/>
          <w:szCs w:val="28"/>
        </w:rPr>
        <w:t>STEEPLED – вариант СТЕП-анализа с добалением вышеупомянутых экологических и правовых факторов воздействия, а также этических и демографических аспектов ведения бизнеса.</w:t>
      </w:r>
      <w:r w:rsidR="001D103E" w:rsidRPr="00A01FC2">
        <w:rPr>
          <w:sz w:val="28"/>
        </w:rPr>
        <w:t xml:space="preserve"> </w:t>
      </w:r>
    </w:p>
    <w:p w:rsidR="00260994" w:rsidRPr="00A01FC2" w:rsidRDefault="001D103E" w:rsidP="00D71908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A01FC2">
        <w:rPr>
          <w:sz w:val="28"/>
          <w:szCs w:val="28"/>
        </w:rPr>
        <w:t xml:space="preserve">При </w:t>
      </w:r>
      <w:r w:rsidRPr="00A01FC2">
        <w:rPr>
          <w:rStyle w:val="a7"/>
          <w:b w:val="0"/>
          <w:sz w:val="28"/>
          <w:szCs w:val="28"/>
        </w:rPr>
        <w:t>СТЕП-анализ</w:t>
      </w:r>
      <w:r w:rsidRPr="00A01FC2">
        <w:rPr>
          <w:b/>
          <w:sz w:val="28"/>
          <w:szCs w:val="28"/>
        </w:rPr>
        <w:t>е</w:t>
      </w:r>
      <w:r w:rsidRPr="00A01FC2">
        <w:rPr>
          <w:sz w:val="28"/>
          <w:szCs w:val="28"/>
        </w:rPr>
        <w:t xml:space="preserve"> необходимо постепенно рассмотреть все детерминирующие факторы и исследовать их возможное влияние на деятельность объекта исследования. После этого составляют план минимизации отрицательных влияний и возможного противодействия им. Результаты </w:t>
      </w:r>
      <w:r w:rsidRPr="00A01FC2">
        <w:rPr>
          <w:rStyle w:val="a7"/>
          <w:b w:val="0"/>
          <w:sz w:val="28"/>
          <w:szCs w:val="28"/>
        </w:rPr>
        <w:t>СТЕП-анализ</w:t>
      </w:r>
      <w:r w:rsidRPr="00A01FC2">
        <w:rPr>
          <w:sz w:val="28"/>
          <w:szCs w:val="28"/>
        </w:rPr>
        <w:t xml:space="preserve">а лучше всего оформлять в виде матричной таблицы или схемы. Поскольку </w:t>
      </w:r>
      <w:r w:rsidRPr="00A01FC2">
        <w:rPr>
          <w:rStyle w:val="a7"/>
          <w:b w:val="0"/>
          <w:sz w:val="28"/>
          <w:szCs w:val="28"/>
        </w:rPr>
        <w:t>СТЕП-анализ</w:t>
      </w:r>
      <w:r w:rsidRPr="00A01FC2">
        <w:rPr>
          <w:sz w:val="28"/>
          <w:szCs w:val="28"/>
        </w:rPr>
        <w:t xml:space="preserve"> имеет четко определенную внешнюю ориентацию, то при анализе предпринимательской среды возникает необходимость в рассмотрении конкурентной ситуации предприятия или отрасли, ибо именно в конкурентной ситуации находит свое отражение соотношение экономики конкретного субъекта предпринимательства с маркетинговой </w:t>
      </w:r>
      <w:r w:rsidR="004948C4" w:rsidRPr="00A01FC2">
        <w:rPr>
          <w:sz w:val="28"/>
          <w:szCs w:val="28"/>
        </w:rPr>
        <w:t>диспозицией</w:t>
      </w:r>
      <w:r w:rsidRPr="00A01FC2">
        <w:rPr>
          <w:sz w:val="28"/>
          <w:szCs w:val="28"/>
        </w:rPr>
        <w:t>.</w:t>
      </w:r>
    </w:p>
    <w:p w:rsidR="00827A98" w:rsidRPr="00A01FC2" w:rsidRDefault="00827A98" w:rsidP="00D71908">
      <w:pPr>
        <w:overflowPunct/>
        <w:autoSpaceDE/>
        <w:autoSpaceDN/>
        <w:adjustRightInd/>
        <w:spacing w:line="360" w:lineRule="auto"/>
        <w:ind w:firstLine="709"/>
        <w:jc w:val="both"/>
        <w:textAlignment w:val="auto"/>
        <w:rPr>
          <w:sz w:val="28"/>
          <w:szCs w:val="28"/>
        </w:rPr>
      </w:pPr>
      <w:r w:rsidRPr="00A01FC2">
        <w:rPr>
          <w:sz w:val="28"/>
          <w:szCs w:val="28"/>
        </w:rPr>
        <w:t xml:space="preserve">При использовании STEP-анализа значимые факторы и явления дальнего окружения разделяются на четыре категории: </w:t>
      </w:r>
    </w:p>
    <w:p w:rsidR="00827A98" w:rsidRPr="00A01FC2" w:rsidRDefault="00827A98" w:rsidP="00D71908">
      <w:pPr>
        <w:numPr>
          <w:ilvl w:val="0"/>
          <w:numId w:val="11"/>
        </w:numPr>
        <w:overflowPunct/>
        <w:autoSpaceDE/>
        <w:autoSpaceDN/>
        <w:adjustRightInd/>
        <w:spacing w:line="360" w:lineRule="auto"/>
        <w:ind w:left="0" w:firstLine="709"/>
        <w:jc w:val="both"/>
        <w:textAlignment w:val="auto"/>
        <w:rPr>
          <w:sz w:val="28"/>
          <w:szCs w:val="28"/>
        </w:rPr>
      </w:pPr>
      <w:r w:rsidRPr="00A01FC2">
        <w:rPr>
          <w:bCs/>
          <w:sz w:val="28"/>
          <w:szCs w:val="28"/>
        </w:rPr>
        <w:t>S</w:t>
      </w:r>
      <w:r w:rsidRPr="00A01FC2">
        <w:rPr>
          <w:sz w:val="28"/>
          <w:szCs w:val="28"/>
        </w:rPr>
        <w:t>ocial (</w:t>
      </w:r>
      <w:r w:rsidR="001958C3" w:rsidRPr="00A01FC2">
        <w:rPr>
          <w:b/>
          <w:bCs/>
          <w:sz w:val="28"/>
          <w:szCs w:val="28"/>
        </w:rPr>
        <w:t>С</w:t>
      </w:r>
      <w:r w:rsidR="001958C3" w:rsidRPr="00A01FC2">
        <w:rPr>
          <w:sz w:val="28"/>
          <w:szCs w:val="28"/>
        </w:rPr>
        <w:t>оциальные</w:t>
      </w:r>
      <w:r w:rsidRPr="00A01FC2">
        <w:rPr>
          <w:sz w:val="28"/>
          <w:szCs w:val="28"/>
        </w:rPr>
        <w:t xml:space="preserve"> факторы: демо</w:t>
      </w:r>
      <w:r w:rsidR="001958C3" w:rsidRPr="00A01FC2">
        <w:rPr>
          <w:sz w:val="28"/>
          <w:szCs w:val="28"/>
        </w:rPr>
        <w:t xml:space="preserve">графическая структура населения, </w:t>
      </w:r>
      <w:r w:rsidRPr="00A01FC2">
        <w:rPr>
          <w:sz w:val="28"/>
          <w:szCs w:val="28"/>
        </w:rPr>
        <w:t>продолжительность жизни,</w:t>
      </w:r>
      <w:r w:rsidR="001958C3" w:rsidRPr="00A01FC2">
        <w:rPr>
          <w:sz w:val="28"/>
          <w:szCs w:val="28"/>
        </w:rPr>
        <w:t xml:space="preserve"> </w:t>
      </w:r>
      <w:r w:rsidRPr="00A01FC2">
        <w:rPr>
          <w:sz w:val="28"/>
          <w:szCs w:val="28"/>
        </w:rPr>
        <w:t>семейное положение,</w:t>
      </w:r>
      <w:r w:rsidR="001958C3" w:rsidRPr="00A01FC2">
        <w:rPr>
          <w:sz w:val="28"/>
          <w:szCs w:val="28"/>
        </w:rPr>
        <w:t xml:space="preserve"> </w:t>
      </w:r>
      <w:r w:rsidRPr="00A01FC2">
        <w:rPr>
          <w:sz w:val="28"/>
          <w:szCs w:val="28"/>
        </w:rPr>
        <w:t>занятость населения,</w:t>
      </w:r>
      <w:r w:rsidR="001958C3" w:rsidRPr="00A01FC2">
        <w:rPr>
          <w:sz w:val="28"/>
          <w:szCs w:val="28"/>
        </w:rPr>
        <w:t xml:space="preserve"> уровень безработицы, с</w:t>
      </w:r>
      <w:r w:rsidRPr="00A01FC2">
        <w:rPr>
          <w:sz w:val="28"/>
          <w:szCs w:val="28"/>
        </w:rPr>
        <w:t>оциальные льготы населению,</w:t>
      </w:r>
      <w:r w:rsidR="001958C3" w:rsidRPr="00A01FC2">
        <w:rPr>
          <w:sz w:val="28"/>
          <w:szCs w:val="28"/>
        </w:rPr>
        <w:t xml:space="preserve"> </w:t>
      </w:r>
      <w:r w:rsidRPr="00A01FC2">
        <w:rPr>
          <w:sz w:val="28"/>
          <w:szCs w:val="28"/>
        </w:rPr>
        <w:t>пенсионное обеспечение, здоровье населения,</w:t>
      </w:r>
      <w:r w:rsidR="001958C3" w:rsidRPr="00A01FC2">
        <w:rPr>
          <w:sz w:val="28"/>
          <w:szCs w:val="28"/>
        </w:rPr>
        <w:t xml:space="preserve"> </w:t>
      </w:r>
      <w:r w:rsidRPr="00A01FC2">
        <w:rPr>
          <w:sz w:val="28"/>
          <w:szCs w:val="28"/>
        </w:rPr>
        <w:t>состояние здравоохранения)</w:t>
      </w:r>
    </w:p>
    <w:p w:rsidR="00827A98" w:rsidRPr="00A01FC2" w:rsidRDefault="00827A98" w:rsidP="00D71908">
      <w:pPr>
        <w:numPr>
          <w:ilvl w:val="0"/>
          <w:numId w:val="11"/>
        </w:numPr>
        <w:overflowPunct/>
        <w:autoSpaceDE/>
        <w:autoSpaceDN/>
        <w:adjustRightInd/>
        <w:spacing w:line="360" w:lineRule="auto"/>
        <w:ind w:left="0" w:firstLine="709"/>
        <w:jc w:val="both"/>
        <w:textAlignment w:val="auto"/>
        <w:rPr>
          <w:sz w:val="28"/>
          <w:szCs w:val="28"/>
        </w:rPr>
      </w:pPr>
      <w:r w:rsidRPr="00A01FC2">
        <w:rPr>
          <w:bCs/>
          <w:sz w:val="28"/>
          <w:szCs w:val="28"/>
        </w:rPr>
        <w:t>T</w:t>
      </w:r>
      <w:r w:rsidRPr="00A01FC2">
        <w:rPr>
          <w:sz w:val="28"/>
          <w:szCs w:val="28"/>
        </w:rPr>
        <w:t>echnological (</w:t>
      </w:r>
      <w:r w:rsidRPr="00A01FC2">
        <w:rPr>
          <w:b/>
          <w:bCs/>
          <w:sz w:val="28"/>
          <w:szCs w:val="28"/>
        </w:rPr>
        <w:t>Т</w:t>
      </w:r>
      <w:r w:rsidRPr="00A01FC2">
        <w:rPr>
          <w:sz w:val="28"/>
          <w:szCs w:val="28"/>
        </w:rPr>
        <w:t>ехнологические</w:t>
      </w:r>
      <w:r w:rsidR="00A01FC2">
        <w:rPr>
          <w:sz w:val="28"/>
          <w:szCs w:val="28"/>
        </w:rPr>
        <w:t xml:space="preserve"> </w:t>
      </w:r>
      <w:r w:rsidRPr="00A01FC2">
        <w:rPr>
          <w:sz w:val="28"/>
          <w:szCs w:val="28"/>
        </w:rPr>
        <w:t>факторы:</w:t>
      </w:r>
      <w:r w:rsidR="001958C3" w:rsidRPr="00A01FC2">
        <w:rPr>
          <w:sz w:val="28"/>
          <w:szCs w:val="28"/>
        </w:rPr>
        <w:t xml:space="preserve"> достижения</w:t>
      </w:r>
      <w:r w:rsidR="006E4DBC" w:rsidRPr="00A01FC2">
        <w:rPr>
          <w:sz w:val="28"/>
          <w:szCs w:val="28"/>
        </w:rPr>
        <w:t xml:space="preserve"> НТП в области производства медицинских и фармацевтических товаров и услуг,</w:t>
      </w:r>
      <w:r w:rsidR="001958C3" w:rsidRPr="00A01FC2">
        <w:rPr>
          <w:sz w:val="28"/>
          <w:szCs w:val="28"/>
        </w:rPr>
        <w:t xml:space="preserve"> </w:t>
      </w:r>
      <w:r w:rsidR="006E4DBC" w:rsidRPr="00A01FC2">
        <w:rPr>
          <w:sz w:val="28"/>
          <w:szCs w:val="28"/>
        </w:rPr>
        <w:t xml:space="preserve">влияние их на уровень жизни населения, </w:t>
      </w:r>
      <w:r w:rsidR="001958C3" w:rsidRPr="00A01FC2">
        <w:rPr>
          <w:sz w:val="28"/>
          <w:szCs w:val="28"/>
        </w:rPr>
        <w:t>компьютеризация</w:t>
      </w:r>
      <w:r w:rsidR="006E4DBC" w:rsidRPr="00A01FC2">
        <w:rPr>
          <w:sz w:val="28"/>
          <w:szCs w:val="28"/>
        </w:rPr>
        <w:t>)</w:t>
      </w:r>
    </w:p>
    <w:p w:rsidR="00827A98" w:rsidRPr="00A01FC2" w:rsidRDefault="00827A98" w:rsidP="00D71908">
      <w:pPr>
        <w:numPr>
          <w:ilvl w:val="0"/>
          <w:numId w:val="11"/>
        </w:numPr>
        <w:overflowPunct/>
        <w:autoSpaceDE/>
        <w:autoSpaceDN/>
        <w:adjustRightInd/>
        <w:spacing w:line="360" w:lineRule="auto"/>
        <w:ind w:left="0" w:firstLine="709"/>
        <w:jc w:val="both"/>
        <w:textAlignment w:val="auto"/>
        <w:rPr>
          <w:sz w:val="28"/>
          <w:szCs w:val="28"/>
        </w:rPr>
      </w:pPr>
      <w:r w:rsidRPr="00A01FC2">
        <w:rPr>
          <w:bCs/>
          <w:sz w:val="28"/>
          <w:szCs w:val="28"/>
        </w:rPr>
        <w:t>E</w:t>
      </w:r>
      <w:r w:rsidRPr="00A01FC2">
        <w:rPr>
          <w:sz w:val="28"/>
          <w:szCs w:val="28"/>
        </w:rPr>
        <w:t>conomical (</w:t>
      </w:r>
      <w:r w:rsidRPr="00A01FC2">
        <w:rPr>
          <w:b/>
          <w:bCs/>
          <w:sz w:val="28"/>
          <w:szCs w:val="28"/>
        </w:rPr>
        <w:t>Э</w:t>
      </w:r>
      <w:r w:rsidR="006E4DBC" w:rsidRPr="00A01FC2">
        <w:rPr>
          <w:sz w:val="28"/>
          <w:szCs w:val="28"/>
        </w:rPr>
        <w:t>кономические факторы: экономическая политика государства</w:t>
      </w:r>
      <w:r w:rsidR="001958C3" w:rsidRPr="00A01FC2">
        <w:rPr>
          <w:sz w:val="28"/>
          <w:szCs w:val="28"/>
        </w:rPr>
        <w:t>, налогообложение, уровень инфляции, экономический рост или спад, обменный курс валюты)</w:t>
      </w:r>
    </w:p>
    <w:p w:rsidR="00827A98" w:rsidRPr="00A01FC2" w:rsidRDefault="00827A98" w:rsidP="00D71908">
      <w:pPr>
        <w:numPr>
          <w:ilvl w:val="0"/>
          <w:numId w:val="11"/>
        </w:numPr>
        <w:overflowPunct/>
        <w:autoSpaceDE/>
        <w:autoSpaceDN/>
        <w:adjustRightInd/>
        <w:spacing w:line="360" w:lineRule="auto"/>
        <w:ind w:left="0" w:firstLine="709"/>
        <w:jc w:val="both"/>
        <w:textAlignment w:val="auto"/>
        <w:rPr>
          <w:sz w:val="28"/>
          <w:szCs w:val="28"/>
        </w:rPr>
      </w:pPr>
      <w:r w:rsidRPr="00A01FC2">
        <w:rPr>
          <w:bCs/>
          <w:sz w:val="28"/>
          <w:szCs w:val="28"/>
        </w:rPr>
        <w:t>P</w:t>
      </w:r>
      <w:r w:rsidRPr="00A01FC2">
        <w:rPr>
          <w:sz w:val="28"/>
          <w:szCs w:val="28"/>
        </w:rPr>
        <w:t>olitical (</w:t>
      </w:r>
      <w:r w:rsidRPr="00A01FC2">
        <w:rPr>
          <w:b/>
          <w:bCs/>
          <w:sz w:val="28"/>
          <w:szCs w:val="28"/>
        </w:rPr>
        <w:t>П</w:t>
      </w:r>
      <w:r w:rsidR="001958C3" w:rsidRPr="00A01FC2">
        <w:rPr>
          <w:sz w:val="28"/>
          <w:szCs w:val="28"/>
        </w:rPr>
        <w:t>олитические факторы: общественно экономический курс государства, развитие рыночных отношений, политические курсы в оборонной области, образовании, здравоохранении, социальном обеспечении)</w:t>
      </w:r>
    </w:p>
    <w:p w:rsidR="006F3A58" w:rsidRPr="00A01FC2" w:rsidRDefault="00827A98" w:rsidP="00D71908">
      <w:pPr>
        <w:overflowPunct/>
        <w:autoSpaceDE/>
        <w:autoSpaceDN/>
        <w:adjustRightInd/>
        <w:spacing w:line="360" w:lineRule="auto"/>
        <w:ind w:firstLine="709"/>
        <w:jc w:val="both"/>
        <w:textAlignment w:val="auto"/>
        <w:rPr>
          <w:sz w:val="28"/>
          <w:szCs w:val="28"/>
        </w:rPr>
      </w:pPr>
      <w:r w:rsidRPr="00A01FC2">
        <w:rPr>
          <w:sz w:val="28"/>
          <w:szCs w:val="28"/>
        </w:rPr>
        <w:t xml:space="preserve">Под </w:t>
      </w:r>
      <w:r w:rsidRPr="00A01FC2">
        <w:rPr>
          <w:iCs/>
          <w:sz w:val="28"/>
          <w:szCs w:val="28"/>
        </w:rPr>
        <w:t>дальним окружением</w:t>
      </w:r>
      <w:r w:rsidRPr="00A01FC2">
        <w:rPr>
          <w:sz w:val="28"/>
          <w:szCs w:val="28"/>
        </w:rPr>
        <w:t xml:space="preserve"> мы здесь понимаем макроокружение, характерное тем, что мы не можем влиять на него и управлять им.</w:t>
      </w:r>
      <w:r w:rsidR="001D103E" w:rsidRPr="00A01FC2">
        <w:rPr>
          <w:sz w:val="28"/>
          <w:szCs w:val="28"/>
        </w:rPr>
        <w:t>[</w:t>
      </w:r>
      <w:r w:rsidR="00383EC6" w:rsidRPr="00A01FC2">
        <w:rPr>
          <w:sz w:val="28"/>
          <w:szCs w:val="28"/>
        </w:rPr>
        <w:t>8</w:t>
      </w:r>
      <w:r w:rsidR="001D103E" w:rsidRPr="00A01FC2">
        <w:rPr>
          <w:sz w:val="28"/>
          <w:szCs w:val="28"/>
        </w:rPr>
        <w:t>]</w:t>
      </w:r>
    </w:p>
    <w:p w:rsidR="00EC3FA1" w:rsidRPr="00A01FC2" w:rsidRDefault="00A269AE" w:rsidP="00D71908">
      <w:pPr>
        <w:spacing w:line="360" w:lineRule="auto"/>
        <w:ind w:firstLine="709"/>
        <w:jc w:val="both"/>
        <w:rPr>
          <w:sz w:val="28"/>
          <w:szCs w:val="28"/>
        </w:rPr>
      </w:pPr>
      <w:r w:rsidRPr="00A01FC2">
        <w:rPr>
          <w:sz w:val="28"/>
          <w:szCs w:val="28"/>
        </w:rPr>
        <w:t xml:space="preserve">В проведении STEP-анализа существуют некоторые этапы, которых необходимо придерживаться. А именно: - Разработка перечня главных стратегических факторов, которые имеют высокую вероятность реализации и воздействия на функционирование предприятия. - Оценка важности каждого события для данного </w:t>
      </w:r>
      <w:r w:rsidR="00526A09" w:rsidRPr="00A01FC2">
        <w:rPr>
          <w:sz w:val="28"/>
          <w:szCs w:val="28"/>
        </w:rPr>
        <w:t>объекта исследования</w:t>
      </w:r>
      <w:r w:rsidRPr="00A01FC2">
        <w:rPr>
          <w:sz w:val="28"/>
          <w:szCs w:val="28"/>
        </w:rPr>
        <w:t xml:space="preserve"> путем присвоения ему</w:t>
      </w:r>
      <w:r w:rsidR="00526A09" w:rsidRPr="00A01FC2">
        <w:rPr>
          <w:sz w:val="28"/>
          <w:szCs w:val="28"/>
        </w:rPr>
        <w:t xml:space="preserve"> определенного веса</w:t>
      </w:r>
      <w:r w:rsidR="004A5A35" w:rsidRPr="00A01FC2">
        <w:rPr>
          <w:sz w:val="28"/>
          <w:szCs w:val="28"/>
        </w:rPr>
        <w:t xml:space="preserve"> (ранга)</w:t>
      </w:r>
      <w:r w:rsidR="00526A09" w:rsidRPr="00A01FC2">
        <w:rPr>
          <w:sz w:val="28"/>
          <w:szCs w:val="28"/>
        </w:rPr>
        <w:t>.</w:t>
      </w:r>
      <w:r w:rsidRPr="00A01FC2">
        <w:rPr>
          <w:sz w:val="28"/>
          <w:szCs w:val="28"/>
        </w:rPr>
        <w:t>- Оценка степени влияния каждого фактора-события. - Определение взвешенной оценки путем умножения веса фактора на силу его воздействия и подсчитывание суммарной взвешенной оценки</w:t>
      </w:r>
      <w:r w:rsidR="00EC3FA1" w:rsidRPr="00A01FC2">
        <w:rPr>
          <w:sz w:val="28"/>
          <w:szCs w:val="28"/>
        </w:rPr>
        <w:t>.</w:t>
      </w:r>
    </w:p>
    <w:p w:rsidR="00A269AE" w:rsidRPr="00A01FC2" w:rsidRDefault="00A269AE" w:rsidP="00D71908">
      <w:pPr>
        <w:spacing w:line="360" w:lineRule="auto"/>
        <w:ind w:firstLine="709"/>
        <w:jc w:val="both"/>
        <w:rPr>
          <w:sz w:val="28"/>
          <w:szCs w:val="28"/>
        </w:rPr>
      </w:pPr>
      <w:r w:rsidRPr="00A01FC2">
        <w:rPr>
          <w:sz w:val="28"/>
          <w:szCs w:val="28"/>
        </w:rPr>
        <w:t xml:space="preserve">STEP-анализ вполне можно рассматривать как вариант системного анализа, т.к. факторы, которые относятся к перечисленным четырем аспектам обычно тесно взаимосвязаны и характеризуют различные иерархические уровни общества, как системы. STEP-анализ помогает изучить «поведение» внешней среды только в том случае, если адекватно и объективно оценивать воздействие всех четырех факторов. </w:t>
      </w:r>
      <w:r w:rsidR="009800D0" w:rsidRPr="00A01FC2">
        <w:rPr>
          <w:sz w:val="28"/>
          <w:szCs w:val="28"/>
        </w:rPr>
        <w:t>[</w:t>
      </w:r>
      <w:r w:rsidR="00383EC6" w:rsidRPr="00A01FC2">
        <w:rPr>
          <w:sz w:val="28"/>
          <w:szCs w:val="28"/>
        </w:rPr>
        <w:t>9</w:t>
      </w:r>
      <w:r w:rsidR="009800D0" w:rsidRPr="00A01FC2">
        <w:rPr>
          <w:sz w:val="28"/>
          <w:szCs w:val="28"/>
        </w:rPr>
        <w:t>]</w:t>
      </w:r>
    </w:p>
    <w:p w:rsidR="004948C4" w:rsidRPr="00A01FC2" w:rsidRDefault="004948C4" w:rsidP="00D71908">
      <w:pPr>
        <w:spacing w:line="360" w:lineRule="auto"/>
        <w:ind w:firstLine="709"/>
        <w:jc w:val="both"/>
        <w:rPr>
          <w:sz w:val="28"/>
          <w:szCs w:val="28"/>
        </w:rPr>
      </w:pPr>
      <w:r w:rsidRPr="00A01FC2">
        <w:rPr>
          <w:sz w:val="28"/>
          <w:szCs w:val="28"/>
        </w:rPr>
        <w:t>В нашем маркетинговом исследовании объектом является фармацевтический рынок Швеции.</w:t>
      </w:r>
    </w:p>
    <w:p w:rsidR="003069D2" w:rsidRPr="00A01FC2" w:rsidRDefault="00E31117" w:rsidP="00D71908">
      <w:pPr>
        <w:overflowPunct/>
        <w:autoSpaceDE/>
        <w:autoSpaceDN/>
        <w:adjustRightInd/>
        <w:spacing w:line="360" w:lineRule="auto"/>
        <w:ind w:firstLine="709"/>
        <w:jc w:val="both"/>
        <w:textAlignment w:val="auto"/>
        <w:rPr>
          <w:sz w:val="28"/>
          <w:szCs w:val="28"/>
        </w:rPr>
      </w:pPr>
      <w:r w:rsidRPr="00A01FC2">
        <w:rPr>
          <w:sz w:val="28"/>
          <w:szCs w:val="28"/>
        </w:rPr>
        <w:t xml:space="preserve">Если говорить </w:t>
      </w:r>
      <w:r w:rsidR="00F644A4" w:rsidRPr="00A01FC2">
        <w:rPr>
          <w:sz w:val="28"/>
          <w:szCs w:val="28"/>
        </w:rPr>
        <w:t xml:space="preserve">о </w:t>
      </w:r>
      <w:r w:rsidR="007A444E" w:rsidRPr="00A01FC2">
        <w:rPr>
          <w:sz w:val="28"/>
          <w:szCs w:val="28"/>
        </w:rPr>
        <w:t>социальных</w:t>
      </w:r>
      <w:r w:rsidR="00F644A4" w:rsidRPr="00A01FC2">
        <w:rPr>
          <w:sz w:val="28"/>
          <w:szCs w:val="28"/>
        </w:rPr>
        <w:t xml:space="preserve"> факторах, оказывающих влияние на фармрынок Швеции</w:t>
      </w:r>
      <w:r w:rsidR="007A444E" w:rsidRPr="00A01FC2">
        <w:rPr>
          <w:sz w:val="28"/>
          <w:szCs w:val="28"/>
        </w:rPr>
        <w:t>, то следует отметить гарантированную</w:t>
      </w:r>
      <w:r w:rsidR="00245808" w:rsidRPr="00A01FC2">
        <w:rPr>
          <w:sz w:val="28"/>
          <w:szCs w:val="28"/>
        </w:rPr>
        <w:t xml:space="preserve"> высококачественную</w:t>
      </w:r>
      <w:r w:rsidR="007A444E" w:rsidRPr="00A01FC2">
        <w:rPr>
          <w:sz w:val="28"/>
          <w:szCs w:val="28"/>
        </w:rPr>
        <w:t xml:space="preserve"> медицинскую помощь населению при высоком уровне расходов граждан на лекарственные препараты. Так же имеет особенности и демографическая структура населения. </w:t>
      </w:r>
      <w:r w:rsidR="00245808" w:rsidRPr="00A01FC2">
        <w:rPr>
          <w:sz w:val="28"/>
          <w:szCs w:val="28"/>
        </w:rPr>
        <w:t>Отмечается растущая рождаемость и, при этом,</w:t>
      </w:r>
      <w:r w:rsidR="007A444E" w:rsidRPr="00A01FC2">
        <w:rPr>
          <w:sz w:val="28"/>
          <w:szCs w:val="28"/>
        </w:rPr>
        <w:t xml:space="preserve"> </w:t>
      </w:r>
      <w:r w:rsidR="00245808" w:rsidRPr="00A01FC2">
        <w:rPr>
          <w:sz w:val="28"/>
          <w:szCs w:val="28"/>
        </w:rPr>
        <w:t>высокая доля лиц пожилого возраста. Средняя продолжительность жизни тоже весьма высока и составляет 78,6 лет у мужчин и 83,2 года у женщин. К социальным факторам так же следует отнести высокий уровень жизни шведов и практически абсолют</w:t>
      </w:r>
      <w:r w:rsidR="00B046DF" w:rsidRPr="00A01FC2">
        <w:rPr>
          <w:sz w:val="28"/>
          <w:szCs w:val="28"/>
        </w:rPr>
        <w:t>ное равенство доходов населения, а так же высокую социальную защищенность всех граждан.</w:t>
      </w:r>
    </w:p>
    <w:p w:rsidR="00245808" w:rsidRPr="00A01FC2" w:rsidRDefault="00245808" w:rsidP="00D71908">
      <w:pPr>
        <w:overflowPunct/>
        <w:autoSpaceDE/>
        <w:autoSpaceDN/>
        <w:adjustRightInd/>
        <w:spacing w:line="360" w:lineRule="auto"/>
        <w:ind w:firstLine="709"/>
        <w:jc w:val="both"/>
        <w:textAlignment w:val="auto"/>
        <w:rPr>
          <w:sz w:val="28"/>
          <w:szCs w:val="28"/>
        </w:rPr>
      </w:pPr>
      <w:r w:rsidRPr="00A01FC2">
        <w:rPr>
          <w:sz w:val="28"/>
          <w:szCs w:val="28"/>
        </w:rPr>
        <w:t>И</w:t>
      </w:r>
      <w:r w:rsidR="006A0E06" w:rsidRPr="00A01FC2">
        <w:rPr>
          <w:sz w:val="28"/>
          <w:szCs w:val="28"/>
        </w:rPr>
        <w:t>з технологических факторов имеет</w:t>
      </w:r>
      <w:r w:rsidRPr="00A01FC2">
        <w:rPr>
          <w:sz w:val="28"/>
          <w:szCs w:val="28"/>
        </w:rPr>
        <w:t xml:space="preserve"> значение</w:t>
      </w:r>
      <w:r w:rsidR="006A0E06" w:rsidRPr="00A01FC2">
        <w:rPr>
          <w:sz w:val="28"/>
          <w:szCs w:val="28"/>
        </w:rPr>
        <w:t xml:space="preserve"> высокая квалификация фармацевтического персонала предприятий, многочисленные научные исследования в области фармации. К ним так же следует отнести выпуск</w:t>
      </w:r>
      <w:r w:rsidR="00D71908" w:rsidRPr="00A01FC2">
        <w:rPr>
          <w:sz w:val="28"/>
          <w:szCs w:val="28"/>
        </w:rPr>
        <w:t xml:space="preserve"> </w:t>
      </w:r>
      <w:r w:rsidR="006A0E06" w:rsidRPr="00A01FC2">
        <w:rPr>
          <w:sz w:val="28"/>
          <w:szCs w:val="28"/>
        </w:rPr>
        <w:t>компаниями большой доли рецептурных препаратов.</w:t>
      </w:r>
      <w:r w:rsidR="0059378D" w:rsidRPr="00A01FC2">
        <w:rPr>
          <w:sz w:val="28"/>
          <w:szCs w:val="28"/>
        </w:rPr>
        <w:t xml:space="preserve"> Швецкие компании регулярно разрабатывают и патентуют оригинальные лекарственные препараты.</w:t>
      </w:r>
      <w:r w:rsidR="001E6D42" w:rsidRPr="00A01FC2">
        <w:rPr>
          <w:sz w:val="28"/>
          <w:szCs w:val="28"/>
        </w:rPr>
        <w:t xml:space="preserve"> </w:t>
      </w:r>
    </w:p>
    <w:p w:rsidR="006A0E06" w:rsidRPr="00A01FC2" w:rsidRDefault="006A0E06" w:rsidP="00D71908">
      <w:pPr>
        <w:overflowPunct/>
        <w:autoSpaceDE/>
        <w:autoSpaceDN/>
        <w:adjustRightInd/>
        <w:spacing w:line="360" w:lineRule="auto"/>
        <w:ind w:firstLine="709"/>
        <w:jc w:val="both"/>
        <w:textAlignment w:val="auto"/>
        <w:rPr>
          <w:sz w:val="28"/>
          <w:szCs w:val="28"/>
        </w:rPr>
      </w:pPr>
      <w:r w:rsidRPr="00A01FC2">
        <w:rPr>
          <w:sz w:val="28"/>
          <w:szCs w:val="28"/>
        </w:rPr>
        <w:t>К экономическим факторам, оказывающим влияние на фармрынок Швеции, относятся практически полная занятость трудоспособного населени</w:t>
      </w:r>
      <w:r w:rsidR="00E0240C" w:rsidRPr="00A01FC2">
        <w:rPr>
          <w:sz w:val="28"/>
          <w:szCs w:val="28"/>
        </w:rPr>
        <w:t xml:space="preserve">я, что возможно связано с широким развитием предпринимательства, и, вместе с тем, </w:t>
      </w:r>
      <w:r w:rsidRPr="00A01FC2">
        <w:rPr>
          <w:sz w:val="28"/>
          <w:szCs w:val="28"/>
        </w:rPr>
        <w:t>относительно низкий уровень</w:t>
      </w:r>
      <w:r w:rsidR="00E0240C" w:rsidRPr="00A01FC2">
        <w:rPr>
          <w:sz w:val="28"/>
          <w:szCs w:val="28"/>
        </w:rPr>
        <w:t xml:space="preserve"> инфляции. Важнейшим фактором является ориентация экономики на экспорт. Стабильный экономический рост на протяжении нескольких десятилетий не может не повлиять на процветание фармрынка этой страны. Единственным «слабым звеном» в поддержании отрасли остается отсутствие льгот на налогообложение шведских предприятий предприятий.</w:t>
      </w:r>
    </w:p>
    <w:p w:rsidR="00767BE8" w:rsidRPr="00A01FC2" w:rsidRDefault="00EE66E8" w:rsidP="00D71908">
      <w:pPr>
        <w:overflowPunct/>
        <w:autoSpaceDE/>
        <w:autoSpaceDN/>
        <w:adjustRightInd/>
        <w:spacing w:line="360" w:lineRule="auto"/>
        <w:ind w:firstLine="709"/>
        <w:jc w:val="both"/>
        <w:textAlignment w:val="auto"/>
        <w:rPr>
          <w:sz w:val="28"/>
          <w:szCs w:val="28"/>
        </w:rPr>
      </w:pPr>
      <w:r w:rsidRPr="00A01FC2">
        <w:rPr>
          <w:sz w:val="28"/>
          <w:szCs w:val="28"/>
        </w:rPr>
        <w:t xml:space="preserve">За последнее столетие Швеция не участвовала в войнах и придерживалась нейтральной позиции во внешнеполитических вопросах, что не могло не сказаться благоприятно на экономической ситуации в стране. Рекордное по продолжительности пребывание у власти Социал-демократической рабочей партии обеспечило политическую стабильность. </w:t>
      </w:r>
      <w:r w:rsidR="00E0240C" w:rsidRPr="00A01FC2">
        <w:rPr>
          <w:sz w:val="28"/>
          <w:szCs w:val="28"/>
        </w:rPr>
        <w:t>Как отмечалось ранее</w:t>
      </w:r>
      <w:r w:rsidR="00A35902" w:rsidRPr="00A01FC2">
        <w:rPr>
          <w:sz w:val="28"/>
          <w:szCs w:val="28"/>
        </w:rPr>
        <w:t>,</w:t>
      </w:r>
      <w:r w:rsidR="00E0240C" w:rsidRPr="00A01FC2">
        <w:rPr>
          <w:sz w:val="28"/>
          <w:szCs w:val="28"/>
        </w:rPr>
        <w:t xml:space="preserve"> государство придерживается политики децентрализации финансирования здравоохранения</w:t>
      </w:r>
      <w:r w:rsidR="00A35902" w:rsidRPr="00A01FC2">
        <w:rPr>
          <w:sz w:val="28"/>
          <w:szCs w:val="28"/>
        </w:rPr>
        <w:t>. На здравоохранение выделяются значительные средств</w:t>
      </w:r>
      <w:r w:rsidR="00454A9D" w:rsidRPr="00A01FC2">
        <w:rPr>
          <w:sz w:val="28"/>
          <w:szCs w:val="28"/>
        </w:rPr>
        <w:t xml:space="preserve">а из государственного бюджета. </w:t>
      </w:r>
    </w:p>
    <w:p w:rsidR="00D71908" w:rsidRPr="00A01FC2" w:rsidRDefault="00D71908" w:rsidP="00D71908">
      <w:pPr>
        <w:overflowPunct/>
        <w:autoSpaceDE/>
        <w:autoSpaceDN/>
        <w:adjustRightInd/>
        <w:spacing w:line="360" w:lineRule="auto"/>
        <w:ind w:firstLine="709"/>
        <w:jc w:val="both"/>
        <w:textAlignment w:val="auto"/>
        <w:rPr>
          <w:sz w:val="28"/>
          <w:szCs w:val="28"/>
        </w:rPr>
      </w:pPr>
    </w:p>
    <w:p w:rsidR="00B046DF" w:rsidRPr="00A01FC2" w:rsidRDefault="00B046DF" w:rsidP="00D71908">
      <w:pPr>
        <w:overflowPunct/>
        <w:autoSpaceDE/>
        <w:autoSpaceDN/>
        <w:adjustRightInd/>
        <w:spacing w:line="360" w:lineRule="auto"/>
        <w:ind w:firstLine="709"/>
        <w:jc w:val="both"/>
        <w:textAlignment w:val="auto"/>
        <w:rPr>
          <w:sz w:val="28"/>
          <w:szCs w:val="28"/>
        </w:rPr>
      </w:pPr>
      <w:r w:rsidRPr="00A01FC2">
        <w:rPr>
          <w:sz w:val="28"/>
          <w:szCs w:val="28"/>
        </w:rPr>
        <w:t>Таблица</w:t>
      </w:r>
      <w:r w:rsidR="00576ECC" w:rsidRPr="00A01FC2">
        <w:rPr>
          <w:sz w:val="28"/>
          <w:szCs w:val="28"/>
        </w:rPr>
        <w:t xml:space="preserve"> 5</w:t>
      </w:r>
      <w:r w:rsidR="00D71908" w:rsidRPr="00A01FC2">
        <w:rPr>
          <w:sz w:val="28"/>
          <w:szCs w:val="28"/>
        </w:rPr>
        <w:t>.</w:t>
      </w:r>
      <w:r w:rsidR="002C4F0E" w:rsidRPr="00A01FC2">
        <w:rPr>
          <w:sz w:val="28"/>
          <w:szCs w:val="28"/>
        </w:rPr>
        <w:t xml:space="preserve"> </w:t>
      </w:r>
      <w:r w:rsidRPr="00A01FC2">
        <w:rPr>
          <w:sz w:val="28"/>
          <w:szCs w:val="28"/>
        </w:rPr>
        <w:t>Обоснование ранжирования и оценки факторов</w:t>
      </w:r>
      <w:r w:rsidR="00D71908" w:rsidRPr="00A01FC2">
        <w:rPr>
          <w:sz w:val="28"/>
          <w:szCs w:val="28"/>
        </w:rPr>
        <w:t xml:space="preserve"> 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2838"/>
        <w:gridCol w:w="516"/>
        <w:gridCol w:w="2341"/>
        <w:gridCol w:w="516"/>
        <w:gridCol w:w="2179"/>
      </w:tblGrid>
      <w:tr w:rsidR="00DF7E37" w:rsidRPr="00DE4021" w:rsidTr="00DE4021">
        <w:trPr>
          <w:jc w:val="center"/>
        </w:trPr>
        <w:tc>
          <w:tcPr>
            <w:tcW w:w="720" w:type="dxa"/>
            <w:vMerge w:val="restart"/>
            <w:shd w:val="clear" w:color="auto" w:fill="auto"/>
          </w:tcPr>
          <w:p w:rsidR="00DF7E37" w:rsidRPr="00A01FC2" w:rsidRDefault="00260994" w:rsidP="00B62CF6">
            <w:pPr>
              <w:pStyle w:val="11"/>
            </w:pPr>
            <w:r w:rsidRPr="00A01FC2">
              <w:t>№</w:t>
            </w:r>
          </w:p>
        </w:tc>
        <w:tc>
          <w:tcPr>
            <w:tcW w:w="3060" w:type="dxa"/>
            <w:vMerge w:val="restart"/>
            <w:shd w:val="clear" w:color="auto" w:fill="auto"/>
          </w:tcPr>
          <w:p w:rsidR="00DF7E37" w:rsidRPr="00A01FC2" w:rsidRDefault="00DF7E37" w:rsidP="00B62CF6">
            <w:pPr>
              <w:pStyle w:val="11"/>
            </w:pPr>
            <w:r w:rsidRPr="00A01FC2">
              <w:t>Фактор</w:t>
            </w:r>
          </w:p>
        </w:tc>
        <w:tc>
          <w:tcPr>
            <w:tcW w:w="3060" w:type="dxa"/>
            <w:gridSpan w:val="2"/>
            <w:shd w:val="clear" w:color="auto" w:fill="auto"/>
          </w:tcPr>
          <w:p w:rsidR="00D71908" w:rsidRPr="00A01FC2" w:rsidRDefault="00DF7E37" w:rsidP="00B62CF6">
            <w:pPr>
              <w:pStyle w:val="11"/>
            </w:pPr>
            <w:r w:rsidRPr="00A01FC2">
              <w:t xml:space="preserve">Ранжирование </w:t>
            </w:r>
          </w:p>
          <w:p w:rsidR="00DF7E37" w:rsidRPr="00A01FC2" w:rsidRDefault="00DF7E37" w:rsidP="00B62CF6">
            <w:pPr>
              <w:pStyle w:val="11"/>
            </w:pPr>
            <w:r w:rsidRPr="00A01FC2">
              <w:t>фактора</w:t>
            </w:r>
          </w:p>
        </w:tc>
        <w:tc>
          <w:tcPr>
            <w:tcW w:w="2884" w:type="dxa"/>
            <w:gridSpan w:val="2"/>
            <w:shd w:val="clear" w:color="auto" w:fill="auto"/>
          </w:tcPr>
          <w:p w:rsidR="00DF7E37" w:rsidRPr="00A01FC2" w:rsidRDefault="00DF7E37" w:rsidP="00B62CF6">
            <w:pPr>
              <w:pStyle w:val="11"/>
            </w:pPr>
            <w:r w:rsidRPr="00A01FC2">
              <w:t>Оценка фактора</w:t>
            </w:r>
          </w:p>
        </w:tc>
      </w:tr>
      <w:tr w:rsidR="002F37D5" w:rsidRPr="00DE4021" w:rsidTr="00DE4021">
        <w:trPr>
          <w:trHeight w:val="1323"/>
          <w:jc w:val="center"/>
        </w:trPr>
        <w:tc>
          <w:tcPr>
            <w:tcW w:w="720" w:type="dxa"/>
            <w:vMerge/>
            <w:shd w:val="clear" w:color="auto" w:fill="auto"/>
          </w:tcPr>
          <w:p w:rsidR="002F37D5" w:rsidRPr="00A01FC2" w:rsidRDefault="002F37D5" w:rsidP="00B62CF6">
            <w:pPr>
              <w:pStyle w:val="11"/>
            </w:pPr>
          </w:p>
        </w:tc>
        <w:tc>
          <w:tcPr>
            <w:tcW w:w="3060" w:type="dxa"/>
            <w:vMerge/>
            <w:shd w:val="clear" w:color="auto" w:fill="auto"/>
          </w:tcPr>
          <w:p w:rsidR="002F37D5" w:rsidRPr="00A01FC2" w:rsidRDefault="002F37D5" w:rsidP="00B62CF6">
            <w:pPr>
              <w:pStyle w:val="11"/>
            </w:pPr>
          </w:p>
        </w:tc>
        <w:tc>
          <w:tcPr>
            <w:tcW w:w="540" w:type="dxa"/>
            <w:shd w:val="clear" w:color="auto" w:fill="auto"/>
          </w:tcPr>
          <w:p w:rsidR="002F37D5" w:rsidRPr="00A01FC2" w:rsidRDefault="005852AD" w:rsidP="00B62CF6">
            <w:pPr>
              <w:pStyle w:val="11"/>
            </w:pPr>
            <w:r w:rsidRPr="00A01FC2">
              <w:t>р</w:t>
            </w:r>
            <w:r w:rsidR="002F37D5" w:rsidRPr="00A01FC2">
              <w:t>анг</w:t>
            </w:r>
          </w:p>
        </w:tc>
        <w:tc>
          <w:tcPr>
            <w:tcW w:w="2520" w:type="dxa"/>
            <w:shd w:val="clear" w:color="auto" w:fill="auto"/>
          </w:tcPr>
          <w:p w:rsidR="002F37D5" w:rsidRPr="00A01FC2" w:rsidRDefault="002F37D5" w:rsidP="00B62CF6">
            <w:pPr>
              <w:pStyle w:val="11"/>
            </w:pPr>
            <w:r w:rsidRPr="00A01FC2">
              <w:t>обоснование (влияние на объект исследования)</w:t>
            </w:r>
          </w:p>
        </w:tc>
        <w:tc>
          <w:tcPr>
            <w:tcW w:w="540" w:type="dxa"/>
            <w:shd w:val="clear" w:color="auto" w:fill="auto"/>
          </w:tcPr>
          <w:p w:rsidR="002F37D5" w:rsidRPr="00A01FC2" w:rsidRDefault="002F37D5" w:rsidP="00B62CF6">
            <w:pPr>
              <w:pStyle w:val="11"/>
            </w:pPr>
            <w:r w:rsidRPr="00A01FC2">
              <w:t>ранг</w:t>
            </w:r>
          </w:p>
          <w:p w:rsidR="002F37D5" w:rsidRPr="00A01FC2" w:rsidRDefault="002F37D5" w:rsidP="00B62CF6">
            <w:pPr>
              <w:pStyle w:val="11"/>
            </w:pPr>
          </w:p>
        </w:tc>
        <w:tc>
          <w:tcPr>
            <w:tcW w:w="2344" w:type="dxa"/>
            <w:shd w:val="clear" w:color="auto" w:fill="auto"/>
          </w:tcPr>
          <w:p w:rsidR="002F37D5" w:rsidRPr="00A01FC2" w:rsidRDefault="002F37D5" w:rsidP="00B62CF6">
            <w:pPr>
              <w:pStyle w:val="11"/>
            </w:pPr>
            <w:r w:rsidRPr="00A01FC2">
              <w:t>обоснование (вывод по результатам анализа)</w:t>
            </w:r>
          </w:p>
        </w:tc>
      </w:tr>
      <w:tr w:rsidR="002F37D5" w:rsidRPr="00DE4021" w:rsidTr="00DE4021">
        <w:trPr>
          <w:jc w:val="center"/>
        </w:trPr>
        <w:tc>
          <w:tcPr>
            <w:tcW w:w="9724" w:type="dxa"/>
            <w:gridSpan w:val="6"/>
            <w:shd w:val="clear" w:color="auto" w:fill="auto"/>
          </w:tcPr>
          <w:p w:rsidR="002F37D5" w:rsidRPr="00A01FC2" w:rsidRDefault="002F37D5" w:rsidP="00B62CF6">
            <w:pPr>
              <w:pStyle w:val="11"/>
            </w:pPr>
            <w:r w:rsidRPr="00DE4021">
              <w:rPr>
                <w:b/>
              </w:rPr>
              <w:t>С</w:t>
            </w:r>
            <w:r w:rsidRPr="00A01FC2">
              <w:t>оциальные факторы</w:t>
            </w:r>
          </w:p>
        </w:tc>
      </w:tr>
      <w:tr w:rsidR="00DF7E37" w:rsidRPr="00DE4021" w:rsidTr="00DE4021">
        <w:trPr>
          <w:jc w:val="center"/>
        </w:trPr>
        <w:tc>
          <w:tcPr>
            <w:tcW w:w="720" w:type="dxa"/>
            <w:shd w:val="clear" w:color="auto" w:fill="auto"/>
          </w:tcPr>
          <w:p w:rsidR="00DF7E37" w:rsidRPr="00A01FC2" w:rsidRDefault="007A444E" w:rsidP="00B62CF6">
            <w:pPr>
              <w:pStyle w:val="11"/>
            </w:pPr>
            <w:r w:rsidRPr="00A01FC2">
              <w:t>1</w:t>
            </w:r>
          </w:p>
        </w:tc>
        <w:tc>
          <w:tcPr>
            <w:tcW w:w="3060" w:type="dxa"/>
            <w:shd w:val="clear" w:color="auto" w:fill="auto"/>
          </w:tcPr>
          <w:p w:rsidR="00DF7E37" w:rsidRPr="00A01FC2" w:rsidRDefault="005852AD" w:rsidP="00B62CF6">
            <w:pPr>
              <w:pStyle w:val="11"/>
            </w:pPr>
            <w:r w:rsidRPr="00A01FC2">
              <w:t xml:space="preserve">доступность </w:t>
            </w:r>
            <w:r w:rsidR="00DD2695" w:rsidRPr="00A01FC2">
              <w:t>мед</w:t>
            </w:r>
            <w:r w:rsidR="002F37D5" w:rsidRPr="00A01FC2">
              <w:t>помощи</w:t>
            </w:r>
          </w:p>
        </w:tc>
        <w:tc>
          <w:tcPr>
            <w:tcW w:w="540" w:type="dxa"/>
            <w:shd w:val="clear" w:color="auto" w:fill="auto"/>
          </w:tcPr>
          <w:p w:rsidR="00DF7E37" w:rsidRPr="00A01FC2" w:rsidRDefault="00F644A4" w:rsidP="00B62CF6">
            <w:pPr>
              <w:pStyle w:val="11"/>
            </w:pPr>
            <w:r w:rsidRPr="00A01FC2">
              <w:t>5</w:t>
            </w:r>
          </w:p>
        </w:tc>
        <w:tc>
          <w:tcPr>
            <w:tcW w:w="2520" w:type="dxa"/>
            <w:shd w:val="clear" w:color="auto" w:fill="auto"/>
          </w:tcPr>
          <w:p w:rsidR="00DF7E37" w:rsidRPr="00A01FC2" w:rsidRDefault="00A701BE" w:rsidP="00B62CF6">
            <w:pPr>
              <w:pStyle w:val="11"/>
            </w:pPr>
            <w:r w:rsidRPr="00A01FC2">
              <w:t>Сильно влияет</w:t>
            </w:r>
          </w:p>
        </w:tc>
        <w:tc>
          <w:tcPr>
            <w:tcW w:w="540" w:type="dxa"/>
            <w:shd w:val="clear" w:color="auto" w:fill="auto"/>
          </w:tcPr>
          <w:p w:rsidR="00DF7E37" w:rsidRPr="00A01FC2" w:rsidRDefault="00A701BE" w:rsidP="00B62CF6">
            <w:pPr>
              <w:pStyle w:val="11"/>
            </w:pPr>
            <w:r w:rsidRPr="00A01FC2">
              <w:t>5</w:t>
            </w:r>
          </w:p>
        </w:tc>
        <w:tc>
          <w:tcPr>
            <w:tcW w:w="2344" w:type="dxa"/>
            <w:shd w:val="clear" w:color="auto" w:fill="auto"/>
          </w:tcPr>
          <w:p w:rsidR="00DF7E37" w:rsidRPr="00A01FC2" w:rsidRDefault="005852AD" w:rsidP="00B62CF6">
            <w:pPr>
              <w:pStyle w:val="11"/>
            </w:pPr>
            <w:r w:rsidRPr="00A01FC2">
              <w:t>Показатели высокие</w:t>
            </w:r>
          </w:p>
        </w:tc>
      </w:tr>
      <w:tr w:rsidR="00DF7E37" w:rsidRPr="00DE4021" w:rsidTr="00DE4021">
        <w:trPr>
          <w:jc w:val="center"/>
        </w:trPr>
        <w:tc>
          <w:tcPr>
            <w:tcW w:w="720" w:type="dxa"/>
            <w:shd w:val="clear" w:color="auto" w:fill="auto"/>
          </w:tcPr>
          <w:p w:rsidR="00DF7E37" w:rsidRPr="00A01FC2" w:rsidRDefault="007A444E" w:rsidP="00B62CF6">
            <w:pPr>
              <w:pStyle w:val="11"/>
            </w:pPr>
            <w:r w:rsidRPr="00A01FC2">
              <w:t>2</w:t>
            </w:r>
          </w:p>
        </w:tc>
        <w:tc>
          <w:tcPr>
            <w:tcW w:w="3060" w:type="dxa"/>
            <w:shd w:val="clear" w:color="auto" w:fill="auto"/>
          </w:tcPr>
          <w:p w:rsidR="00DF7E37" w:rsidRPr="00A01FC2" w:rsidRDefault="002F37D5" w:rsidP="00B62CF6">
            <w:pPr>
              <w:pStyle w:val="11"/>
            </w:pPr>
            <w:r w:rsidRPr="00A01FC2">
              <w:t xml:space="preserve">расходы </w:t>
            </w:r>
            <w:r w:rsidR="00FE2A19" w:rsidRPr="00A01FC2">
              <w:t xml:space="preserve">на душу </w:t>
            </w:r>
            <w:r w:rsidRPr="00A01FC2">
              <w:t xml:space="preserve">населения на ЛП </w:t>
            </w:r>
          </w:p>
        </w:tc>
        <w:tc>
          <w:tcPr>
            <w:tcW w:w="540" w:type="dxa"/>
            <w:shd w:val="clear" w:color="auto" w:fill="auto"/>
          </w:tcPr>
          <w:p w:rsidR="00DF7E37" w:rsidRPr="00A01FC2" w:rsidRDefault="00F644A4" w:rsidP="00B62CF6">
            <w:pPr>
              <w:pStyle w:val="11"/>
            </w:pPr>
            <w:r w:rsidRPr="00A01FC2">
              <w:t>6</w:t>
            </w:r>
          </w:p>
        </w:tc>
        <w:tc>
          <w:tcPr>
            <w:tcW w:w="2520" w:type="dxa"/>
            <w:shd w:val="clear" w:color="auto" w:fill="auto"/>
          </w:tcPr>
          <w:p w:rsidR="00DF7E37" w:rsidRPr="00A01FC2" w:rsidRDefault="00A701BE" w:rsidP="00B62CF6">
            <w:pPr>
              <w:pStyle w:val="11"/>
            </w:pPr>
            <w:r w:rsidRPr="00A01FC2">
              <w:t>Очень сильно влияет</w:t>
            </w:r>
          </w:p>
        </w:tc>
        <w:tc>
          <w:tcPr>
            <w:tcW w:w="540" w:type="dxa"/>
            <w:shd w:val="clear" w:color="auto" w:fill="auto"/>
          </w:tcPr>
          <w:p w:rsidR="00DF7E37" w:rsidRPr="00A01FC2" w:rsidRDefault="005852AD" w:rsidP="00B62CF6">
            <w:pPr>
              <w:pStyle w:val="11"/>
            </w:pPr>
            <w:r w:rsidRPr="00A01FC2">
              <w:t>5</w:t>
            </w:r>
          </w:p>
        </w:tc>
        <w:tc>
          <w:tcPr>
            <w:tcW w:w="2344" w:type="dxa"/>
            <w:shd w:val="clear" w:color="auto" w:fill="auto"/>
          </w:tcPr>
          <w:p w:rsidR="00DF7E37" w:rsidRPr="00A01FC2" w:rsidRDefault="005852AD" w:rsidP="00B62CF6">
            <w:pPr>
              <w:pStyle w:val="11"/>
            </w:pPr>
            <w:r w:rsidRPr="00A01FC2">
              <w:t>Показатели высокие</w:t>
            </w:r>
          </w:p>
        </w:tc>
      </w:tr>
      <w:tr w:rsidR="00DF7E37" w:rsidRPr="00DE4021" w:rsidTr="00DE4021">
        <w:trPr>
          <w:jc w:val="center"/>
        </w:trPr>
        <w:tc>
          <w:tcPr>
            <w:tcW w:w="720" w:type="dxa"/>
            <w:shd w:val="clear" w:color="auto" w:fill="auto"/>
          </w:tcPr>
          <w:p w:rsidR="00DF7E37" w:rsidRPr="00A01FC2" w:rsidRDefault="007A444E" w:rsidP="00B62CF6">
            <w:pPr>
              <w:pStyle w:val="11"/>
            </w:pPr>
            <w:r w:rsidRPr="00A01FC2">
              <w:t>3</w:t>
            </w:r>
          </w:p>
        </w:tc>
        <w:tc>
          <w:tcPr>
            <w:tcW w:w="3060" w:type="dxa"/>
            <w:shd w:val="clear" w:color="auto" w:fill="auto"/>
          </w:tcPr>
          <w:p w:rsidR="00DF7E37" w:rsidRPr="00A01FC2" w:rsidRDefault="003711ED" w:rsidP="00B62CF6">
            <w:pPr>
              <w:pStyle w:val="11"/>
            </w:pPr>
            <w:r w:rsidRPr="00A01FC2">
              <w:t>уровень жизни</w:t>
            </w:r>
            <w:r w:rsidR="00A701BE" w:rsidRPr="00A01FC2">
              <w:t xml:space="preserve"> </w:t>
            </w:r>
            <w:r w:rsidR="00984707" w:rsidRPr="00A01FC2">
              <w:t>населения</w:t>
            </w:r>
          </w:p>
        </w:tc>
        <w:tc>
          <w:tcPr>
            <w:tcW w:w="540" w:type="dxa"/>
            <w:shd w:val="clear" w:color="auto" w:fill="auto"/>
          </w:tcPr>
          <w:p w:rsidR="00DF7E37" w:rsidRPr="00A01FC2" w:rsidRDefault="007809AB" w:rsidP="00B62CF6">
            <w:pPr>
              <w:pStyle w:val="11"/>
            </w:pPr>
            <w:r w:rsidRPr="00A01FC2">
              <w:t>2</w:t>
            </w:r>
          </w:p>
        </w:tc>
        <w:tc>
          <w:tcPr>
            <w:tcW w:w="2520" w:type="dxa"/>
            <w:shd w:val="clear" w:color="auto" w:fill="auto"/>
          </w:tcPr>
          <w:p w:rsidR="00DF7E37" w:rsidRPr="00A01FC2" w:rsidRDefault="007809AB" w:rsidP="00B62CF6">
            <w:pPr>
              <w:pStyle w:val="11"/>
            </w:pPr>
            <w:r w:rsidRPr="00A01FC2">
              <w:t>Умеренно влияет</w:t>
            </w:r>
          </w:p>
        </w:tc>
        <w:tc>
          <w:tcPr>
            <w:tcW w:w="540" w:type="dxa"/>
            <w:shd w:val="clear" w:color="auto" w:fill="auto"/>
          </w:tcPr>
          <w:p w:rsidR="00DF7E37" w:rsidRPr="00A01FC2" w:rsidRDefault="005852AD" w:rsidP="00B62CF6">
            <w:pPr>
              <w:pStyle w:val="11"/>
            </w:pPr>
            <w:r w:rsidRPr="00A01FC2">
              <w:t>5</w:t>
            </w:r>
          </w:p>
        </w:tc>
        <w:tc>
          <w:tcPr>
            <w:tcW w:w="2344" w:type="dxa"/>
            <w:shd w:val="clear" w:color="auto" w:fill="auto"/>
          </w:tcPr>
          <w:p w:rsidR="00DF7E37" w:rsidRPr="00A01FC2" w:rsidRDefault="005852AD" w:rsidP="00B62CF6">
            <w:pPr>
              <w:pStyle w:val="11"/>
            </w:pPr>
            <w:r w:rsidRPr="00A01FC2">
              <w:t>Показатели высокие</w:t>
            </w:r>
          </w:p>
        </w:tc>
      </w:tr>
      <w:tr w:rsidR="00DF7E37" w:rsidRPr="00DE4021" w:rsidTr="00DE4021">
        <w:trPr>
          <w:jc w:val="center"/>
        </w:trPr>
        <w:tc>
          <w:tcPr>
            <w:tcW w:w="720" w:type="dxa"/>
            <w:shd w:val="clear" w:color="auto" w:fill="auto"/>
          </w:tcPr>
          <w:p w:rsidR="00DF7E37" w:rsidRPr="00A01FC2" w:rsidRDefault="007A444E" w:rsidP="00B62CF6">
            <w:pPr>
              <w:pStyle w:val="11"/>
            </w:pPr>
            <w:r w:rsidRPr="00A01FC2">
              <w:t>4</w:t>
            </w:r>
          </w:p>
        </w:tc>
        <w:tc>
          <w:tcPr>
            <w:tcW w:w="3060" w:type="dxa"/>
            <w:shd w:val="clear" w:color="auto" w:fill="auto"/>
          </w:tcPr>
          <w:p w:rsidR="00DF7E37" w:rsidRPr="00A01FC2" w:rsidRDefault="005852AD" w:rsidP="00B62CF6">
            <w:pPr>
              <w:pStyle w:val="11"/>
            </w:pPr>
            <w:r w:rsidRPr="00A01FC2">
              <w:t>р</w:t>
            </w:r>
            <w:r w:rsidR="003711ED" w:rsidRPr="00A01FC2">
              <w:t xml:space="preserve">авенство доходов </w:t>
            </w:r>
            <w:r w:rsidR="00984707" w:rsidRPr="00A01FC2">
              <w:t>населения</w:t>
            </w:r>
          </w:p>
        </w:tc>
        <w:tc>
          <w:tcPr>
            <w:tcW w:w="540" w:type="dxa"/>
            <w:shd w:val="clear" w:color="auto" w:fill="auto"/>
          </w:tcPr>
          <w:p w:rsidR="00DF7E37" w:rsidRPr="00A01FC2" w:rsidRDefault="00A701BE" w:rsidP="00B62CF6">
            <w:pPr>
              <w:pStyle w:val="11"/>
            </w:pPr>
            <w:r w:rsidRPr="00A01FC2">
              <w:t>1</w:t>
            </w:r>
          </w:p>
        </w:tc>
        <w:tc>
          <w:tcPr>
            <w:tcW w:w="2520" w:type="dxa"/>
            <w:shd w:val="clear" w:color="auto" w:fill="auto"/>
          </w:tcPr>
          <w:p w:rsidR="00DF7E37" w:rsidRPr="00A01FC2" w:rsidRDefault="0038442E" w:rsidP="00B62CF6">
            <w:pPr>
              <w:pStyle w:val="11"/>
            </w:pPr>
            <w:r w:rsidRPr="00A01FC2">
              <w:t>Слабо влияет</w:t>
            </w:r>
          </w:p>
        </w:tc>
        <w:tc>
          <w:tcPr>
            <w:tcW w:w="540" w:type="dxa"/>
            <w:shd w:val="clear" w:color="auto" w:fill="auto"/>
          </w:tcPr>
          <w:p w:rsidR="00DF7E37" w:rsidRPr="00A01FC2" w:rsidRDefault="005852AD" w:rsidP="00B62CF6">
            <w:pPr>
              <w:pStyle w:val="11"/>
            </w:pPr>
            <w:r w:rsidRPr="00A01FC2">
              <w:t>5</w:t>
            </w:r>
          </w:p>
        </w:tc>
        <w:tc>
          <w:tcPr>
            <w:tcW w:w="2344" w:type="dxa"/>
            <w:shd w:val="clear" w:color="auto" w:fill="auto"/>
          </w:tcPr>
          <w:p w:rsidR="00DF7E37" w:rsidRPr="00A01FC2" w:rsidRDefault="005852AD" w:rsidP="00B62CF6">
            <w:pPr>
              <w:pStyle w:val="11"/>
            </w:pPr>
            <w:r w:rsidRPr="00A01FC2">
              <w:t>Показатели высокие</w:t>
            </w:r>
          </w:p>
        </w:tc>
      </w:tr>
      <w:tr w:rsidR="003711ED" w:rsidRPr="00DE4021" w:rsidTr="00DE4021">
        <w:trPr>
          <w:jc w:val="center"/>
        </w:trPr>
        <w:tc>
          <w:tcPr>
            <w:tcW w:w="720" w:type="dxa"/>
            <w:shd w:val="clear" w:color="auto" w:fill="auto"/>
          </w:tcPr>
          <w:p w:rsidR="003711ED" w:rsidRPr="00A01FC2" w:rsidRDefault="007A444E" w:rsidP="00B62CF6">
            <w:pPr>
              <w:pStyle w:val="11"/>
            </w:pPr>
            <w:r w:rsidRPr="00A01FC2">
              <w:t>5</w:t>
            </w:r>
          </w:p>
        </w:tc>
        <w:tc>
          <w:tcPr>
            <w:tcW w:w="3060" w:type="dxa"/>
            <w:shd w:val="clear" w:color="auto" w:fill="auto"/>
          </w:tcPr>
          <w:p w:rsidR="003711ED" w:rsidRPr="00A01FC2" w:rsidRDefault="00DD2695" w:rsidP="00B62CF6">
            <w:pPr>
              <w:pStyle w:val="11"/>
            </w:pPr>
            <w:r w:rsidRPr="00A01FC2">
              <w:t>доля</w:t>
            </w:r>
            <w:r w:rsidR="003711ED" w:rsidRPr="00A01FC2">
              <w:t xml:space="preserve"> престарелого населения </w:t>
            </w:r>
          </w:p>
        </w:tc>
        <w:tc>
          <w:tcPr>
            <w:tcW w:w="540" w:type="dxa"/>
            <w:shd w:val="clear" w:color="auto" w:fill="auto"/>
          </w:tcPr>
          <w:p w:rsidR="003711ED" w:rsidRPr="00A01FC2" w:rsidRDefault="00F644A4" w:rsidP="00B62CF6">
            <w:pPr>
              <w:pStyle w:val="11"/>
            </w:pPr>
            <w:r w:rsidRPr="00A01FC2">
              <w:t>4</w:t>
            </w:r>
          </w:p>
        </w:tc>
        <w:tc>
          <w:tcPr>
            <w:tcW w:w="2520" w:type="dxa"/>
            <w:shd w:val="clear" w:color="auto" w:fill="auto"/>
          </w:tcPr>
          <w:p w:rsidR="003711ED" w:rsidRPr="00A01FC2" w:rsidRDefault="00EA51E5" w:rsidP="00B62CF6">
            <w:pPr>
              <w:pStyle w:val="11"/>
            </w:pPr>
            <w:r w:rsidRPr="00A01FC2">
              <w:t>Достаточно сильно влияет</w:t>
            </w:r>
          </w:p>
        </w:tc>
        <w:tc>
          <w:tcPr>
            <w:tcW w:w="540" w:type="dxa"/>
            <w:shd w:val="clear" w:color="auto" w:fill="auto"/>
          </w:tcPr>
          <w:p w:rsidR="003711ED" w:rsidRPr="00A01FC2" w:rsidRDefault="005852AD" w:rsidP="00B62CF6">
            <w:pPr>
              <w:pStyle w:val="11"/>
            </w:pPr>
            <w:r w:rsidRPr="00A01FC2">
              <w:t>5</w:t>
            </w:r>
          </w:p>
        </w:tc>
        <w:tc>
          <w:tcPr>
            <w:tcW w:w="2344" w:type="dxa"/>
            <w:shd w:val="clear" w:color="auto" w:fill="auto"/>
          </w:tcPr>
          <w:p w:rsidR="003711ED" w:rsidRPr="00A01FC2" w:rsidRDefault="005852AD" w:rsidP="00B62CF6">
            <w:pPr>
              <w:pStyle w:val="11"/>
            </w:pPr>
            <w:r w:rsidRPr="00A01FC2">
              <w:t>Показатели высокие</w:t>
            </w:r>
          </w:p>
        </w:tc>
      </w:tr>
      <w:tr w:rsidR="003711ED" w:rsidRPr="00DE4021" w:rsidTr="00DE4021">
        <w:trPr>
          <w:jc w:val="center"/>
        </w:trPr>
        <w:tc>
          <w:tcPr>
            <w:tcW w:w="720" w:type="dxa"/>
            <w:shd w:val="clear" w:color="auto" w:fill="auto"/>
          </w:tcPr>
          <w:p w:rsidR="003711ED" w:rsidRPr="00A01FC2" w:rsidRDefault="007A444E" w:rsidP="00B62CF6">
            <w:pPr>
              <w:pStyle w:val="11"/>
            </w:pPr>
            <w:r w:rsidRPr="00A01FC2">
              <w:t>6</w:t>
            </w:r>
          </w:p>
        </w:tc>
        <w:tc>
          <w:tcPr>
            <w:tcW w:w="3060" w:type="dxa"/>
            <w:shd w:val="clear" w:color="auto" w:fill="auto"/>
          </w:tcPr>
          <w:p w:rsidR="003711ED" w:rsidRPr="00A01FC2" w:rsidRDefault="003711ED" w:rsidP="00B62CF6">
            <w:pPr>
              <w:pStyle w:val="11"/>
            </w:pPr>
            <w:r w:rsidRPr="00A01FC2">
              <w:t>рождаемость</w:t>
            </w:r>
          </w:p>
        </w:tc>
        <w:tc>
          <w:tcPr>
            <w:tcW w:w="540" w:type="dxa"/>
            <w:shd w:val="clear" w:color="auto" w:fill="auto"/>
          </w:tcPr>
          <w:p w:rsidR="003711ED" w:rsidRPr="00A01FC2" w:rsidRDefault="007809AB" w:rsidP="00B62CF6">
            <w:pPr>
              <w:pStyle w:val="11"/>
            </w:pPr>
            <w:r w:rsidRPr="00A01FC2">
              <w:t>3</w:t>
            </w:r>
          </w:p>
        </w:tc>
        <w:tc>
          <w:tcPr>
            <w:tcW w:w="2520" w:type="dxa"/>
            <w:shd w:val="clear" w:color="auto" w:fill="auto"/>
          </w:tcPr>
          <w:p w:rsidR="003711ED" w:rsidRPr="00A01FC2" w:rsidRDefault="007809AB" w:rsidP="00B62CF6">
            <w:pPr>
              <w:pStyle w:val="11"/>
            </w:pPr>
            <w:r w:rsidRPr="00A01FC2">
              <w:t xml:space="preserve">Средне влияет </w:t>
            </w:r>
          </w:p>
        </w:tc>
        <w:tc>
          <w:tcPr>
            <w:tcW w:w="540" w:type="dxa"/>
            <w:shd w:val="clear" w:color="auto" w:fill="auto"/>
          </w:tcPr>
          <w:p w:rsidR="003711ED" w:rsidRPr="00A01FC2" w:rsidRDefault="00E50237" w:rsidP="00B62CF6">
            <w:pPr>
              <w:pStyle w:val="11"/>
            </w:pPr>
            <w:r w:rsidRPr="00A01FC2">
              <w:t>4</w:t>
            </w:r>
          </w:p>
        </w:tc>
        <w:tc>
          <w:tcPr>
            <w:tcW w:w="2344" w:type="dxa"/>
            <w:shd w:val="clear" w:color="auto" w:fill="auto"/>
          </w:tcPr>
          <w:p w:rsidR="003711ED" w:rsidRPr="00A01FC2" w:rsidRDefault="005852AD" w:rsidP="00B62CF6">
            <w:pPr>
              <w:pStyle w:val="11"/>
            </w:pPr>
            <w:r w:rsidRPr="00A01FC2">
              <w:t xml:space="preserve">Показатели </w:t>
            </w:r>
            <w:r w:rsidR="00E50237" w:rsidRPr="00A01FC2">
              <w:t>нормальные</w:t>
            </w:r>
          </w:p>
        </w:tc>
      </w:tr>
      <w:tr w:rsidR="003711ED" w:rsidRPr="00DE4021" w:rsidTr="00DE4021">
        <w:trPr>
          <w:jc w:val="center"/>
        </w:trPr>
        <w:tc>
          <w:tcPr>
            <w:tcW w:w="9724" w:type="dxa"/>
            <w:gridSpan w:val="6"/>
            <w:shd w:val="clear" w:color="auto" w:fill="auto"/>
          </w:tcPr>
          <w:p w:rsidR="003711ED" w:rsidRPr="00A01FC2" w:rsidRDefault="003711ED" w:rsidP="00B62CF6">
            <w:pPr>
              <w:pStyle w:val="11"/>
            </w:pPr>
            <w:r w:rsidRPr="00A01FC2">
              <w:t>Технологические факторы</w:t>
            </w:r>
          </w:p>
        </w:tc>
      </w:tr>
      <w:tr w:rsidR="003711ED" w:rsidRPr="00DE4021" w:rsidTr="00DE4021">
        <w:trPr>
          <w:jc w:val="center"/>
        </w:trPr>
        <w:tc>
          <w:tcPr>
            <w:tcW w:w="720" w:type="dxa"/>
            <w:shd w:val="clear" w:color="auto" w:fill="auto"/>
          </w:tcPr>
          <w:p w:rsidR="003711ED" w:rsidRPr="00A01FC2" w:rsidRDefault="00332A06" w:rsidP="00B62CF6">
            <w:pPr>
              <w:pStyle w:val="11"/>
            </w:pPr>
            <w:r w:rsidRPr="00A01FC2">
              <w:t>1</w:t>
            </w:r>
          </w:p>
        </w:tc>
        <w:tc>
          <w:tcPr>
            <w:tcW w:w="3060" w:type="dxa"/>
            <w:shd w:val="clear" w:color="auto" w:fill="auto"/>
          </w:tcPr>
          <w:p w:rsidR="003711ED" w:rsidRPr="00A01FC2" w:rsidRDefault="005852AD" w:rsidP="00B62CF6">
            <w:pPr>
              <w:pStyle w:val="11"/>
            </w:pPr>
            <w:r w:rsidRPr="00A01FC2">
              <w:t>квалификация</w:t>
            </w:r>
            <w:r w:rsidR="00D71908" w:rsidRPr="00A01FC2">
              <w:t xml:space="preserve"> </w:t>
            </w:r>
            <w:r w:rsidRPr="00A01FC2">
              <w:t>кадров</w:t>
            </w:r>
          </w:p>
        </w:tc>
        <w:tc>
          <w:tcPr>
            <w:tcW w:w="540" w:type="dxa"/>
            <w:shd w:val="clear" w:color="auto" w:fill="auto"/>
          </w:tcPr>
          <w:p w:rsidR="003711ED" w:rsidRPr="00A01FC2" w:rsidRDefault="007809AB" w:rsidP="00B62CF6">
            <w:pPr>
              <w:pStyle w:val="11"/>
            </w:pPr>
            <w:r w:rsidRPr="00A01FC2">
              <w:t>4</w:t>
            </w:r>
          </w:p>
        </w:tc>
        <w:tc>
          <w:tcPr>
            <w:tcW w:w="2520" w:type="dxa"/>
            <w:shd w:val="clear" w:color="auto" w:fill="auto"/>
          </w:tcPr>
          <w:p w:rsidR="003711ED" w:rsidRPr="00A01FC2" w:rsidRDefault="007809AB" w:rsidP="00B62CF6">
            <w:pPr>
              <w:pStyle w:val="11"/>
            </w:pPr>
            <w:r w:rsidRPr="00A01FC2">
              <w:t>Сильно влияет</w:t>
            </w:r>
          </w:p>
        </w:tc>
        <w:tc>
          <w:tcPr>
            <w:tcW w:w="540" w:type="dxa"/>
            <w:shd w:val="clear" w:color="auto" w:fill="auto"/>
          </w:tcPr>
          <w:p w:rsidR="003711ED" w:rsidRPr="00A01FC2" w:rsidRDefault="005852AD" w:rsidP="00B62CF6">
            <w:pPr>
              <w:pStyle w:val="11"/>
            </w:pPr>
            <w:r w:rsidRPr="00A01FC2">
              <w:t>5</w:t>
            </w:r>
          </w:p>
        </w:tc>
        <w:tc>
          <w:tcPr>
            <w:tcW w:w="2344" w:type="dxa"/>
            <w:shd w:val="clear" w:color="auto" w:fill="auto"/>
          </w:tcPr>
          <w:p w:rsidR="003711ED" w:rsidRPr="00A01FC2" w:rsidRDefault="005852AD" w:rsidP="00B62CF6">
            <w:pPr>
              <w:pStyle w:val="11"/>
            </w:pPr>
            <w:r w:rsidRPr="00A01FC2">
              <w:t>Показатели высокие</w:t>
            </w:r>
          </w:p>
        </w:tc>
      </w:tr>
      <w:tr w:rsidR="00DD2695" w:rsidRPr="00DE4021" w:rsidTr="00DE4021">
        <w:trPr>
          <w:trHeight w:val="708"/>
          <w:jc w:val="center"/>
        </w:trPr>
        <w:tc>
          <w:tcPr>
            <w:tcW w:w="720" w:type="dxa"/>
            <w:vMerge w:val="restart"/>
            <w:shd w:val="clear" w:color="auto" w:fill="auto"/>
          </w:tcPr>
          <w:p w:rsidR="00DD2695" w:rsidRPr="00A01FC2" w:rsidRDefault="00DD2695" w:rsidP="00B62CF6">
            <w:pPr>
              <w:pStyle w:val="11"/>
            </w:pPr>
            <w:r w:rsidRPr="00A01FC2">
              <w:t>№</w:t>
            </w:r>
          </w:p>
        </w:tc>
        <w:tc>
          <w:tcPr>
            <w:tcW w:w="3060" w:type="dxa"/>
            <w:vMerge w:val="restart"/>
            <w:shd w:val="clear" w:color="auto" w:fill="auto"/>
          </w:tcPr>
          <w:p w:rsidR="00DD2695" w:rsidRPr="00A01FC2" w:rsidRDefault="00DD2695" w:rsidP="00B62CF6">
            <w:pPr>
              <w:pStyle w:val="11"/>
            </w:pPr>
            <w:r w:rsidRPr="00A01FC2">
              <w:t>Фактор</w:t>
            </w:r>
          </w:p>
        </w:tc>
        <w:tc>
          <w:tcPr>
            <w:tcW w:w="3060" w:type="dxa"/>
            <w:gridSpan w:val="2"/>
            <w:shd w:val="clear" w:color="auto" w:fill="auto"/>
          </w:tcPr>
          <w:p w:rsidR="00DD2695" w:rsidRPr="00A01FC2" w:rsidRDefault="00D71908" w:rsidP="00B62CF6">
            <w:pPr>
              <w:pStyle w:val="11"/>
            </w:pPr>
            <w:r w:rsidRPr="00A01FC2">
              <w:t xml:space="preserve"> </w:t>
            </w:r>
            <w:r w:rsidR="00DD2695" w:rsidRPr="00A01FC2">
              <w:t>Ранжирование фактора</w:t>
            </w:r>
          </w:p>
        </w:tc>
        <w:tc>
          <w:tcPr>
            <w:tcW w:w="2884" w:type="dxa"/>
            <w:gridSpan w:val="2"/>
            <w:shd w:val="clear" w:color="auto" w:fill="auto"/>
          </w:tcPr>
          <w:p w:rsidR="00DD2695" w:rsidRPr="00A01FC2" w:rsidRDefault="00D71908" w:rsidP="00B62CF6">
            <w:pPr>
              <w:pStyle w:val="11"/>
            </w:pPr>
            <w:r w:rsidRPr="00A01FC2">
              <w:t xml:space="preserve"> </w:t>
            </w:r>
            <w:r w:rsidR="00DD2695" w:rsidRPr="00A01FC2">
              <w:t>Оценка фактора</w:t>
            </w:r>
          </w:p>
        </w:tc>
      </w:tr>
      <w:tr w:rsidR="00DD2695" w:rsidRPr="00DE4021" w:rsidTr="00DE4021">
        <w:trPr>
          <w:jc w:val="center"/>
        </w:trPr>
        <w:tc>
          <w:tcPr>
            <w:tcW w:w="720" w:type="dxa"/>
            <w:vMerge/>
            <w:shd w:val="clear" w:color="auto" w:fill="auto"/>
          </w:tcPr>
          <w:p w:rsidR="00DD2695" w:rsidRPr="00A01FC2" w:rsidRDefault="00DD2695" w:rsidP="00B62CF6">
            <w:pPr>
              <w:pStyle w:val="11"/>
            </w:pPr>
          </w:p>
        </w:tc>
        <w:tc>
          <w:tcPr>
            <w:tcW w:w="3060" w:type="dxa"/>
            <w:vMerge/>
            <w:shd w:val="clear" w:color="auto" w:fill="auto"/>
          </w:tcPr>
          <w:p w:rsidR="00DD2695" w:rsidRPr="00A01FC2" w:rsidRDefault="00DD2695" w:rsidP="00B62CF6">
            <w:pPr>
              <w:pStyle w:val="11"/>
            </w:pPr>
          </w:p>
        </w:tc>
        <w:tc>
          <w:tcPr>
            <w:tcW w:w="540" w:type="dxa"/>
            <w:shd w:val="clear" w:color="auto" w:fill="auto"/>
          </w:tcPr>
          <w:p w:rsidR="00DD2695" w:rsidRPr="00A01FC2" w:rsidRDefault="00DD2695" w:rsidP="00B62CF6">
            <w:pPr>
              <w:pStyle w:val="11"/>
            </w:pPr>
            <w:r w:rsidRPr="00A01FC2">
              <w:t>ранг</w:t>
            </w:r>
          </w:p>
        </w:tc>
        <w:tc>
          <w:tcPr>
            <w:tcW w:w="2520" w:type="dxa"/>
            <w:shd w:val="clear" w:color="auto" w:fill="auto"/>
          </w:tcPr>
          <w:p w:rsidR="00DD2695" w:rsidRPr="00A01FC2" w:rsidRDefault="00DD2695" w:rsidP="00B62CF6">
            <w:pPr>
              <w:pStyle w:val="11"/>
            </w:pPr>
            <w:r w:rsidRPr="00A01FC2">
              <w:t>обоснование (влияние на объект исследования)</w:t>
            </w:r>
          </w:p>
        </w:tc>
        <w:tc>
          <w:tcPr>
            <w:tcW w:w="540" w:type="dxa"/>
            <w:shd w:val="clear" w:color="auto" w:fill="auto"/>
          </w:tcPr>
          <w:p w:rsidR="00DD2695" w:rsidRPr="00A01FC2" w:rsidRDefault="00DD2695" w:rsidP="00B62CF6">
            <w:pPr>
              <w:pStyle w:val="11"/>
            </w:pPr>
            <w:r w:rsidRPr="00A01FC2">
              <w:t>ранг</w:t>
            </w:r>
          </w:p>
        </w:tc>
        <w:tc>
          <w:tcPr>
            <w:tcW w:w="2344" w:type="dxa"/>
            <w:shd w:val="clear" w:color="auto" w:fill="auto"/>
          </w:tcPr>
          <w:p w:rsidR="00DD2695" w:rsidRPr="00A01FC2" w:rsidRDefault="00DD2695" w:rsidP="00B62CF6">
            <w:pPr>
              <w:pStyle w:val="11"/>
            </w:pPr>
            <w:r w:rsidRPr="00A01FC2">
              <w:t>обоснование (вывод по результатам анализа)</w:t>
            </w:r>
          </w:p>
        </w:tc>
      </w:tr>
      <w:tr w:rsidR="00B766E4" w:rsidRPr="00DE4021" w:rsidTr="00DE4021">
        <w:trPr>
          <w:jc w:val="center"/>
        </w:trPr>
        <w:tc>
          <w:tcPr>
            <w:tcW w:w="720" w:type="dxa"/>
            <w:shd w:val="clear" w:color="auto" w:fill="auto"/>
          </w:tcPr>
          <w:p w:rsidR="00B766E4" w:rsidRPr="00A01FC2" w:rsidRDefault="00B766E4" w:rsidP="00B62CF6">
            <w:pPr>
              <w:pStyle w:val="11"/>
            </w:pPr>
            <w:r w:rsidRPr="00A01FC2">
              <w:t>2</w:t>
            </w:r>
          </w:p>
        </w:tc>
        <w:tc>
          <w:tcPr>
            <w:tcW w:w="3060" w:type="dxa"/>
            <w:shd w:val="clear" w:color="auto" w:fill="auto"/>
          </w:tcPr>
          <w:p w:rsidR="00B766E4" w:rsidRPr="00A01FC2" w:rsidRDefault="00B766E4" w:rsidP="00B62CF6">
            <w:pPr>
              <w:pStyle w:val="11"/>
            </w:pPr>
            <w:r w:rsidRPr="00A01FC2">
              <w:t>научные исследования</w:t>
            </w:r>
          </w:p>
        </w:tc>
        <w:tc>
          <w:tcPr>
            <w:tcW w:w="540" w:type="dxa"/>
            <w:shd w:val="clear" w:color="auto" w:fill="auto"/>
          </w:tcPr>
          <w:p w:rsidR="00B766E4" w:rsidRPr="00A01FC2" w:rsidRDefault="00B766E4" w:rsidP="00B62CF6">
            <w:pPr>
              <w:pStyle w:val="11"/>
            </w:pPr>
            <w:r w:rsidRPr="00A01FC2">
              <w:t>3</w:t>
            </w:r>
          </w:p>
        </w:tc>
        <w:tc>
          <w:tcPr>
            <w:tcW w:w="2520" w:type="dxa"/>
            <w:shd w:val="clear" w:color="auto" w:fill="auto"/>
          </w:tcPr>
          <w:p w:rsidR="00B766E4" w:rsidRPr="00A01FC2" w:rsidRDefault="00B766E4" w:rsidP="00B62CF6">
            <w:pPr>
              <w:pStyle w:val="11"/>
            </w:pPr>
          </w:p>
        </w:tc>
        <w:tc>
          <w:tcPr>
            <w:tcW w:w="540" w:type="dxa"/>
            <w:shd w:val="clear" w:color="auto" w:fill="auto"/>
          </w:tcPr>
          <w:p w:rsidR="00B766E4" w:rsidRPr="00A01FC2" w:rsidRDefault="00B766E4" w:rsidP="00B62CF6">
            <w:pPr>
              <w:pStyle w:val="11"/>
            </w:pPr>
            <w:r w:rsidRPr="00A01FC2">
              <w:t>5</w:t>
            </w:r>
          </w:p>
        </w:tc>
        <w:tc>
          <w:tcPr>
            <w:tcW w:w="2344" w:type="dxa"/>
            <w:shd w:val="clear" w:color="auto" w:fill="auto"/>
          </w:tcPr>
          <w:p w:rsidR="00B766E4" w:rsidRPr="00A01FC2" w:rsidRDefault="00B766E4" w:rsidP="00B62CF6">
            <w:pPr>
              <w:pStyle w:val="11"/>
            </w:pPr>
            <w:r w:rsidRPr="00A01FC2">
              <w:t>Показатели высокие</w:t>
            </w:r>
          </w:p>
        </w:tc>
      </w:tr>
      <w:tr w:rsidR="00DD2695" w:rsidRPr="00DE4021" w:rsidTr="00DE4021">
        <w:trPr>
          <w:jc w:val="center"/>
        </w:trPr>
        <w:tc>
          <w:tcPr>
            <w:tcW w:w="720" w:type="dxa"/>
            <w:shd w:val="clear" w:color="auto" w:fill="auto"/>
          </w:tcPr>
          <w:p w:rsidR="00DD2695" w:rsidRPr="00A01FC2" w:rsidRDefault="00DD2695" w:rsidP="00B62CF6">
            <w:pPr>
              <w:pStyle w:val="11"/>
            </w:pPr>
            <w:r w:rsidRPr="00A01FC2">
              <w:t>3</w:t>
            </w:r>
          </w:p>
        </w:tc>
        <w:tc>
          <w:tcPr>
            <w:tcW w:w="3060" w:type="dxa"/>
            <w:shd w:val="clear" w:color="auto" w:fill="auto"/>
          </w:tcPr>
          <w:p w:rsidR="00DD2695" w:rsidRPr="00A01FC2" w:rsidRDefault="00DD2695" w:rsidP="00B62CF6">
            <w:pPr>
              <w:pStyle w:val="11"/>
            </w:pPr>
            <w:r w:rsidRPr="00A01FC2">
              <w:t>доля рецептурных препаратов</w:t>
            </w:r>
          </w:p>
        </w:tc>
        <w:tc>
          <w:tcPr>
            <w:tcW w:w="540" w:type="dxa"/>
            <w:shd w:val="clear" w:color="auto" w:fill="auto"/>
          </w:tcPr>
          <w:p w:rsidR="00DD2695" w:rsidRPr="00A01FC2" w:rsidRDefault="00DD2695" w:rsidP="00B62CF6">
            <w:pPr>
              <w:pStyle w:val="11"/>
            </w:pPr>
            <w:r w:rsidRPr="00A01FC2">
              <w:t>1</w:t>
            </w:r>
          </w:p>
        </w:tc>
        <w:tc>
          <w:tcPr>
            <w:tcW w:w="2520" w:type="dxa"/>
            <w:shd w:val="clear" w:color="auto" w:fill="auto"/>
          </w:tcPr>
          <w:p w:rsidR="00DD2695" w:rsidRPr="00A01FC2" w:rsidRDefault="00DD2695" w:rsidP="00B62CF6">
            <w:pPr>
              <w:pStyle w:val="11"/>
            </w:pPr>
            <w:r w:rsidRPr="00A01FC2">
              <w:t>Слабо влияет</w:t>
            </w:r>
          </w:p>
        </w:tc>
        <w:tc>
          <w:tcPr>
            <w:tcW w:w="540" w:type="dxa"/>
            <w:shd w:val="clear" w:color="auto" w:fill="auto"/>
          </w:tcPr>
          <w:p w:rsidR="00DD2695" w:rsidRPr="00A01FC2" w:rsidRDefault="00DD2695" w:rsidP="00B62CF6">
            <w:pPr>
              <w:pStyle w:val="11"/>
            </w:pPr>
            <w:r w:rsidRPr="00A01FC2">
              <w:t>5</w:t>
            </w:r>
          </w:p>
        </w:tc>
        <w:tc>
          <w:tcPr>
            <w:tcW w:w="2344" w:type="dxa"/>
            <w:shd w:val="clear" w:color="auto" w:fill="auto"/>
          </w:tcPr>
          <w:p w:rsidR="00DD2695" w:rsidRPr="00A01FC2" w:rsidRDefault="00DD2695" w:rsidP="00B62CF6">
            <w:pPr>
              <w:pStyle w:val="11"/>
            </w:pPr>
            <w:r w:rsidRPr="00A01FC2">
              <w:t>Показатели высокие</w:t>
            </w:r>
          </w:p>
        </w:tc>
      </w:tr>
      <w:tr w:rsidR="00DD2695" w:rsidRPr="00DE4021" w:rsidTr="00DE4021">
        <w:trPr>
          <w:jc w:val="center"/>
        </w:trPr>
        <w:tc>
          <w:tcPr>
            <w:tcW w:w="720" w:type="dxa"/>
            <w:shd w:val="clear" w:color="auto" w:fill="auto"/>
          </w:tcPr>
          <w:p w:rsidR="00DD2695" w:rsidRPr="00A01FC2" w:rsidRDefault="00DD2695" w:rsidP="00B62CF6">
            <w:pPr>
              <w:pStyle w:val="11"/>
            </w:pPr>
            <w:r w:rsidRPr="00A01FC2">
              <w:t>4</w:t>
            </w:r>
          </w:p>
        </w:tc>
        <w:tc>
          <w:tcPr>
            <w:tcW w:w="3060" w:type="dxa"/>
            <w:shd w:val="clear" w:color="auto" w:fill="auto"/>
          </w:tcPr>
          <w:p w:rsidR="00DD2695" w:rsidRPr="00A01FC2" w:rsidRDefault="00DD2695" w:rsidP="00B62CF6">
            <w:pPr>
              <w:pStyle w:val="11"/>
            </w:pPr>
            <w:r w:rsidRPr="00A01FC2">
              <w:t>выпуск оригинальных ЛП</w:t>
            </w:r>
          </w:p>
        </w:tc>
        <w:tc>
          <w:tcPr>
            <w:tcW w:w="540" w:type="dxa"/>
            <w:shd w:val="clear" w:color="auto" w:fill="auto"/>
          </w:tcPr>
          <w:p w:rsidR="00DD2695" w:rsidRPr="00A01FC2" w:rsidRDefault="00DD2695" w:rsidP="00B62CF6">
            <w:pPr>
              <w:pStyle w:val="11"/>
            </w:pPr>
            <w:r w:rsidRPr="00A01FC2">
              <w:t>2</w:t>
            </w:r>
          </w:p>
        </w:tc>
        <w:tc>
          <w:tcPr>
            <w:tcW w:w="2520" w:type="dxa"/>
            <w:shd w:val="clear" w:color="auto" w:fill="auto"/>
          </w:tcPr>
          <w:p w:rsidR="00DD2695" w:rsidRPr="00A01FC2" w:rsidRDefault="00DD2695" w:rsidP="00B62CF6">
            <w:pPr>
              <w:pStyle w:val="11"/>
            </w:pPr>
            <w:r w:rsidRPr="00A01FC2">
              <w:t>Средне влияет</w:t>
            </w:r>
          </w:p>
        </w:tc>
        <w:tc>
          <w:tcPr>
            <w:tcW w:w="540" w:type="dxa"/>
            <w:shd w:val="clear" w:color="auto" w:fill="auto"/>
          </w:tcPr>
          <w:p w:rsidR="00DD2695" w:rsidRPr="00A01FC2" w:rsidRDefault="00DD2695" w:rsidP="00B62CF6">
            <w:pPr>
              <w:pStyle w:val="11"/>
            </w:pPr>
            <w:r w:rsidRPr="00A01FC2">
              <w:t>4</w:t>
            </w:r>
          </w:p>
        </w:tc>
        <w:tc>
          <w:tcPr>
            <w:tcW w:w="2344" w:type="dxa"/>
            <w:shd w:val="clear" w:color="auto" w:fill="auto"/>
          </w:tcPr>
          <w:p w:rsidR="00DD2695" w:rsidRPr="00A01FC2" w:rsidRDefault="00DD2695" w:rsidP="00B62CF6">
            <w:pPr>
              <w:pStyle w:val="11"/>
            </w:pPr>
            <w:r w:rsidRPr="00A01FC2">
              <w:t>Показатели нормальные</w:t>
            </w:r>
          </w:p>
        </w:tc>
      </w:tr>
      <w:tr w:rsidR="00DD2695" w:rsidRPr="00DE4021" w:rsidTr="00DE4021">
        <w:trPr>
          <w:jc w:val="center"/>
        </w:trPr>
        <w:tc>
          <w:tcPr>
            <w:tcW w:w="9724" w:type="dxa"/>
            <w:gridSpan w:val="6"/>
            <w:shd w:val="clear" w:color="auto" w:fill="auto"/>
          </w:tcPr>
          <w:p w:rsidR="00DD2695" w:rsidRPr="00A01FC2" w:rsidRDefault="00DD2695" w:rsidP="00B62CF6">
            <w:pPr>
              <w:pStyle w:val="11"/>
            </w:pPr>
            <w:r w:rsidRPr="00A01FC2">
              <w:t>Экономические факторы</w:t>
            </w:r>
          </w:p>
        </w:tc>
      </w:tr>
      <w:tr w:rsidR="00DD2695" w:rsidRPr="00DE4021" w:rsidTr="00DE4021">
        <w:trPr>
          <w:jc w:val="center"/>
        </w:trPr>
        <w:tc>
          <w:tcPr>
            <w:tcW w:w="720" w:type="dxa"/>
            <w:shd w:val="clear" w:color="auto" w:fill="auto"/>
          </w:tcPr>
          <w:p w:rsidR="00DD2695" w:rsidRPr="00A01FC2" w:rsidRDefault="00DD2695" w:rsidP="00B62CF6">
            <w:pPr>
              <w:pStyle w:val="11"/>
            </w:pPr>
            <w:r w:rsidRPr="00A01FC2">
              <w:t>1</w:t>
            </w:r>
          </w:p>
        </w:tc>
        <w:tc>
          <w:tcPr>
            <w:tcW w:w="3060" w:type="dxa"/>
            <w:shd w:val="clear" w:color="auto" w:fill="auto"/>
          </w:tcPr>
          <w:p w:rsidR="00DD2695" w:rsidRPr="00A01FC2" w:rsidRDefault="00DD2695" w:rsidP="00B62CF6">
            <w:pPr>
              <w:pStyle w:val="11"/>
            </w:pPr>
            <w:r w:rsidRPr="00A01FC2">
              <w:t>внешняя торговля</w:t>
            </w:r>
          </w:p>
        </w:tc>
        <w:tc>
          <w:tcPr>
            <w:tcW w:w="540" w:type="dxa"/>
            <w:shd w:val="clear" w:color="auto" w:fill="auto"/>
          </w:tcPr>
          <w:p w:rsidR="00DD2695" w:rsidRPr="00A01FC2" w:rsidRDefault="00D54767" w:rsidP="00B62CF6">
            <w:pPr>
              <w:pStyle w:val="11"/>
            </w:pPr>
            <w:r w:rsidRPr="00A01FC2">
              <w:t>6</w:t>
            </w:r>
          </w:p>
        </w:tc>
        <w:tc>
          <w:tcPr>
            <w:tcW w:w="2520" w:type="dxa"/>
            <w:shd w:val="clear" w:color="auto" w:fill="auto"/>
          </w:tcPr>
          <w:p w:rsidR="00DD2695" w:rsidRPr="00A01FC2" w:rsidRDefault="00D54767" w:rsidP="00B62CF6">
            <w:pPr>
              <w:pStyle w:val="11"/>
            </w:pPr>
            <w:r w:rsidRPr="00A01FC2">
              <w:t xml:space="preserve">Очень сильно влияет </w:t>
            </w:r>
          </w:p>
        </w:tc>
        <w:tc>
          <w:tcPr>
            <w:tcW w:w="540" w:type="dxa"/>
            <w:shd w:val="clear" w:color="auto" w:fill="auto"/>
          </w:tcPr>
          <w:p w:rsidR="00DD2695" w:rsidRPr="00A01FC2" w:rsidRDefault="00DD2695" w:rsidP="00B62CF6">
            <w:pPr>
              <w:pStyle w:val="11"/>
            </w:pPr>
            <w:r w:rsidRPr="00A01FC2">
              <w:t>5</w:t>
            </w:r>
          </w:p>
        </w:tc>
        <w:tc>
          <w:tcPr>
            <w:tcW w:w="2344" w:type="dxa"/>
            <w:shd w:val="clear" w:color="auto" w:fill="auto"/>
          </w:tcPr>
          <w:p w:rsidR="00DD2695" w:rsidRPr="00A01FC2" w:rsidRDefault="00DD2695" w:rsidP="00B62CF6">
            <w:pPr>
              <w:pStyle w:val="11"/>
            </w:pPr>
            <w:r w:rsidRPr="00A01FC2">
              <w:t>Показатели высокие</w:t>
            </w:r>
          </w:p>
        </w:tc>
      </w:tr>
      <w:tr w:rsidR="00DD2695" w:rsidRPr="00DE4021" w:rsidTr="00DE4021">
        <w:trPr>
          <w:jc w:val="center"/>
        </w:trPr>
        <w:tc>
          <w:tcPr>
            <w:tcW w:w="720" w:type="dxa"/>
            <w:shd w:val="clear" w:color="auto" w:fill="auto"/>
          </w:tcPr>
          <w:p w:rsidR="00DD2695" w:rsidRPr="00A01FC2" w:rsidRDefault="00DD2695" w:rsidP="00B62CF6">
            <w:pPr>
              <w:pStyle w:val="11"/>
            </w:pPr>
            <w:r w:rsidRPr="00A01FC2">
              <w:t>2</w:t>
            </w:r>
          </w:p>
        </w:tc>
        <w:tc>
          <w:tcPr>
            <w:tcW w:w="3060" w:type="dxa"/>
            <w:shd w:val="clear" w:color="auto" w:fill="auto"/>
          </w:tcPr>
          <w:p w:rsidR="00DD2695" w:rsidRPr="00A01FC2" w:rsidRDefault="00DD2695" w:rsidP="00B62CF6">
            <w:pPr>
              <w:pStyle w:val="11"/>
            </w:pPr>
            <w:r w:rsidRPr="00A01FC2">
              <w:t>занятость населения</w:t>
            </w:r>
          </w:p>
        </w:tc>
        <w:tc>
          <w:tcPr>
            <w:tcW w:w="540" w:type="dxa"/>
            <w:shd w:val="clear" w:color="auto" w:fill="auto"/>
          </w:tcPr>
          <w:p w:rsidR="00DD2695" w:rsidRPr="00A01FC2" w:rsidRDefault="00DD2695" w:rsidP="00B62CF6">
            <w:pPr>
              <w:pStyle w:val="11"/>
            </w:pPr>
            <w:r w:rsidRPr="00A01FC2">
              <w:t>1</w:t>
            </w:r>
          </w:p>
        </w:tc>
        <w:tc>
          <w:tcPr>
            <w:tcW w:w="2520" w:type="dxa"/>
            <w:shd w:val="clear" w:color="auto" w:fill="auto"/>
          </w:tcPr>
          <w:p w:rsidR="00DD2695" w:rsidRPr="00A01FC2" w:rsidRDefault="00DD2695" w:rsidP="00B62CF6">
            <w:pPr>
              <w:pStyle w:val="11"/>
            </w:pPr>
            <w:r w:rsidRPr="00A01FC2">
              <w:t>Слабо влияет</w:t>
            </w:r>
          </w:p>
        </w:tc>
        <w:tc>
          <w:tcPr>
            <w:tcW w:w="540" w:type="dxa"/>
            <w:shd w:val="clear" w:color="auto" w:fill="auto"/>
          </w:tcPr>
          <w:p w:rsidR="00DD2695" w:rsidRPr="00A01FC2" w:rsidRDefault="00DD2695" w:rsidP="00B62CF6">
            <w:pPr>
              <w:pStyle w:val="11"/>
            </w:pPr>
            <w:r w:rsidRPr="00A01FC2">
              <w:t>5</w:t>
            </w:r>
          </w:p>
        </w:tc>
        <w:tc>
          <w:tcPr>
            <w:tcW w:w="2344" w:type="dxa"/>
            <w:shd w:val="clear" w:color="auto" w:fill="auto"/>
          </w:tcPr>
          <w:p w:rsidR="00DD2695" w:rsidRPr="00A01FC2" w:rsidRDefault="00DD2695" w:rsidP="00B62CF6">
            <w:pPr>
              <w:pStyle w:val="11"/>
            </w:pPr>
            <w:r w:rsidRPr="00A01FC2">
              <w:t>Показатели высокие</w:t>
            </w:r>
          </w:p>
        </w:tc>
      </w:tr>
      <w:tr w:rsidR="00DD2695" w:rsidRPr="00DE4021" w:rsidTr="00DE4021">
        <w:trPr>
          <w:jc w:val="center"/>
        </w:trPr>
        <w:tc>
          <w:tcPr>
            <w:tcW w:w="720" w:type="dxa"/>
            <w:shd w:val="clear" w:color="auto" w:fill="auto"/>
          </w:tcPr>
          <w:p w:rsidR="00DD2695" w:rsidRPr="00A01FC2" w:rsidRDefault="00DD2695" w:rsidP="00B62CF6">
            <w:pPr>
              <w:pStyle w:val="11"/>
            </w:pPr>
            <w:r w:rsidRPr="00A01FC2">
              <w:t>3</w:t>
            </w:r>
          </w:p>
        </w:tc>
        <w:tc>
          <w:tcPr>
            <w:tcW w:w="3060" w:type="dxa"/>
            <w:shd w:val="clear" w:color="auto" w:fill="auto"/>
          </w:tcPr>
          <w:p w:rsidR="00DD2695" w:rsidRPr="00A01FC2" w:rsidRDefault="00DD2695" w:rsidP="00B62CF6">
            <w:pPr>
              <w:pStyle w:val="11"/>
            </w:pPr>
            <w:r w:rsidRPr="00A01FC2">
              <w:t>частный сектор в экономике</w:t>
            </w:r>
          </w:p>
        </w:tc>
        <w:tc>
          <w:tcPr>
            <w:tcW w:w="540" w:type="dxa"/>
            <w:shd w:val="clear" w:color="auto" w:fill="auto"/>
          </w:tcPr>
          <w:p w:rsidR="00DD2695" w:rsidRPr="00A01FC2" w:rsidRDefault="00D54767" w:rsidP="00B62CF6">
            <w:pPr>
              <w:pStyle w:val="11"/>
            </w:pPr>
            <w:r w:rsidRPr="00A01FC2">
              <w:t>4</w:t>
            </w:r>
          </w:p>
        </w:tc>
        <w:tc>
          <w:tcPr>
            <w:tcW w:w="2520" w:type="dxa"/>
            <w:shd w:val="clear" w:color="auto" w:fill="auto"/>
          </w:tcPr>
          <w:p w:rsidR="00DD2695" w:rsidRPr="00A01FC2" w:rsidRDefault="00D54767" w:rsidP="00B62CF6">
            <w:pPr>
              <w:pStyle w:val="11"/>
            </w:pPr>
            <w:r w:rsidRPr="00A01FC2">
              <w:t>Достаточно сильно влияет</w:t>
            </w:r>
          </w:p>
        </w:tc>
        <w:tc>
          <w:tcPr>
            <w:tcW w:w="540" w:type="dxa"/>
            <w:shd w:val="clear" w:color="auto" w:fill="auto"/>
          </w:tcPr>
          <w:p w:rsidR="00DD2695" w:rsidRPr="00A01FC2" w:rsidRDefault="00DD2695" w:rsidP="00B62CF6">
            <w:pPr>
              <w:pStyle w:val="11"/>
            </w:pPr>
            <w:r w:rsidRPr="00A01FC2">
              <w:t>5</w:t>
            </w:r>
          </w:p>
        </w:tc>
        <w:tc>
          <w:tcPr>
            <w:tcW w:w="2344" w:type="dxa"/>
            <w:shd w:val="clear" w:color="auto" w:fill="auto"/>
          </w:tcPr>
          <w:p w:rsidR="00DD2695" w:rsidRPr="00A01FC2" w:rsidRDefault="00DD2695" w:rsidP="00B62CF6">
            <w:pPr>
              <w:pStyle w:val="11"/>
            </w:pPr>
            <w:r w:rsidRPr="00A01FC2">
              <w:t>Показатели высокие</w:t>
            </w:r>
          </w:p>
        </w:tc>
      </w:tr>
      <w:tr w:rsidR="00DD2695" w:rsidRPr="00DE4021" w:rsidTr="00DE4021">
        <w:trPr>
          <w:jc w:val="center"/>
        </w:trPr>
        <w:tc>
          <w:tcPr>
            <w:tcW w:w="720" w:type="dxa"/>
            <w:shd w:val="clear" w:color="auto" w:fill="auto"/>
          </w:tcPr>
          <w:p w:rsidR="00DD2695" w:rsidRPr="00A01FC2" w:rsidRDefault="00DD2695" w:rsidP="00B62CF6">
            <w:pPr>
              <w:pStyle w:val="11"/>
            </w:pPr>
            <w:r w:rsidRPr="00A01FC2">
              <w:t>4</w:t>
            </w:r>
          </w:p>
        </w:tc>
        <w:tc>
          <w:tcPr>
            <w:tcW w:w="3060" w:type="dxa"/>
            <w:shd w:val="clear" w:color="auto" w:fill="auto"/>
          </w:tcPr>
          <w:p w:rsidR="00DD2695" w:rsidRPr="00A01FC2" w:rsidRDefault="00DD2695" w:rsidP="00B62CF6">
            <w:pPr>
              <w:pStyle w:val="11"/>
            </w:pPr>
            <w:r w:rsidRPr="00A01FC2">
              <w:t>экономический рост</w:t>
            </w:r>
          </w:p>
        </w:tc>
        <w:tc>
          <w:tcPr>
            <w:tcW w:w="540" w:type="dxa"/>
            <w:shd w:val="clear" w:color="auto" w:fill="auto"/>
          </w:tcPr>
          <w:p w:rsidR="00DD2695" w:rsidRPr="00A01FC2" w:rsidRDefault="00DD2695" w:rsidP="00B62CF6">
            <w:pPr>
              <w:pStyle w:val="11"/>
            </w:pPr>
            <w:r w:rsidRPr="00A01FC2">
              <w:t>3</w:t>
            </w:r>
          </w:p>
        </w:tc>
        <w:tc>
          <w:tcPr>
            <w:tcW w:w="2520" w:type="dxa"/>
            <w:shd w:val="clear" w:color="auto" w:fill="auto"/>
          </w:tcPr>
          <w:p w:rsidR="00DD2695" w:rsidRPr="00A01FC2" w:rsidRDefault="00DD2695" w:rsidP="00B62CF6">
            <w:pPr>
              <w:pStyle w:val="11"/>
            </w:pPr>
            <w:r w:rsidRPr="00A01FC2">
              <w:t>Средне влияет</w:t>
            </w:r>
          </w:p>
        </w:tc>
        <w:tc>
          <w:tcPr>
            <w:tcW w:w="540" w:type="dxa"/>
            <w:shd w:val="clear" w:color="auto" w:fill="auto"/>
          </w:tcPr>
          <w:p w:rsidR="00DD2695" w:rsidRPr="00A01FC2" w:rsidRDefault="00DD2695" w:rsidP="00B62CF6">
            <w:pPr>
              <w:pStyle w:val="11"/>
            </w:pPr>
            <w:r w:rsidRPr="00A01FC2">
              <w:t>5</w:t>
            </w:r>
          </w:p>
        </w:tc>
        <w:tc>
          <w:tcPr>
            <w:tcW w:w="2344" w:type="dxa"/>
            <w:shd w:val="clear" w:color="auto" w:fill="auto"/>
          </w:tcPr>
          <w:p w:rsidR="00DD2695" w:rsidRPr="00A01FC2" w:rsidRDefault="00DD2695" w:rsidP="00B62CF6">
            <w:pPr>
              <w:pStyle w:val="11"/>
            </w:pPr>
            <w:r w:rsidRPr="00A01FC2">
              <w:t>Показатели высокие</w:t>
            </w:r>
          </w:p>
        </w:tc>
      </w:tr>
      <w:tr w:rsidR="00DD2695" w:rsidRPr="00DE4021" w:rsidTr="00DE4021">
        <w:trPr>
          <w:jc w:val="center"/>
        </w:trPr>
        <w:tc>
          <w:tcPr>
            <w:tcW w:w="720" w:type="dxa"/>
            <w:shd w:val="clear" w:color="auto" w:fill="auto"/>
          </w:tcPr>
          <w:p w:rsidR="00DD2695" w:rsidRPr="00A01FC2" w:rsidRDefault="00DD2695" w:rsidP="00B62CF6">
            <w:pPr>
              <w:pStyle w:val="11"/>
            </w:pPr>
            <w:r w:rsidRPr="00A01FC2">
              <w:t>5</w:t>
            </w:r>
          </w:p>
        </w:tc>
        <w:tc>
          <w:tcPr>
            <w:tcW w:w="3060" w:type="dxa"/>
            <w:shd w:val="clear" w:color="auto" w:fill="auto"/>
          </w:tcPr>
          <w:p w:rsidR="00DD2695" w:rsidRPr="00A01FC2" w:rsidRDefault="00DD2695" w:rsidP="00B62CF6">
            <w:pPr>
              <w:pStyle w:val="11"/>
            </w:pPr>
            <w:r w:rsidRPr="00A01FC2">
              <w:t xml:space="preserve">льготы на налогообложение </w:t>
            </w:r>
          </w:p>
        </w:tc>
        <w:tc>
          <w:tcPr>
            <w:tcW w:w="540" w:type="dxa"/>
            <w:shd w:val="clear" w:color="auto" w:fill="auto"/>
          </w:tcPr>
          <w:p w:rsidR="00DD2695" w:rsidRPr="00A01FC2" w:rsidRDefault="00DD2695" w:rsidP="00B62CF6">
            <w:pPr>
              <w:pStyle w:val="11"/>
            </w:pPr>
            <w:r w:rsidRPr="00A01FC2">
              <w:t>5</w:t>
            </w:r>
          </w:p>
        </w:tc>
        <w:tc>
          <w:tcPr>
            <w:tcW w:w="2520" w:type="dxa"/>
            <w:shd w:val="clear" w:color="auto" w:fill="auto"/>
          </w:tcPr>
          <w:p w:rsidR="00DD2695" w:rsidRPr="00A01FC2" w:rsidRDefault="00DD2695" w:rsidP="00B62CF6">
            <w:pPr>
              <w:pStyle w:val="11"/>
            </w:pPr>
            <w:r w:rsidRPr="00A01FC2">
              <w:t>Сильно влияет</w:t>
            </w:r>
          </w:p>
        </w:tc>
        <w:tc>
          <w:tcPr>
            <w:tcW w:w="540" w:type="dxa"/>
            <w:shd w:val="clear" w:color="auto" w:fill="auto"/>
          </w:tcPr>
          <w:p w:rsidR="00DD2695" w:rsidRPr="00A01FC2" w:rsidRDefault="00DD2695" w:rsidP="00B62CF6">
            <w:pPr>
              <w:pStyle w:val="11"/>
            </w:pPr>
            <w:r w:rsidRPr="00A01FC2">
              <w:t>1</w:t>
            </w:r>
          </w:p>
        </w:tc>
        <w:tc>
          <w:tcPr>
            <w:tcW w:w="2344" w:type="dxa"/>
            <w:shd w:val="clear" w:color="auto" w:fill="auto"/>
          </w:tcPr>
          <w:p w:rsidR="00DD2695" w:rsidRPr="00A01FC2" w:rsidRDefault="00DD2695" w:rsidP="00B62CF6">
            <w:pPr>
              <w:pStyle w:val="11"/>
            </w:pPr>
            <w:r w:rsidRPr="00A01FC2">
              <w:t>Показатели самые низкие</w:t>
            </w:r>
          </w:p>
        </w:tc>
      </w:tr>
      <w:tr w:rsidR="00DD2695" w:rsidRPr="00DE4021" w:rsidTr="00DE4021">
        <w:trPr>
          <w:jc w:val="center"/>
        </w:trPr>
        <w:tc>
          <w:tcPr>
            <w:tcW w:w="720" w:type="dxa"/>
            <w:shd w:val="clear" w:color="auto" w:fill="auto"/>
          </w:tcPr>
          <w:p w:rsidR="00DD2695" w:rsidRPr="00A01FC2" w:rsidRDefault="00DD2695" w:rsidP="00B62CF6">
            <w:pPr>
              <w:pStyle w:val="11"/>
            </w:pPr>
            <w:r w:rsidRPr="00A01FC2">
              <w:t>6</w:t>
            </w:r>
          </w:p>
        </w:tc>
        <w:tc>
          <w:tcPr>
            <w:tcW w:w="3060" w:type="dxa"/>
            <w:shd w:val="clear" w:color="auto" w:fill="auto"/>
          </w:tcPr>
          <w:p w:rsidR="00DD2695" w:rsidRPr="00A01FC2" w:rsidRDefault="00DD2695" w:rsidP="00B62CF6">
            <w:pPr>
              <w:pStyle w:val="11"/>
            </w:pPr>
            <w:r w:rsidRPr="00A01FC2">
              <w:t>уровень инфляции</w:t>
            </w:r>
          </w:p>
        </w:tc>
        <w:tc>
          <w:tcPr>
            <w:tcW w:w="540" w:type="dxa"/>
            <w:shd w:val="clear" w:color="auto" w:fill="auto"/>
          </w:tcPr>
          <w:p w:rsidR="00DD2695" w:rsidRPr="00A01FC2" w:rsidRDefault="00DD2695" w:rsidP="00B62CF6">
            <w:pPr>
              <w:pStyle w:val="11"/>
            </w:pPr>
            <w:r w:rsidRPr="00A01FC2">
              <w:t>2</w:t>
            </w:r>
          </w:p>
        </w:tc>
        <w:tc>
          <w:tcPr>
            <w:tcW w:w="2520" w:type="dxa"/>
            <w:shd w:val="clear" w:color="auto" w:fill="auto"/>
          </w:tcPr>
          <w:p w:rsidR="00DD2695" w:rsidRPr="00A01FC2" w:rsidRDefault="00DD2695" w:rsidP="00B62CF6">
            <w:pPr>
              <w:pStyle w:val="11"/>
            </w:pPr>
            <w:r w:rsidRPr="00A01FC2">
              <w:t>Умеренно влияет</w:t>
            </w:r>
          </w:p>
        </w:tc>
        <w:tc>
          <w:tcPr>
            <w:tcW w:w="540" w:type="dxa"/>
            <w:shd w:val="clear" w:color="auto" w:fill="auto"/>
          </w:tcPr>
          <w:p w:rsidR="00DD2695" w:rsidRPr="00A01FC2" w:rsidRDefault="00DD2695" w:rsidP="00B62CF6">
            <w:pPr>
              <w:pStyle w:val="11"/>
            </w:pPr>
            <w:r w:rsidRPr="00A01FC2">
              <w:t>4</w:t>
            </w:r>
          </w:p>
        </w:tc>
        <w:tc>
          <w:tcPr>
            <w:tcW w:w="2344" w:type="dxa"/>
            <w:shd w:val="clear" w:color="auto" w:fill="auto"/>
          </w:tcPr>
          <w:p w:rsidR="00DD2695" w:rsidRPr="00A01FC2" w:rsidRDefault="00DD2695" w:rsidP="00B62CF6">
            <w:pPr>
              <w:pStyle w:val="11"/>
            </w:pPr>
            <w:r w:rsidRPr="00A01FC2">
              <w:t>Показатели средние</w:t>
            </w:r>
          </w:p>
        </w:tc>
      </w:tr>
      <w:tr w:rsidR="00DD2695" w:rsidRPr="00DE4021" w:rsidTr="00DE4021">
        <w:trPr>
          <w:jc w:val="center"/>
        </w:trPr>
        <w:tc>
          <w:tcPr>
            <w:tcW w:w="9724" w:type="dxa"/>
            <w:gridSpan w:val="6"/>
            <w:shd w:val="clear" w:color="auto" w:fill="auto"/>
          </w:tcPr>
          <w:p w:rsidR="00DD2695" w:rsidRPr="00A01FC2" w:rsidRDefault="00DD2695" w:rsidP="00B62CF6">
            <w:pPr>
              <w:pStyle w:val="11"/>
            </w:pPr>
            <w:r w:rsidRPr="00A01FC2">
              <w:t>Политические факторы</w:t>
            </w:r>
          </w:p>
        </w:tc>
      </w:tr>
      <w:tr w:rsidR="00DD2695" w:rsidRPr="00DE4021" w:rsidTr="00DE4021">
        <w:trPr>
          <w:jc w:val="center"/>
        </w:trPr>
        <w:tc>
          <w:tcPr>
            <w:tcW w:w="720" w:type="dxa"/>
            <w:shd w:val="clear" w:color="auto" w:fill="auto"/>
          </w:tcPr>
          <w:p w:rsidR="00DD2695" w:rsidRPr="00A01FC2" w:rsidRDefault="00DD2695" w:rsidP="00B62CF6">
            <w:pPr>
              <w:pStyle w:val="11"/>
            </w:pPr>
            <w:r w:rsidRPr="00A01FC2">
              <w:t>1</w:t>
            </w:r>
          </w:p>
        </w:tc>
        <w:tc>
          <w:tcPr>
            <w:tcW w:w="3060" w:type="dxa"/>
            <w:shd w:val="clear" w:color="auto" w:fill="auto"/>
          </w:tcPr>
          <w:p w:rsidR="00DD2695" w:rsidRPr="00A01FC2" w:rsidRDefault="00DD2695" w:rsidP="00B62CF6">
            <w:pPr>
              <w:pStyle w:val="11"/>
            </w:pPr>
            <w:r w:rsidRPr="00A01FC2">
              <w:t>государственный сектор в здравоохранении</w:t>
            </w:r>
          </w:p>
        </w:tc>
        <w:tc>
          <w:tcPr>
            <w:tcW w:w="540" w:type="dxa"/>
            <w:shd w:val="clear" w:color="auto" w:fill="auto"/>
          </w:tcPr>
          <w:p w:rsidR="00DD2695" w:rsidRPr="00A01FC2" w:rsidRDefault="00DD2695" w:rsidP="00B62CF6">
            <w:pPr>
              <w:pStyle w:val="11"/>
            </w:pPr>
            <w:r w:rsidRPr="00A01FC2">
              <w:t>2</w:t>
            </w:r>
          </w:p>
        </w:tc>
        <w:tc>
          <w:tcPr>
            <w:tcW w:w="2520" w:type="dxa"/>
            <w:shd w:val="clear" w:color="auto" w:fill="auto"/>
          </w:tcPr>
          <w:p w:rsidR="00DD2695" w:rsidRPr="00A01FC2" w:rsidRDefault="00DD2695" w:rsidP="00B62CF6">
            <w:pPr>
              <w:pStyle w:val="11"/>
            </w:pPr>
            <w:r w:rsidRPr="00A01FC2">
              <w:t>Умеренно влияет</w:t>
            </w:r>
          </w:p>
        </w:tc>
        <w:tc>
          <w:tcPr>
            <w:tcW w:w="540" w:type="dxa"/>
            <w:shd w:val="clear" w:color="auto" w:fill="auto"/>
          </w:tcPr>
          <w:p w:rsidR="00DD2695" w:rsidRPr="00A01FC2" w:rsidRDefault="00DD2695" w:rsidP="00B62CF6">
            <w:pPr>
              <w:pStyle w:val="11"/>
            </w:pPr>
            <w:r w:rsidRPr="00A01FC2">
              <w:t>5</w:t>
            </w:r>
          </w:p>
        </w:tc>
        <w:tc>
          <w:tcPr>
            <w:tcW w:w="2344" w:type="dxa"/>
            <w:shd w:val="clear" w:color="auto" w:fill="auto"/>
          </w:tcPr>
          <w:p w:rsidR="00DD2695" w:rsidRPr="00A01FC2" w:rsidRDefault="00DD2695" w:rsidP="00B62CF6">
            <w:pPr>
              <w:pStyle w:val="11"/>
            </w:pPr>
            <w:r w:rsidRPr="00A01FC2">
              <w:t>Показатели высокие</w:t>
            </w:r>
          </w:p>
        </w:tc>
      </w:tr>
      <w:tr w:rsidR="00DD2695" w:rsidRPr="00DE4021" w:rsidTr="00DE4021">
        <w:trPr>
          <w:jc w:val="center"/>
        </w:trPr>
        <w:tc>
          <w:tcPr>
            <w:tcW w:w="720" w:type="dxa"/>
            <w:shd w:val="clear" w:color="auto" w:fill="auto"/>
          </w:tcPr>
          <w:p w:rsidR="00DD2695" w:rsidRPr="00A01FC2" w:rsidRDefault="00DD2695" w:rsidP="00B62CF6">
            <w:pPr>
              <w:pStyle w:val="11"/>
            </w:pPr>
            <w:r w:rsidRPr="00A01FC2">
              <w:t>2</w:t>
            </w:r>
          </w:p>
        </w:tc>
        <w:tc>
          <w:tcPr>
            <w:tcW w:w="3060" w:type="dxa"/>
            <w:shd w:val="clear" w:color="auto" w:fill="auto"/>
          </w:tcPr>
          <w:p w:rsidR="00DD2695" w:rsidRPr="00A01FC2" w:rsidRDefault="00DD2695" w:rsidP="00B62CF6">
            <w:pPr>
              <w:pStyle w:val="11"/>
            </w:pPr>
            <w:r w:rsidRPr="00A01FC2">
              <w:t xml:space="preserve">децентрализация финансирования здравоохранения </w:t>
            </w:r>
          </w:p>
        </w:tc>
        <w:tc>
          <w:tcPr>
            <w:tcW w:w="540" w:type="dxa"/>
            <w:shd w:val="clear" w:color="auto" w:fill="auto"/>
          </w:tcPr>
          <w:p w:rsidR="00DD2695" w:rsidRPr="00A01FC2" w:rsidRDefault="00DD2695" w:rsidP="00B62CF6">
            <w:pPr>
              <w:pStyle w:val="11"/>
            </w:pPr>
            <w:r w:rsidRPr="00A01FC2">
              <w:t>1</w:t>
            </w:r>
          </w:p>
        </w:tc>
        <w:tc>
          <w:tcPr>
            <w:tcW w:w="2520" w:type="dxa"/>
            <w:shd w:val="clear" w:color="auto" w:fill="auto"/>
          </w:tcPr>
          <w:p w:rsidR="00DD2695" w:rsidRPr="00A01FC2" w:rsidRDefault="00DD2695" w:rsidP="00B62CF6">
            <w:pPr>
              <w:pStyle w:val="11"/>
            </w:pPr>
            <w:r w:rsidRPr="00A01FC2">
              <w:t>Слабо влияет</w:t>
            </w:r>
          </w:p>
        </w:tc>
        <w:tc>
          <w:tcPr>
            <w:tcW w:w="540" w:type="dxa"/>
            <w:shd w:val="clear" w:color="auto" w:fill="auto"/>
          </w:tcPr>
          <w:p w:rsidR="00DD2695" w:rsidRPr="00A01FC2" w:rsidRDefault="00DD2695" w:rsidP="00B62CF6">
            <w:pPr>
              <w:pStyle w:val="11"/>
            </w:pPr>
            <w:r w:rsidRPr="00A01FC2">
              <w:t>5</w:t>
            </w:r>
          </w:p>
        </w:tc>
        <w:tc>
          <w:tcPr>
            <w:tcW w:w="2344" w:type="dxa"/>
            <w:shd w:val="clear" w:color="auto" w:fill="auto"/>
          </w:tcPr>
          <w:p w:rsidR="00DD2695" w:rsidRPr="00A01FC2" w:rsidRDefault="00DD2695" w:rsidP="00B62CF6">
            <w:pPr>
              <w:pStyle w:val="11"/>
            </w:pPr>
            <w:r w:rsidRPr="00A01FC2">
              <w:t>Показатели высокие</w:t>
            </w:r>
          </w:p>
        </w:tc>
      </w:tr>
      <w:tr w:rsidR="00DD2695" w:rsidRPr="00DE4021" w:rsidTr="00DE4021">
        <w:trPr>
          <w:jc w:val="center"/>
        </w:trPr>
        <w:tc>
          <w:tcPr>
            <w:tcW w:w="720" w:type="dxa"/>
            <w:shd w:val="clear" w:color="auto" w:fill="auto"/>
          </w:tcPr>
          <w:p w:rsidR="00DD2695" w:rsidRPr="00A01FC2" w:rsidRDefault="00DD2695" w:rsidP="00B62CF6">
            <w:pPr>
              <w:pStyle w:val="11"/>
            </w:pPr>
            <w:r w:rsidRPr="00A01FC2">
              <w:t>3</w:t>
            </w:r>
          </w:p>
        </w:tc>
        <w:tc>
          <w:tcPr>
            <w:tcW w:w="3060" w:type="dxa"/>
            <w:shd w:val="clear" w:color="auto" w:fill="auto"/>
          </w:tcPr>
          <w:p w:rsidR="00DD2695" w:rsidRPr="00A01FC2" w:rsidRDefault="00DD2695" w:rsidP="00B62CF6">
            <w:pPr>
              <w:pStyle w:val="11"/>
            </w:pPr>
            <w:r w:rsidRPr="00A01FC2">
              <w:t>расходы государства на здравоохранение</w:t>
            </w:r>
          </w:p>
        </w:tc>
        <w:tc>
          <w:tcPr>
            <w:tcW w:w="540" w:type="dxa"/>
            <w:shd w:val="clear" w:color="auto" w:fill="auto"/>
          </w:tcPr>
          <w:p w:rsidR="00DD2695" w:rsidRPr="00A01FC2" w:rsidRDefault="00DD2695" w:rsidP="00B62CF6">
            <w:pPr>
              <w:pStyle w:val="11"/>
            </w:pPr>
            <w:r w:rsidRPr="00A01FC2">
              <w:t>5</w:t>
            </w:r>
          </w:p>
        </w:tc>
        <w:tc>
          <w:tcPr>
            <w:tcW w:w="2520" w:type="dxa"/>
            <w:shd w:val="clear" w:color="auto" w:fill="auto"/>
          </w:tcPr>
          <w:p w:rsidR="00DD2695" w:rsidRPr="00A01FC2" w:rsidRDefault="00DD2695" w:rsidP="00B62CF6">
            <w:pPr>
              <w:pStyle w:val="11"/>
            </w:pPr>
            <w:r w:rsidRPr="00A01FC2">
              <w:t>Сильно влияет</w:t>
            </w:r>
          </w:p>
        </w:tc>
        <w:tc>
          <w:tcPr>
            <w:tcW w:w="540" w:type="dxa"/>
            <w:shd w:val="clear" w:color="auto" w:fill="auto"/>
          </w:tcPr>
          <w:p w:rsidR="00DD2695" w:rsidRPr="00A01FC2" w:rsidRDefault="00DD2695" w:rsidP="00B62CF6">
            <w:pPr>
              <w:pStyle w:val="11"/>
            </w:pPr>
            <w:r w:rsidRPr="00A01FC2">
              <w:t>5</w:t>
            </w:r>
          </w:p>
        </w:tc>
        <w:tc>
          <w:tcPr>
            <w:tcW w:w="2344" w:type="dxa"/>
            <w:shd w:val="clear" w:color="auto" w:fill="auto"/>
          </w:tcPr>
          <w:p w:rsidR="00DD2695" w:rsidRPr="00A01FC2" w:rsidRDefault="00DD2695" w:rsidP="00B62CF6">
            <w:pPr>
              <w:pStyle w:val="11"/>
            </w:pPr>
            <w:r w:rsidRPr="00A01FC2">
              <w:t>Показатели высокие</w:t>
            </w:r>
          </w:p>
        </w:tc>
      </w:tr>
      <w:tr w:rsidR="00DD2695" w:rsidRPr="00DE4021" w:rsidTr="00DE4021">
        <w:trPr>
          <w:jc w:val="center"/>
        </w:trPr>
        <w:tc>
          <w:tcPr>
            <w:tcW w:w="720" w:type="dxa"/>
            <w:shd w:val="clear" w:color="auto" w:fill="auto"/>
          </w:tcPr>
          <w:p w:rsidR="00DD2695" w:rsidRPr="00A01FC2" w:rsidRDefault="00DD2695" w:rsidP="00B62CF6">
            <w:pPr>
              <w:pStyle w:val="11"/>
            </w:pPr>
            <w:r w:rsidRPr="00A01FC2">
              <w:t>4</w:t>
            </w:r>
          </w:p>
        </w:tc>
        <w:tc>
          <w:tcPr>
            <w:tcW w:w="3060" w:type="dxa"/>
            <w:shd w:val="clear" w:color="auto" w:fill="auto"/>
          </w:tcPr>
          <w:p w:rsidR="00DD2695" w:rsidRPr="00A01FC2" w:rsidRDefault="00DD2695" w:rsidP="00B62CF6">
            <w:pPr>
              <w:pStyle w:val="11"/>
            </w:pPr>
            <w:r w:rsidRPr="00A01FC2">
              <w:t>внешнеполитический нейтралитет</w:t>
            </w:r>
          </w:p>
        </w:tc>
        <w:tc>
          <w:tcPr>
            <w:tcW w:w="540" w:type="dxa"/>
            <w:shd w:val="clear" w:color="auto" w:fill="auto"/>
          </w:tcPr>
          <w:p w:rsidR="00DD2695" w:rsidRPr="00A01FC2" w:rsidRDefault="00DD2695" w:rsidP="00B62CF6">
            <w:pPr>
              <w:pStyle w:val="11"/>
            </w:pPr>
            <w:r w:rsidRPr="00A01FC2">
              <w:t>3</w:t>
            </w:r>
          </w:p>
        </w:tc>
        <w:tc>
          <w:tcPr>
            <w:tcW w:w="2520" w:type="dxa"/>
            <w:shd w:val="clear" w:color="auto" w:fill="auto"/>
          </w:tcPr>
          <w:p w:rsidR="00DD2695" w:rsidRPr="00A01FC2" w:rsidRDefault="00DD2695" w:rsidP="00B62CF6">
            <w:pPr>
              <w:pStyle w:val="11"/>
            </w:pPr>
            <w:r w:rsidRPr="00A01FC2">
              <w:t>Средне влияет</w:t>
            </w:r>
          </w:p>
        </w:tc>
        <w:tc>
          <w:tcPr>
            <w:tcW w:w="540" w:type="dxa"/>
            <w:shd w:val="clear" w:color="auto" w:fill="auto"/>
          </w:tcPr>
          <w:p w:rsidR="00DD2695" w:rsidRPr="00A01FC2" w:rsidRDefault="00DD2695" w:rsidP="00B62CF6">
            <w:pPr>
              <w:pStyle w:val="11"/>
            </w:pPr>
            <w:r w:rsidRPr="00A01FC2">
              <w:t>5</w:t>
            </w:r>
          </w:p>
        </w:tc>
        <w:tc>
          <w:tcPr>
            <w:tcW w:w="2344" w:type="dxa"/>
            <w:shd w:val="clear" w:color="auto" w:fill="auto"/>
          </w:tcPr>
          <w:p w:rsidR="00DD2695" w:rsidRPr="00A01FC2" w:rsidRDefault="00DD2695" w:rsidP="00B62CF6">
            <w:pPr>
              <w:pStyle w:val="11"/>
            </w:pPr>
            <w:r w:rsidRPr="00A01FC2">
              <w:t>Показатели высокие</w:t>
            </w:r>
          </w:p>
        </w:tc>
      </w:tr>
      <w:tr w:rsidR="00DD2695" w:rsidRPr="00DE4021" w:rsidTr="00DE4021">
        <w:trPr>
          <w:jc w:val="center"/>
        </w:trPr>
        <w:tc>
          <w:tcPr>
            <w:tcW w:w="720" w:type="dxa"/>
            <w:shd w:val="clear" w:color="auto" w:fill="auto"/>
          </w:tcPr>
          <w:p w:rsidR="00DD2695" w:rsidRPr="00A01FC2" w:rsidRDefault="00DD2695" w:rsidP="00B62CF6">
            <w:pPr>
              <w:pStyle w:val="11"/>
            </w:pPr>
            <w:r w:rsidRPr="00A01FC2">
              <w:t>5</w:t>
            </w:r>
          </w:p>
        </w:tc>
        <w:tc>
          <w:tcPr>
            <w:tcW w:w="3060" w:type="dxa"/>
            <w:shd w:val="clear" w:color="auto" w:fill="auto"/>
          </w:tcPr>
          <w:p w:rsidR="00DD2695" w:rsidRPr="00A01FC2" w:rsidRDefault="00DD2695" w:rsidP="00B62CF6">
            <w:pPr>
              <w:pStyle w:val="11"/>
            </w:pPr>
            <w:r w:rsidRPr="00A01FC2">
              <w:t>политическая стабильность</w:t>
            </w:r>
          </w:p>
        </w:tc>
        <w:tc>
          <w:tcPr>
            <w:tcW w:w="540" w:type="dxa"/>
            <w:shd w:val="clear" w:color="auto" w:fill="auto"/>
          </w:tcPr>
          <w:p w:rsidR="00DD2695" w:rsidRPr="00A01FC2" w:rsidRDefault="00DD2695" w:rsidP="00B62CF6">
            <w:pPr>
              <w:pStyle w:val="11"/>
            </w:pPr>
            <w:r w:rsidRPr="00A01FC2">
              <w:t>4</w:t>
            </w:r>
          </w:p>
        </w:tc>
        <w:tc>
          <w:tcPr>
            <w:tcW w:w="2520" w:type="dxa"/>
            <w:shd w:val="clear" w:color="auto" w:fill="auto"/>
          </w:tcPr>
          <w:p w:rsidR="00DD2695" w:rsidRPr="00A01FC2" w:rsidRDefault="00DD2695" w:rsidP="00B62CF6">
            <w:pPr>
              <w:pStyle w:val="11"/>
            </w:pPr>
            <w:r w:rsidRPr="00A01FC2">
              <w:t>Достаточно сильно влияет</w:t>
            </w:r>
          </w:p>
        </w:tc>
        <w:tc>
          <w:tcPr>
            <w:tcW w:w="540" w:type="dxa"/>
            <w:shd w:val="clear" w:color="auto" w:fill="auto"/>
          </w:tcPr>
          <w:p w:rsidR="00DD2695" w:rsidRPr="00A01FC2" w:rsidRDefault="00DD2695" w:rsidP="00B62CF6">
            <w:pPr>
              <w:pStyle w:val="11"/>
            </w:pPr>
            <w:r w:rsidRPr="00A01FC2">
              <w:t>5</w:t>
            </w:r>
          </w:p>
        </w:tc>
        <w:tc>
          <w:tcPr>
            <w:tcW w:w="2344" w:type="dxa"/>
            <w:shd w:val="clear" w:color="auto" w:fill="auto"/>
          </w:tcPr>
          <w:p w:rsidR="00DD2695" w:rsidRPr="00A01FC2" w:rsidRDefault="00DD2695" w:rsidP="00B62CF6">
            <w:pPr>
              <w:pStyle w:val="11"/>
            </w:pPr>
            <w:r w:rsidRPr="00A01FC2">
              <w:t>Показатели высокие</w:t>
            </w:r>
          </w:p>
        </w:tc>
      </w:tr>
    </w:tbl>
    <w:p w:rsidR="00D71908" w:rsidRPr="00A01FC2" w:rsidRDefault="00D71908" w:rsidP="00D71908">
      <w:pPr>
        <w:overflowPunct/>
        <w:autoSpaceDE/>
        <w:autoSpaceDN/>
        <w:adjustRightInd/>
        <w:spacing w:line="360" w:lineRule="auto"/>
        <w:ind w:firstLine="709"/>
        <w:jc w:val="both"/>
        <w:textAlignment w:val="auto"/>
        <w:rPr>
          <w:bCs/>
          <w:sz w:val="28"/>
          <w:szCs w:val="28"/>
        </w:rPr>
      </w:pPr>
    </w:p>
    <w:p w:rsidR="00332A06" w:rsidRPr="00A01FC2" w:rsidRDefault="00576ECC" w:rsidP="00D71908">
      <w:pPr>
        <w:overflowPunct/>
        <w:autoSpaceDE/>
        <w:autoSpaceDN/>
        <w:adjustRightInd/>
        <w:spacing w:line="360" w:lineRule="auto"/>
        <w:ind w:firstLine="709"/>
        <w:jc w:val="both"/>
        <w:textAlignment w:val="auto"/>
        <w:rPr>
          <w:bCs/>
          <w:sz w:val="28"/>
          <w:szCs w:val="28"/>
        </w:rPr>
      </w:pPr>
      <w:r w:rsidRPr="00A01FC2">
        <w:rPr>
          <w:bCs/>
          <w:sz w:val="28"/>
          <w:szCs w:val="28"/>
        </w:rPr>
        <w:t>Таблица 6</w:t>
      </w:r>
      <w:r w:rsidR="00D71908" w:rsidRPr="00A01FC2">
        <w:rPr>
          <w:bCs/>
          <w:sz w:val="28"/>
          <w:szCs w:val="28"/>
        </w:rPr>
        <w:t>.</w:t>
      </w:r>
      <w:r w:rsidR="007F27A9" w:rsidRPr="00A01FC2">
        <w:rPr>
          <w:bCs/>
          <w:sz w:val="28"/>
          <w:szCs w:val="28"/>
        </w:rPr>
        <w:t xml:space="preserve"> </w:t>
      </w:r>
      <w:r w:rsidR="00332A06" w:rsidRPr="00A01FC2">
        <w:rPr>
          <w:bCs/>
          <w:sz w:val="28"/>
          <w:szCs w:val="28"/>
        </w:rPr>
        <w:t xml:space="preserve">Результаты </w:t>
      </w:r>
      <w:r w:rsidR="00332A06" w:rsidRPr="00A01FC2">
        <w:rPr>
          <w:bCs/>
          <w:sz w:val="28"/>
          <w:szCs w:val="28"/>
          <w:lang w:val="en-US"/>
        </w:rPr>
        <w:t>STEP</w:t>
      </w:r>
      <w:r w:rsidR="00332A06" w:rsidRPr="00A01FC2">
        <w:rPr>
          <w:bCs/>
          <w:sz w:val="28"/>
          <w:szCs w:val="28"/>
        </w:rPr>
        <w:t>-анализа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7"/>
        <w:gridCol w:w="2520"/>
        <w:gridCol w:w="852"/>
        <w:gridCol w:w="1186"/>
        <w:gridCol w:w="1186"/>
        <w:gridCol w:w="1186"/>
        <w:gridCol w:w="1525"/>
      </w:tblGrid>
      <w:tr w:rsidR="006F3A58" w:rsidRPr="00DE4021" w:rsidTr="00DE4021">
        <w:trPr>
          <w:trHeight w:val="689"/>
          <w:jc w:val="center"/>
        </w:trPr>
        <w:tc>
          <w:tcPr>
            <w:tcW w:w="648" w:type="dxa"/>
            <w:shd w:val="clear" w:color="auto" w:fill="auto"/>
          </w:tcPr>
          <w:p w:rsidR="006F3A58" w:rsidRPr="00A01FC2" w:rsidRDefault="0059378D" w:rsidP="00B62CF6">
            <w:pPr>
              <w:pStyle w:val="11"/>
            </w:pPr>
            <w:r w:rsidRPr="00A01FC2">
              <w:t>№</w:t>
            </w:r>
            <w:r w:rsidR="006F3A58" w:rsidRPr="00A01FC2">
              <w:t>№</w:t>
            </w:r>
          </w:p>
        </w:tc>
        <w:tc>
          <w:tcPr>
            <w:tcW w:w="2700" w:type="dxa"/>
            <w:shd w:val="clear" w:color="auto" w:fill="auto"/>
          </w:tcPr>
          <w:p w:rsidR="006F3A58" w:rsidRPr="00A01FC2" w:rsidRDefault="0059378D" w:rsidP="00B62CF6">
            <w:pPr>
              <w:pStyle w:val="11"/>
            </w:pPr>
            <w:r w:rsidRPr="00A01FC2">
              <w:t>Ф</w:t>
            </w:r>
            <w:r w:rsidR="006F3A58" w:rsidRPr="00A01FC2">
              <w:t>акторы</w:t>
            </w:r>
          </w:p>
        </w:tc>
        <w:tc>
          <w:tcPr>
            <w:tcW w:w="900" w:type="dxa"/>
            <w:shd w:val="clear" w:color="auto" w:fill="auto"/>
          </w:tcPr>
          <w:p w:rsidR="006F3A58" w:rsidRPr="00A01FC2" w:rsidRDefault="006F3A58" w:rsidP="00B62CF6">
            <w:pPr>
              <w:pStyle w:val="11"/>
            </w:pPr>
            <w:r w:rsidRPr="00A01FC2">
              <w:t>Ранг</w:t>
            </w:r>
            <w:r w:rsidR="00D71908" w:rsidRPr="00A01FC2">
              <w:t xml:space="preserve"> </w:t>
            </w:r>
            <w:r w:rsidRPr="00A01FC2">
              <w:t>(</w:t>
            </w:r>
            <w:r w:rsidRPr="00DE4021">
              <w:rPr>
                <w:lang w:val="en-US"/>
              </w:rPr>
              <w:t>r</w:t>
            </w:r>
            <w:r w:rsidRPr="00A01FC2">
              <w:t>)</w:t>
            </w:r>
          </w:p>
        </w:tc>
        <w:tc>
          <w:tcPr>
            <w:tcW w:w="1260" w:type="dxa"/>
            <w:shd w:val="clear" w:color="auto" w:fill="auto"/>
          </w:tcPr>
          <w:p w:rsidR="006F3A58" w:rsidRPr="00A01FC2" w:rsidRDefault="006F3A58" w:rsidP="00B62CF6">
            <w:pPr>
              <w:pStyle w:val="11"/>
            </w:pPr>
            <w:r w:rsidRPr="00A01FC2">
              <w:t>Цена ранга (С)</w:t>
            </w:r>
          </w:p>
        </w:tc>
        <w:tc>
          <w:tcPr>
            <w:tcW w:w="1260" w:type="dxa"/>
            <w:shd w:val="clear" w:color="auto" w:fill="auto"/>
          </w:tcPr>
          <w:p w:rsidR="006F3A58" w:rsidRPr="00A01FC2" w:rsidRDefault="006F3A58" w:rsidP="00B62CF6">
            <w:pPr>
              <w:pStyle w:val="11"/>
            </w:pPr>
            <w:r w:rsidRPr="00A01FC2">
              <w:t>Вес фактора (</w:t>
            </w:r>
            <w:r w:rsidRPr="00DE4021">
              <w:rPr>
                <w:lang w:val="en-US"/>
              </w:rPr>
              <w:t>W</w:t>
            </w:r>
            <w:r w:rsidRPr="00DE4021">
              <w:rPr>
                <w:vertAlign w:val="subscript"/>
                <w:lang w:val="en-US"/>
              </w:rPr>
              <w:t>i</w:t>
            </w:r>
            <w:r w:rsidRPr="00A01FC2">
              <w:t>)</w:t>
            </w:r>
          </w:p>
        </w:tc>
        <w:tc>
          <w:tcPr>
            <w:tcW w:w="1260" w:type="dxa"/>
            <w:shd w:val="clear" w:color="auto" w:fill="auto"/>
          </w:tcPr>
          <w:p w:rsidR="006F3A58" w:rsidRPr="00A01FC2" w:rsidRDefault="006F3A58" w:rsidP="00B62CF6">
            <w:pPr>
              <w:pStyle w:val="11"/>
            </w:pPr>
            <w:r w:rsidRPr="00A01FC2">
              <w:t>Оценка фактора (</w:t>
            </w:r>
            <w:r w:rsidRPr="00DE4021">
              <w:rPr>
                <w:lang w:val="en-US"/>
              </w:rPr>
              <w:t>A</w:t>
            </w:r>
            <w:r w:rsidRPr="00DE4021">
              <w:rPr>
                <w:vertAlign w:val="subscript"/>
                <w:lang w:val="en-US"/>
              </w:rPr>
              <w:t>i</w:t>
            </w:r>
            <w:r w:rsidRPr="00A01FC2">
              <w:t>)</w:t>
            </w:r>
          </w:p>
        </w:tc>
        <w:tc>
          <w:tcPr>
            <w:tcW w:w="1626" w:type="dxa"/>
            <w:shd w:val="clear" w:color="auto" w:fill="auto"/>
          </w:tcPr>
          <w:p w:rsidR="006F3A58" w:rsidRPr="00A01FC2" w:rsidRDefault="006F3A58" w:rsidP="00B62CF6">
            <w:pPr>
              <w:pStyle w:val="11"/>
            </w:pPr>
            <w:r w:rsidRPr="00A01FC2">
              <w:t>Парамет-рический индекс</w:t>
            </w:r>
            <w:r w:rsidR="00B34831" w:rsidRPr="00A01FC2">
              <w:t xml:space="preserve"> (</w:t>
            </w:r>
            <w:r w:rsidR="00B34831" w:rsidRPr="00DE4021">
              <w:rPr>
                <w:lang w:val="en-US"/>
              </w:rPr>
              <w:t>P</w:t>
            </w:r>
            <w:r w:rsidR="00B34831" w:rsidRPr="00DE4021">
              <w:rPr>
                <w:vertAlign w:val="subscript"/>
                <w:lang w:val="en-US"/>
              </w:rPr>
              <w:t>i</w:t>
            </w:r>
            <w:r w:rsidR="00B34831" w:rsidRPr="00A01FC2">
              <w:t>)</w:t>
            </w:r>
          </w:p>
        </w:tc>
      </w:tr>
      <w:tr w:rsidR="00332A06" w:rsidRPr="00DE4021" w:rsidTr="00DE4021">
        <w:trPr>
          <w:trHeight w:val="381"/>
          <w:jc w:val="center"/>
        </w:trPr>
        <w:tc>
          <w:tcPr>
            <w:tcW w:w="9654" w:type="dxa"/>
            <w:gridSpan w:val="7"/>
            <w:shd w:val="clear" w:color="auto" w:fill="auto"/>
          </w:tcPr>
          <w:p w:rsidR="00332A06" w:rsidRPr="00A01FC2" w:rsidRDefault="00332A06" w:rsidP="00B62CF6">
            <w:pPr>
              <w:pStyle w:val="11"/>
            </w:pPr>
            <w:r w:rsidRPr="00A01FC2">
              <w:t>Социальные факторы</w:t>
            </w:r>
          </w:p>
        </w:tc>
      </w:tr>
      <w:tr w:rsidR="0048540B" w:rsidRPr="00DE4021" w:rsidTr="00DE4021">
        <w:trPr>
          <w:jc w:val="center"/>
        </w:trPr>
        <w:tc>
          <w:tcPr>
            <w:tcW w:w="648" w:type="dxa"/>
            <w:shd w:val="clear" w:color="auto" w:fill="auto"/>
          </w:tcPr>
          <w:p w:rsidR="0048540B" w:rsidRPr="00A01FC2" w:rsidRDefault="0048540B" w:rsidP="00B62CF6">
            <w:pPr>
              <w:pStyle w:val="11"/>
            </w:pPr>
            <w:r w:rsidRPr="00A01FC2">
              <w:t>1</w:t>
            </w:r>
          </w:p>
        </w:tc>
        <w:tc>
          <w:tcPr>
            <w:tcW w:w="2700" w:type="dxa"/>
            <w:shd w:val="clear" w:color="auto" w:fill="auto"/>
          </w:tcPr>
          <w:p w:rsidR="0048540B" w:rsidRPr="00A01FC2" w:rsidRDefault="0048540B" w:rsidP="00B62CF6">
            <w:pPr>
              <w:pStyle w:val="11"/>
            </w:pPr>
            <w:r w:rsidRPr="00A01FC2">
              <w:t>доступность мед</w:t>
            </w:r>
            <w:r w:rsidR="00984707" w:rsidRPr="00A01FC2">
              <w:t xml:space="preserve">ицинской </w:t>
            </w:r>
            <w:r w:rsidRPr="00A01FC2">
              <w:t>помощи</w:t>
            </w:r>
          </w:p>
        </w:tc>
        <w:tc>
          <w:tcPr>
            <w:tcW w:w="900" w:type="dxa"/>
            <w:shd w:val="clear" w:color="auto" w:fill="auto"/>
          </w:tcPr>
          <w:p w:rsidR="0048540B" w:rsidRPr="00A01FC2" w:rsidRDefault="0048540B" w:rsidP="00B62CF6">
            <w:pPr>
              <w:pStyle w:val="11"/>
            </w:pPr>
            <w:r w:rsidRPr="00A01FC2">
              <w:t>5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48540B" w:rsidRPr="00A01FC2" w:rsidRDefault="0048540B" w:rsidP="00B62CF6">
            <w:pPr>
              <w:pStyle w:val="11"/>
            </w:pPr>
            <w:r w:rsidRPr="00A01FC2">
              <w:t>0,0476</w:t>
            </w:r>
          </w:p>
        </w:tc>
        <w:tc>
          <w:tcPr>
            <w:tcW w:w="1260" w:type="dxa"/>
            <w:shd w:val="clear" w:color="auto" w:fill="auto"/>
          </w:tcPr>
          <w:p w:rsidR="0048540B" w:rsidRPr="00A01FC2" w:rsidRDefault="0048540B" w:rsidP="00B62CF6">
            <w:pPr>
              <w:pStyle w:val="11"/>
            </w:pPr>
            <w:r w:rsidRPr="00A01FC2">
              <w:t>0,238</w:t>
            </w:r>
          </w:p>
        </w:tc>
        <w:tc>
          <w:tcPr>
            <w:tcW w:w="1260" w:type="dxa"/>
            <w:shd w:val="clear" w:color="auto" w:fill="auto"/>
          </w:tcPr>
          <w:p w:rsidR="0048540B" w:rsidRPr="00A01FC2" w:rsidRDefault="0048540B" w:rsidP="00B62CF6">
            <w:pPr>
              <w:pStyle w:val="11"/>
            </w:pPr>
            <w:r w:rsidRPr="00A01FC2">
              <w:t>5</w:t>
            </w:r>
          </w:p>
        </w:tc>
        <w:tc>
          <w:tcPr>
            <w:tcW w:w="1626" w:type="dxa"/>
            <w:shd w:val="clear" w:color="auto" w:fill="auto"/>
          </w:tcPr>
          <w:p w:rsidR="0048540B" w:rsidRPr="00A01FC2" w:rsidRDefault="0048540B" w:rsidP="00B62CF6">
            <w:pPr>
              <w:pStyle w:val="11"/>
            </w:pPr>
            <w:r w:rsidRPr="00A01FC2">
              <w:t>1,19</w:t>
            </w:r>
          </w:p>
        </w:tc>
      </w:tr>
      <w:tr w:rsidR="0048540B" w:rsidRPr="00DE4021" w:rsidTr="00DE4021">
        <w:trPr>
          <w:jc w:val="center"/>
        </w:trPr>
        <w:tc>
          <w:tcPr>
            <w:tcW w:w="648" w:type="dxa"/>
            <w:shd w:val="clear" w:color="auto" w:fill="auto"/>
          </w:tcPr>
          <w:p w:rsidR="0048540B" w:rsidRPr="00A01FC2" w:rsidRDefault="0048540B" w:rsidP="00B62CF6">
            <w:pPr>
              <w:pStyle w:val="11"/>
            </w:pPr>
            <w:r w:rsidRPr="00A01FC2">
              <w:t>2</w:t>
            </w:r>
          </w:p>
        </w:tc>
        <w:tc>
          <w:tcPr>
            <w:tcW w:w="2700" w:type="dxa"/>
            <w:shd w:val="clear" w:color="auto" w:fill="auto"/>
          </w:tcPr>
          <w:p w:rsidR="0048540B" w:rsidRPr="00A01FC2" w:rsidRDefault="0048540B" w:rsidP="00B62CF6">
            <w:pPr>
              <w:pStyle w:val="11"/>
            </w:pPr>
            <w:r w:rsidRPr="00A01FC2">
              <w:t xml:space="preserve">расходы </w:t>
            </w:r>
            <w:r w:rsidR="00FE2A19" w:rsidRPr="00A01FC2">
              <w:t xml:space="preserve">на душу </w:t>
            </w:r>
            <w:r w:rsidRPr="00A01FC2">
              <w:t>населения на ЛП</w:t>
            </w:r>
          </w:p>
        </w:tc>
        <w:tc>
          <w:tcPr>
            <w:tcW w:w="900" w:type="dxa"/>
            <w:shd w:val="clear" w:color="auto" w:fill="auto"/>
          </w:tcPr>
          <w:p w:rsidR="0048540B" w:rsidRPr="00A01FC2" w:rsidRDefault="0048540B" w:rsidP="00B62CF6">
            <w:pPr>
              <w:pStyle w:val="11"/>
            </w:pPr>
            <w:r w:rsidRPr="00A01FC2">
              <w:t>6</w:t>
            </w:r>
          </w:p>
        </w:tc>
        <w:tc>
          <w:tcPr>
            <w:tcW w:w="1260" w:type="dxa"/>
            <w:vMerge/>
            <w:shd w:val="clear" w:color="auto" w:fill="auto"/>
          </w:tcPr>
          <w:p w:rsidR="0048540B" w:rsidRPr="00A01FC2" w:rsidRDefault="0048540B" w:rsidP="00B62CF6">
            <w:pPr>
              <w:pStyle w:val="11"/>
            </w:pPr>
          </w:p>
        </w:tc>
        <w:tc>
          <w:tcPr>
            <w:tcW w:w="1260" w:type="dxa"/>
            <w:shd w:val="clear" w:color="auto" w:fill="auto"/>
          </w:tcPr>
          <w:p w:rsidR="0048540B" w:rsidRPr="00A01FC2" w:rsidRDefault="0048540B" w:rsidP="00B62CF6">
            <w:pPr>
              <w:pStyle w:val="11"/>
            </w:pPr>
            <w:r w:rsidRPr="00A01FC2">
              <w:t>0,286</w:t>
            </w:r>
          </w:p>
        </w:tc>
        <w:tc>
          <w:tcPr>
            <w:tcW w:w="1260" w:type="dxa"/>
            <w:shd w:val="clear" w:color="auto" w:fill="auto"/>
          </w:tcPr>
          <w:p w:rsidR="0048540B" w:rsidRPr="00A01FC2" w:rsidRDefault="0048540B" w:rsidP="00B62CF6">
            <w:pPr>
              <w:pStyle w:val="11"/>
            </w:pPr>
            <w:r w:rsidRPr="00A01FC2">
              <w:t>5</w:t>
            </w:r>
          </w:p>
        </w:tc>
        <w:tc>
          <w:tcPr>
            <w:tcW w:w="1626" w:type="dxa"/>
            <w:shd w:val="clear" w:color="auto" w:fill="auto"/>
          </w:tcPr>
          <w:p w:rsidR="0048540B" w:rsidRPr="00A01FC2" w:rsidRDefault="0048540B" w:rsidP="00B62CF6">
            <w:pPr>
              <w:pStyle w:val="11"/>
            </w:pPr>
            <w:r w:rsidRPr="00A01FC2">
              <w:t>1,42</w:t>
            </w:r>
          </w:p>
        </w:tc>
      </w:tr>
      <w:tr w:rsidR="0048540B" w:rsidRPr="00DE4021" w:rsidTr="00DE4021">
        <w:trPr>
          <w:jc w:val="center"/>
        </w:trPr>
        <w:tc>
          <w:tcPr>
            <w:tcW w:w="648" w:type="dxa"/>
            <w:shd w:val="clear" w:color="auto" w:fill="auto"/>
          </w:tcPr>
          <w:p w:rsidR="0048540B" w:rsidRPr="00A01FC2" w:rsidRDefault="0048540B" w:rsidP="00B62CF6">
            <w:pPr>
              <w:pStyle w:val="11"/>
            </w:pPr>
            <w:r w:rsidRPr="00A01FC2">
              <w:t>3</w:t>
            </w:r>
          </w:p>
        </w:tc>
        <w:tc>
          <w:tcPr>
            <w:tcW w:w="2700" w:type="dxa"/>
            <w:shd w:val="clear" w:color="auto" w:fill="auto"/>
          </w:tcPr>
          <w:p w:rsidR="0048540B" w:rsidRPr="00A01FC2" w:rsidRDefault="0048540B" w:rsidP="00B62CF6">
            <w:pPr>
              <w:pStyle w:val="11"/>
            </w:pPr>
            <w:r w:rsidRPr="00A01FC2">
              <w:t>уровень жизни</w:t>
            </w:r>
            <w:r w:rsidR="00984707" w:rsidRPr="00A01FC2">
              <w:t xml:space="preserve"> населения</w:t>
            </w:r>
          </w:p>
        </w:tc>
        <w:tc>
          <w:tcPr>
            <w:tcW w:w="900" w:type="dxa"/>
            <w:shd w:val="clear" w:color="auto" w:fill="auto"/>
          </w:tcPr>
          <w:p w:rsidR="0048540B" w:rsidRPr="00A01FC2" w:rsidRDefault="0048540B" w:rsidP="00B62CF6">
            <w:pPr>
              <w:pStyle w:val="11"/>
            </w:pPr>
            <w:r w:rsidRPr="00A01FC2">
              <w:t>2</w:t>
            </w:r>
          </w:p>
        </w:tc>
        <w:tc>
          <w:tcPr>
            <w:tcW w:w="1260" w:type="dxa"/>
            <w:vMerge/>
            <w:shd w:val="clear" w:color="auto" w:fill="auto"/>
          </w:tcPr>
          <w:p w:rsidR="0048540B" w:rsidRPr="00A01FC2" w:rsidRDefault="0048540B" w:rsidP="00B62CF6">
            <w:pPr>
              <w:pStyle w:val="11"/>
            </w:pPr>
          </w:p>
        </w:tc>
        <w:tc>
          <w:tcPr>
            <w:tcW w:w="1260" w:type="dxa"/>
            <w:shd w:val="clear" w:color="auto" w:fill="auto"/>
          </w:tcPr>
          <w:p w:rsidR="0048540B" w:rsidRPr="00A01FC2" w:rsidRDefault="0048540B" w:rsidP="00B62CF6">
            <w:pPr>
              <w:pStyle w:val="11"/>
            </w:pPr>
            <w:r w:rsidRPr="00A01FC2">
              <w:t>0,095</w:t>
            </w:r>
          </w:p>
        </w:tc>
        <w:tc>
          <w:tcPr>
            <w:tcW w:w="1260" w:type="dxa"/>
            <w:shd w:val="clear" w:color="auto" w:fill="auto"/>
          </w:tcPr>
          <w:p w:rsidR="0048540B" w:rsidRPr="00A01FC2" w:rsidRDefault="0048540B" w:rsidP="00B62CF6">
            <w:pPr>
              <w:pStyle w:val="11"/>
            </w:pPr>
            <w:r w:rsidRPr="00A01FC2">
              <w:t>5</w:t>
            </w:r>
          </w:p>
        </w:tc>
        <w:tc>
          <w:tcPr>
            <w:tcW w:w="1626" w:type="dxa"/>
            <w:shd w:val="clear" w:color="auto" w:fill="auto"/>
          </w:tcPr>
          <w:p w:rsidR="0048540B" w:rsidRPr="00A01FC2" w:rsidRDefault="0048540B" w:rsidP="00B62CF6">
            <w:pPr>
              <w:pStyle w:val="11"/>
            </w:pPr>
            <w:r w:rsidRPr="00A01FC2">
              <w:t>0,48</w:t>
            </w:r>
          </w:p>
        </w:tc>
      </w:tr>
      <w:tr w:rsidR="0048540B" w:rsidRPr="00DE4021" w:rsidTr="00DE4021">
        <w:trPr>
          <w:jc w:val="center"/>
        </w:trPr>
        <w:tc>
          <w:tcPr>
            <w:tcW w:w="648" w:type="dxa"/>
            <w:shd w:val="clear" w:color="auto" w:fill="auto"/>
          </w:tcPr>
          <w:p w:rsidR="0048540B" w:rsidRPr="00A01FC2" w:rsidRDefault="0048540B" w:rsidP="00B62CF6">
            <w:pPr>
              <w:pStyle w:val="11"/>
            </w:pPr>
            <w:r w:rsidRPr="00A01FC2">
              <w:t>4</w:t>
            </w:r>
          </w:p>
        </w:tc>
        <w:tc>
          <w:tcPr>
            <w:tcW w:w="2700" w:type="dxa"/>
            <w:shd w:val="clear" w:color="auto" w:fill="auto"/>
          </w:tcPr>
          <w:p w:rsidR="0048540B" w:rsidRPr="00A01FC2" w:rsidRDefault="0048540B" w:rsidP="00B62CF6">
            <w:pPr>
              <w:pStyle w:val="11"/>
            </w:pPr>
            <w:r w:rsidRPr="00A01FC2">
              <w:t>равенство доходов</w:t>
            </w:r>
            <w:r w:rsidR="00984707" w:rsidRPr="00A01FC2">
              <w:t xml:space="preserve"> населения</w:t>
            </w:r>
          </w:p>
        </w:tc>
        <w:tc>
          <w:tcPr>
            <w:tcW w:w="900" w:type="dxa"/>
            <w:shd w:val="clear" w:color="auto" w:fill="auto"/>
          </w:tcPr>
          <w:p w:rsidR="0048540B" w:rsidRPr="00A01FC2" w:rsidRDefault="0048540B" w:rsidP="00B62CF6">
            <w:pPr>
              <w:pStyle w:val="11"/>
            </w:pPr>
            <w:r w:rsidRPr="00A01FC2">
              <w:t>1</w:t>
            </w:r>
          </w:p>
        </w:tc>
        <w:tc>
          <w:tcPr>
            <w:tcW w:w="1260" w:type="dxa"/>
            <w:vMerge/>
            <w:shd w:val="clear" w:color="auto" w:fill="auto"/>
          </w:tcPr>
          <w:p w:rsidR="0048540B" w:rsidRPr="00A01FC2" w:rsidRDefault="0048540B" w:rsidP="00B62CF6">
            <w:pPr>
              <w:pStyle w:val="11"/>
            </w:pPr>
          </w:p>
        </w:tc>
        <w:tc>
          <w:tcPr>
            <w:tcW w:w="1260" w:type="dxa"/>
            <w:shd w:val="clear" w:color="auto" w:fill="auto"/>
          </w:tcPr>
          <w:p w:rsidR="0048540B" w:rsidRPr="00A01FC2" w:rsidRDefault="0048540B" w:rsidP="00B62CF6">
            <w:pPr>
              <w:pStyle w:val="11"/>
            </w:pPr>
            <w:r w:rsidRPr="00A01FC2">
              <w:t>0,048</w:t>
            </w:r>
          </w:p>
        </w:tc>
        <w:tc>
          <w:tcPr>
            <w:tcW w:w="1260" w:type="dxa"/>
            <w:shd w:val="clear" w:color="auto" w:fill="auto"/>
          </w:tcPr>
          <w:p w:rsidR="0048540B" w:rsidRPr="00A01FC2" w:rsidRDefault="0048540B" w:rsidP="00B62CF6">
            <w:pPr>
              <w:pStyle w:val="11"/>
            </w:pPr>
            <w:r w:rsidRPr="00A01FC2">
              <w:t>5</w:t>
            </w:r>
          </w:p>
        </w:tc>
        <w:tc>
          <w:tcPr>
            <w:tcW w:w="1626" w:type="dxa"/>
            <w:shd w:val="clear" w:color="auto" w:fill="auto"/>
          </w:tcPr>
          <w:p w:rsidR="0048540B" w:rsidRPr="00A01FC2" w:rsidRDefault="0048540B" w:rsidP="00B62CF6">
            <w:pPr>
              <w:pStyle w:val="11"/>
            </w:pPr>
            <w:r w:rsidRPr="00A01FC2">
              <w:t>0,24</w:t>
            </w:r>
          </w:p>
        </w:tc>
      </w:tr>
      <w:tr w:rsidR="0048540B" w:rsidRPr="00DE4021" w:rsidTr="00DE4021">
        <w:trPr>
          <w:jc w:val="center"/>
        </w:trPr>
        <w:tc>
          <w:tcPr>
            <w:tcW w:w="648" w:type="dxa"/>
            <w:shd w:val="clear" w:color="auto" w:fill="auto"/>
          </w:tcPr>
          <w:p w:rsidR="0048540B" w:rsidRPr="00A01FC2" w:rsidRDefault="0048540B" w:rsidP="00B62CF6">
            <w:pPr>
              <w:pStyle w:val="11"/>
            </w:pPr>
            <w:r w:rsidRPr="00A01FC2">
              <w:t>5</w:t>
            </w:r>
          </w:p>
        </w:tc>
        <w:tc>
          <w:tcPr>
            <w:tcW w:w="2700" w:type="dxa"/>
            <w:shd w:val="clear" w:color="auto" w:fill="auto"/>
          </w:tcPr>
          <w:p w:rsidR="0048540B" w:rsidRPr="00A01FC2" w:rsidRDefault="0048540B" w:rsidP="00B62CF6">
            <w:pPr>
              <w:pStyle w:val="11"/>
            </w:pPr>
            <w:r w:rsidRPr="00A01FC2">
              <w:t>доля престарелого населения</w:t>
            </w:r>
          </w:p>
        </w:tc>
        <w:tc>
          <w:tcPr>
            <w:tcW w:w="900" w:type="dxa"/>
            <w:shd w:val="clear" w:color="auto" w:fill="auto"/>
          </w:tcPr>
          <w:p w:rsidR="0048540B" w:rsidRPr="00A01FC2" w:rsidRDefault="0048540B" w:rsidP="00B62CF6">
            <w:pPr>
              <w:pStyle w:val="11"/>
            </w:pPr>
            <w:r w:rsidRPr="00A01FC2">
              <w:t>4</w:t>
            </w:r>
          </w:p>
        </w:tc>
        <w:tc>
          <w:tcPr>
            <w:tcW w:w="1260" w:type="dxa"/>
            <w:vMerge/>
            <w:shd w:val="clear" w:color="auto" w:fill="auto"/>
          </w:tcPr>
          <w:p w:rsidR="0048540B" w:rsidRPr="00A01FC2" w:rsidRDefault="0048540B" w:rsidP="00B62CF6">
            <w:pPr>
              <w:pStyle w:val="11"/>
            </w:pPr>
          </w:p>
        </w:tc>
        <w:tc>
          <w:tcPr>
            <w:tcW w:w="1260" w:type="dxa"/>
            <w:shd w:val="clear" w:color="auto" w:fill="auto"/>
          </w:tcPr>
          <w:p w:rsidR="0048540B" w:rsidRPr="00A01FC2" w:rsidRDefault="0048540B" w:rsidP="00B62CF6">
            <w:pPr>
              <w:pStyle w:val="11"/>
            </w:pPr>
            <w:r w:rsidRPr="00A01FC2">
              <w:t>0,19</w:t>
            </w:r>
          </w:p>
        </w:tc>
        <w:tc>
          <w:tcPr>
            <w:tcW w:w="1260" w:type="dxa"/>
            <w:shd w:val="clear" w:color="auto" w:fill="auto"/>
          </w:tcPr>
          <w:p w:rsidR="0048540B" w:rsidRPr="00A01FC2" w:rsidRDefault="0048540B" w:rsidP="00B62CF6">
            <w:pPr>
              <w:pStyle w:val="11"/>
            </w:pPr>
            <w:r w:rsidRPr="00A01FC2">
              <w:t>5</w:t>
            </w:r>
          </w:p>
        </w:tc>
        <w:tc>
          <w:tcPr>
            <w:tcW w:w="1626" w:type="dxa"/>
            <w:shd w:val="clear" w:color="auto" w:fill="auto"/>
          </w:tcPr>
          <w:p w:rsidR="0048540B" w:rsidRPr="00A01FC2" w:rsidRDefault="0048540B" w:rsidP="00B62CF6">
            <w:pPr>
              <w:pStyle w:val="11"/>
            </w:pPr>
            <w:r w:rsidRPr="00A01FC2">
              <w:t>0,95</w:t>
            </w:r>
          </w:p>
        </w:tc>
      </w:tr>
      <w:tr w:rsidR="0048540B" w:rsidRPr="00DE4021" w:rsidTr="00DE4021">
        <w:trPr>
          <w:jc w:val="center"/>
        </w:trPr>
        <w:tc>
          <w:tcPr>
            <w:tcW w:w="648" w:type="dxa"/>
            <w:shd w:val="clear" w:color="auto" w:fill="auto"/>
          </w:tcPr>
          <w:p w:rsidR="0048540B" w:rsidRPr="00A01FC2" w:rsidRDefault="0048540B" w:rsidP="00B62CF6">
            <w:pPr>
              <w:pStyle w:val="11"/>
            </w:pPr>
            <w:r w:rsidRPr="00A01FC2">
              <w:t>6</w:t>
            </w:r>
          </w:p>
        </w:tc>
        <w:tc>
          <w:tcPr>
            <w:tcW w:w="2700" w:type="dxa"/>
            <w:shd w:val="clear" w:color="auto" w:fill="auto"/>
          </w:tcPr>
          <w:p w:rsidR="0048540B" w:rsidRPr="00A01FC2" w:rsidRDefault="0048540B" w:rsidP="00B62CF6">
            <w:pPr>
              <w:pStyle w:val="11"/>
            </w:pPr>
            <w:r w:rsidRPr="00A01FC2">
              <w:t>рождаемость</w:t>
            </w:r>
          </w:p>
        </w:tc>
        <w:tc>
          <w:tcPr>
            <w:tcW w:w="900" w:type="dxa"/>
            <w:shd w:val="clear" w:color="auto" w:fill="auto"/>
          </w:tcPr>
          <w:p w:rsidR="0048540B" w:rsidRPr="00A01FC2" w:rsidRDefault="0048540B" w:rsidP="00B62CF6">
            <w:pPr>
              <w:pStyle w:val="11"/>
            </w:pPr>
            <w:r w:rsidRPr="00A01FC2">
              <w:t>3</w:t>
            </w:r>
          </w:p>
        </w:tc>
        <w:tc>
          <w:tcPr>
            <w:tcW w:w="1260" w:type="dxa"/>
            <w:vMerge/>
            <w:shd w:val="clear" w:color="auto" w:fill="auto"/>
          </w:tcPr>
          <w:p w:rsidR="0048540B" w:rsidRPr="00A01FC2" w:rsidRDefault="0048540B" w:rsidP="00B62CF6">
            <w:pPr>
              <w:pStyle w:val="11"/>
            </w:pPr>
          </w:p>
        </w:tc>
        <w:tc>
          <w:tcPr>
            <w:tcW w:w="1260" w:type="dxa"/>
            <w:shd w:val="clear" w:color="auto" w:fill="auto"/>
          </w:tcPr>
          <w:p w:rsidR="0048540B" w:rsidRPr="00A01FC2" w:rsidRDefault="0048540B" w:rsidP="00B62CF6">
            <w:pPr>
              <w:pStyle w:val="11"/>
            </w:pPr>
            <w:r w:rsidRPr="00A01FC2">
              <w:t>0,14</w:t>
            </w:r>
          </w:p>
        </w:tc>
        <w:tc>
          <w:tcPr>
            <w:tcW w:w="1260" w:type="dxa"/>
            <w:shd w:val="clear" w:color="auto" w:fill="auto"/>
          </w:tcPr>
          <w:p w:rsidR="0048540B" w:rsidRPr="00A01FC2" w:rsidRDefault="0048540B" w:rsidP="00B62CF6">
            <w:pPr>
              <w:pStyle w:val="11"/>
            </w:pPr>
            <w:r w:rsidRPr="00A01FC2">
              <w:t>4</w:t>
            </w:r>
          </w:p>
        </w:tc>
        <w:tc>
          <w:tcPr>
            <w:tcW w:w="1626" w:type="dxa"/>
            <w:shd w:val="clear" w:color="auto" w:fill="auto"/>
          </w:tcPr>
          <w:p w:rsidR="0048540B" w:rsidRPr="00A01FC2" w:rsidRDefault="0048540B" w:rsidP="00B62CF6">
            <w:pPr>
              <w:pStyle w:val="11"/>
            </w:pPr>
            <w:r w:rsidRPr="00A01FC2">
              <w:t>0,56</w:t>
            </w:r>
          </w:p>
        </w:tc>
      </w:tr>
      <w:tr w:rsidR="00B57C09" w:rsidRPr="00DE4021" w:rsidTr="00DE4021">
        <w:trPr>
          <w:trHeight w:val="379"/>
          <w:jc w:val="center"/>
        </w:trPr>
        <w:tc>
          <w:tcPr>
            <w:tcW w:w="9654" w:type="dxa"/>
            <w:gridSpan w:val="7"/>
            <w:shd w:val="clear" w:color="auto" w:fill="auto"/>
          </w:tcPr>
          <w:p w:rsidR="00B57C09" w:rsidRPr="00A01FC2" w:rsidRDefault="00DD2695" w:rsidP="00B62CF6">
            <w:pPr>
              <w:pStyle w:val="11"/>
            </w:pPr>
            <w:r w:rsidRPr="00A01FC2">
              <w:t xml:space="preserve"> </w:t>
            </w:r>
            <w:r w:rsidR="00B57C09" w:rsidRPr="00A01FC2">
              <w:t>∑</w:t>
            </w:r>
            <w:r w:rsidR="00B57C09" w:rsidRPr="00DE4021">
              <w:rPr>
                <w:lang w:val="en-US"/>
              </w:rPr>
              <w:t xml:space="preserve"> W</w:t>
            </w:r>
            <w:r w:rsidR="00B57C09" w:rsidRPr="00DE4021">
              <w:rPr>
                <w:vertAlign w:val="subscript"/>
                <w:lang w:val="en-US"/>
              </w:rPr>
              <w:t>i</w:t>
            </w:r>
            <w:r w:rsidR="00B57C09" w:rsidRPr="00A01FC2">
              <w:t xml:space="preserve"> =1,0∑</w:t>
            </w:r>
            <w:r w:rsidR="00D71908" w:rsidRPr="00DE4021">
              <w:rPr>
                <w:lang w:val="en-US"/>
              </w:rPr>
              <w:t xml:space="preserve"> </w:t>
            </w:r>
            <w:r w:rsidR="00FE2A19" w:rsidRPr="00A01FC2">
              <w:t>∑</w:t>
            </w:r>
            <w:r w:rsidR="00B57C09" w:rsidRPr="00DE4021">
              <w:rPr>
                <w:lang w:val="en-US"/>
              </w:rPr>
              <w:t>P</w:t>
            </w:r>
            <w:r w:rsidR="00B57C09" w:rsidRPr="00DE4021">
              <w:rPr>
                <w:vertAlign w:val="subscript"/>
                <w:lang w:val="en-US"/>
              </w:rPr>
              <w:t>i</w:t>
            </w:r>
            <w:r w:rsidR="00B57C09" w:rsidRPr="00A01FC2">
              <w:t>=4,84</w:t>
            </w:r>
          </w:p>
        </w:tc>
      </w:tr>
      <w:tr w:rsidR="003D3405" w:rsidRPr="00DE4021" w:rsidTr="00DE4021">
        <w:trPr>
          <w:trHeight w:val="387"/>
          <w:jc w:val="center"/>
        </w:trPr>
        <w:tc>
          <w:tcPr>
            <w:tcW w:w="9654" w:type="dxa"/>
            <w:gridSpan w:val="7"/>
            <w:shd w:val="clear" w:color="auto" w:fill="auto"/>
          </w:tcPr>
          <w:p w:rsidR="003D3405" w:rsidRPr="00A01FC2" w:rsidRDefault="003D3405" w:rsidP="00B62CF6">
            <w:pPr>
              <w:pStyle w:val="11"/>
            </w:pPr>
            <w:r w:rsidRPr="00A01FC2">
              <w:t>Технологические факторы</w:t>
            </w:r>
          </w:p>
        </w:tc>
      </w:tr>
      <w:tr w:rsidR="003D3405" w:rsidRPr="00DE4021" w:rsidTr="00DE4021">
        <w:trPr>
          <w:jc w:val="center"/>
        </w:trPr>
        <w:tc>
          <w:tcPr>
            <w:tcW w:w="648" w:type="dxa"/>
            <w:shd w:val="clear" w:color="auto" w:fill="auto"/>
          </w:tcPr>
          <w:p w:rsidR="003D3405" w:rsidRPr="00A01FC2" w:rsidRDefault="003D3405" w:rsidP="00B62CF6">
            <w:pPr>
              <w:pStyle w:val="11"/>
            </w:pPr>
            <w:r w:rsidRPr="00A01FC2">
              <w:t>1</w:t>
            </w:r>
          </w:p>
        </w:tc>
        <w:tc>
          <w:tcPr>
            <w:tcW w:w="2700" w:type="dxa"/>
            <w:shd w:val="clear" w:color="auto" w:fill="auto"/>
          </w:tcPr>
          <w:p w:rsidR="003D3405" w:rsidRPr="00A01FC2" w:rsidRDefault="003D3405" w:rsidP="00B62CF6">
            <w:pPr>
              <w:pStyle w:val="11"/>
            </w:pPr>
            <w:r w:rsidRPr="00A01FC2">
              <w:t>квалификация</w:t>
            </w:r>
            <w:r w:rsidR="00D71908" w:rsidRPr="00A01FC2">
              <w:t xml:space="preserve"> </w:t>
            </w:r>
            <w:r w:rsidRPr="00A01FC2">
              <w:t>кадров</w:t>
            </w:r>
          </w:p>
        </w:tc>
        <w:tc>
          <w:tcPr>
            <w:tcW w:w="900" w:type="dxa"/>
            <w:shd w:val="clear" w:color="auto" w:fill="auto"/>
          </w:tcPr>
          <w:p w:rsidR="003D3405" w:rsidRPr="00A01FC2" w:rsidRDefault="003D3405" w:rsidP="00B62CF6">
            <w:pPr>
              <w:pStyle w:val="11"/>
            </w:pPr>
            <w:r w:rsidRPr="00A01FC2">
              <w:t>4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3D3405" w:rsidRPr="00A01FC2" w:rsidRDefault="003D3405" w:rsidP="00B62CF6">
            <w:pPr>
              <w:pStyle w:val="11"/>
            </w:pPr>
            <w:r w:rsidRPr="00A01FC2">
              <w:t>0,1000</w:t>
            </w:r>
          </w:p>
        </w:tc>
        <w:tc>
          <w:tcPr>
            <w:tcW w:w="1260" w:type="dxa"/>
            <w:shd w:val="clear" w:color="auto" w:fill="auto"/>
          </w:tcPr>
          <w:p w:rsidR="003D3405" w:rsidRPr="00A01FC2" w:rsidRDefault="003D3405" w:rsidP="00B62CF6">
            <w:pPr>
              <w:pStyle w:val="11"/>
            </w:pPr>
            <w:r w:rsidRPr="00A01FC2">
              <w:t>0,4</w:t>
            </w:r>
          </w:p>
        </w:tc>
        <w:tc>
          <w:tcPr>
            <w:tcW w:w="1260" w:type="dxa"/>
            <w:shd w:val="clear" w:color="auto" w:fill="auto"/>
          </w:tcPr>
          <w:p w:rsidR="003D3405" w:rsidRPr="00A01FC2" w:rsidRDefault="003D3405" w:rsidP="00B62CF6">
            <w:pPr>
              <w:pStyle w:val="11"/>
            </w:pPr>
            <w:r w:rsidRPr="00A01FC2">
              <w:t>5</w:t>
            </w:r>
          </w:p>
        </w:tc>
        <w:tc>
          <w:tcPr>
            <w:tcW w:w="1626" w:type="dxa"/>
            <w:shd w:val="clear" w:color="auto" w:fill="auto"/>
          </w:tcPr>
          <w:p w:rsidR="003D3405" w:rsidRPr="00A01FC2" w:rsidRDefault="003D3405" w:rsidP="00B62CF6">
            <w:pPr>
              <w:pStyle w:val="11"/>
            </w:pPr>
            <w:r w:rsidRPr="00A01FC2">
              <w:t>2</w:t>
            </w:r>
            <w:r w:rsidR="00D54767" w:rsidRPr="00A01FC2">
              <w:t>,</w:t>
            </w:r>
            <w:r w:rsidRPr="00A01FC2">
              <w:t>0</w:t>
            </w:r>
          </w:p>
        </w:tc>
      </w:tr>
      <w:tr w:rsidR="003D3405" w:rsidRPr="00DE4021" w:rsidTr="00DE4021">
        <w:trPr>
          <w:jc w:val="center"/>
        </w:trPr>
        <w:tc>
          <w:tcPr>
            <w:tcW w:w="648" w:type="dxa"/>
            <w:shd w:val="clear" w:color="auto" w:fill="auto"/>
          </w:tcPr>
          <w:p w:rsidR="003D3405" w:rsidRPr="00A01FC2" w:rsidRDefault="003D3405" w:rsidP="00B62CF6">
            <w:pPr>
              <w:pStyle w:val="11"/>
            </w:pPr>
            <w:r w:rsidRPr="00A01FC2">
              <w:t>2</w:t>
            </w:r>
          </w:p>
        </w:tc>
        <w:tc>
          <w:tcPr>
            <w:tcW w:w="2700" w:type="dxa"/>
            <w:shd w:val="clear" w:color="auto" w:fill="auto"/>
          </w:tcPr>
          <w:p w:rsidR="003D3405" w:rsidRPr="00A01FC2" w:rsidRDefault="003D3405" w:rsidP="00B62CF6">
            <w:pPr>
              <w:pStyle w:val="11"/>
            </w:pPr>
            <w:r w:rsidRPr="00A01FC2">
              <w:t>научные исследования</w:t>
            </w:r>
          </w:p>
        </w:tc>
        <w:tc>
          <w:tcPr>
            <w:tcW w:w="900" w:type="dxa"/>
            <w:shd w:val="clear" w:color="auto" w:fill="auto"/>
          </w:tcPr>
          <w:p w:rsidR="003D3405" w:rsidRPr="00A01FC2" w:rsidRDefault="003D3405" w:rsidP="00B62CF6">
            <w:pPr>
              <w:pStyle w:val="11"/>
            </w:pPr>
            <w:r w:rsidRPr="00A01FC2">
              <w:t>3</w:t>
            </w:r>
          </w:p>
        </w:tc>
        <w:tc>
          <w:tcPr>
            <w:tcW w:w="1260" w:type="dxa"/>
            <w:vMerge/>
            <w:shd w:val="clear" w:color="auto" w:fill="auto"/>
          </w:tcPr>
          <w:p w:rsidR="003D3405" w:rsidRPr="00A01FC2" w:rsidRDefault="003D3405" w:rsidP="00B62CF6">
            <w:pPr>
              <w:pStyle w:val="11"/>
            </w:pPr>
          </w:p>
        </w:tc>
        <w:tc>
          <w:tcPr>
            <w:tcW w:w="1260" w:type="dxa"/>
            <w:shd w:val="clear" w:color="auto" w:fill="auto"/>
          </w:tcPr>
          <w:p w:rsidR="003D3405" w:rsidRPr="00A01FC2" w:rsidRDefault="003D3405" w:rsidP="00B62CF6">
            <w:pPr>
              <w:pStyle w:val="11"/>
            </w:pPr>
            <w:r w:rsidRPr="00A01FC2">
              <w:t>0,3</w:t>
            </w:r>
          </w:p>
        </w:tc>
        <w:tc>
          <w:tcPr>
            <w:tcW w:w="1260" w:type="dxa"/>
            <w:shd w:val="clear" w:color="auto" w:fill="auto"/>
          </w:tcPr>
          <w:p w:rsidR="003D3405" w:rsidRPr="00A01FC2" w:rsidRDefault="003D3405" w:rsidP="00B62CF6">
            <w:pPr>
              <w:pStyle w:val="11"/>
            </w:pPr>
            <w:r w:rsidRPr="00A01FC2">
              <w:t>5</w:t>
            </w:r>
          </w:p>
        </w:tc>
        <w:tc>
          <w:tcPr>
            <w:tcW w:w="1626" w:type="dxa"/>
            <w:shd w:val="clear" w:color="auto" w:fill="auto"/>
          </w:tcPr>
          <w:p w:rsidR="003D3405" w:rsidRPr="00A01FC2" w:rsidRDefault="003D3405" w:rsidP="00B62CF6">
            <w:pPr>
              <w:pStyle w:val="11"/>
            </w:pPr>
            <w:r w:rsidRPr="00A01FC2">
              <w:t>1</w:t>
            </w:r>
            <w:r w:rsidR="00D54767" w:rsidRPr="00A01FC2">
              <w:t>,</w:t>
            </w:r>
            <w:r w:rsidRPr="00A01FC2">
              <w:t>5</w:t>
            </w:r>
          </w:p>
        </w:tc>
      </w:tr>
      <w:tr w:rsidR="003D3405" w:rsidRPr="00DE4021" w:rsidTr="00DE4021">
        <w:trPr>
          <w:jc w:val="center"/>
        </w:trPr>
        <w:tc>
          <w:tcPr>
            <w:tcW w:w="648" w:type="dxa"/>
            <w:shd w:val="clear" w:color="auto" w:fill="auto"/>
          </w:tcPr>
          <w:p w:rsidR="003D3405" w:rsidRPr="00A01FC2" w:rsidRDefault="003D3405" w:rsidP="00B62CF6">
            <w:pPr>
              <w:pStyle w:val="11"/>
            </w:pPr>
            <w:r w:rsidRPr="00A01FC2">
              <w:t>3</w:t>
            </w:r>
          </w:p>
        </w:tc>
        <w:tc>
          <w:tcPr>
            <w:tcW w:w="2700" w:type="dxa"/>
            <w:shd w:val="clear" w:color="auto" w:fill="auto"/>
          </w:tcPr>
          <w:p w:rsidR="003D3405" w:rsidRPr="00A01FC2" w:rsidRDefault="003D3405" w:rsidP="00B62CF6">
            <w:pPr>
              <w:pStyle w:val="11"/>
            </w:pPr>
            <w:r w:rsidRPr="00A01FC2">
              <w:t>доля рецептурных препаратов</w:t>
            </w:r>
          </w:p>
        </w:tc>
        <w:tc>
          <w:tcPr>
            <w:tcW w:w="900" w:type="dxa"/>
            <w:shd w:val="clear" w:color="auto" w:fill="auto"/>
          </w:tcPr>
          <w:p w:rsidR="003D3405" w:rsidRPr="00A01FC2" w:rsidRDefault="003D3405" w:rsidP="00B62CF6">
            <w:pPr>
              <w:pStyle w:val="11"/>
            </w:pPr>
            <w:r w:rsidRPr="00A01FC2">
              <w:t>1</w:t>
            </w:r>
          </w:p>
        </w:tc>
        <w:tc>
          <w:tcPr>
            <w:tcW w:w="1260" w:type="dxa"/>
            <w:vMerge/>
            <w:shd w:val="clear" w:color="auto" w:fill="auto"/>
          </w:tcPr>
          <w:p w:rsidR="003D3405" w:rsidRPr="00A01FC2" w:rsidRDefault="003D3405" w:rsidP="00B62CF6">
            <w:pPr>
              <w:pStyle w:val="11"/>
            </w:pPr>
          </w:p>
        </w:tc>
        <w:tc>
          <w:tcPr>
            <w:tcW w:w="1260" w:type="dxa"/>
            <w:shd w:val="clear" w:color="auto" w:fill="auto"/>
          </w:tcPr>
          <w:p w:rsidR="003D3405" w:rsidRPr="00A01FC2" w:rsidRDefault="003D3405" w:rsidP="00B62CF6">
            <w:pPr>
              <w:pStyle w:val="11"/>
            </w:pPr>
            <w:r w:rsidRPr="00A01FC2">
              <w:t>0,1</w:t>
            </w:r>
          </w:p>
        </w:tc>
        <w:tc>
          <w:tcPr>
            <w:tcW w:w="1260" w:type="dxa"/>
            <w:shd w:val="clear" w:color="auto" w:fill="auto"/>
          </w:tcPr>
          <w:p w:rsidR="003D3405" w:rsidRPr="00A01FC2" w:rsidRDefault="003D3405" w:rsidP="00B62CF6">
            <w:pPr>
              <w:pStyle w:val="11"/>
            </w:pPr>
            <w:r w:rsidRPr="00A01FC2">
              <w:t>5</w:t>
            </w:r>
          </w:p>
        </w:tc>
        <w:tc>
          <w:tcPr>
            <w:tcW w:w="1626" w:type="dxa"/>
            <w:shd w:val="clear" w:color="auto" w:fill="auto"/>
          </w:tcPr>
          <w:p w:rsidR="003D3405" w:rsidRPr="00A01FC2" w:rsidRDefault="003D3405" w:rsidP="00B62CF6">
            <w:pPr>
              <w:pStyle w:val="11"/>
            </w:pPr>
            <w:r w:rsidRPr="00A01FC2">
              <w:t>0,50</w:t>
            </w:r>
          </w:p>
        </w:tc>
      </w:tr>
      <w:tr w:rsidR="003D3405" w:rsidRPr="00DE4021" w:rsidTr="00DE4021">
        <w:trPr>
          <w:jc w:val="center"/>
        </w:trPr>
        <w:tc>
          <w:tcPr>
            <w:tcW w:w="648" w:type="dxa"/>
            <w:shd w:val="clear" w:color="auto" w:fill="auto"/>
          </w:tcPr>
          <w:p w:rsidR="003D3405" w:rsidRPr="00A01FC2" w:rsidRDefault="003D3405" w:rsidP="00B62CF6">
            <w:pPr>
              <w:pStyle w:val="11"/>
            </w:pPr>
            <w:r w:rsidRPr="00A01FC2">
              <w:t>4</w:t>
            </w:r>
          </w:p>
        </w:tc>
        <w:tc>
          <w:tcPr>
            <w:tcW w:w="2700" w:type="dxa"/>
            <w:shd w:val="clear" w:color="auto" w:fill="auto"/>
          </w:tcPr>
          <w:p w:rsidR="003D3405" w:rsidRPr="00A01FC2" w:rsidRDefault="003D3405" w:rsidP="00B62CF6">
            <w:pPr>
              <w:pStyle w:val="11"/>
            </w:pPr>
            <w:r w:rsidRPr="00A01FC2">
              <w:t>выпуск оригинальных ЛП</w:t>
            </w:r>
          </w:p>
        </w:tc>
        <w:tc>
          <w:tcPr>
            <w:tcW w:w="900" w:type="dxa"/>
            <w:shd w:val="clear" w:color="auto" w:fill="auto"/>
          </w:tcPr>
          <w:p w:rsidR="003D3405" w:rsidRPr="00A01FC2" w:rsidRDefault="003D3405" w:rsidP="00B62CF6">
            <w:pPr>
              <w:pStyle w:val="11"/>
            </w:pPr>
            <w:r w:rsidRPr="00A01FC2">
              <w:t>2</w:t>
            </w:r>
          </w:p>
        </w:tc>
        <w:tc>
          <w:tcPr>
            <w:tcW w:w="1260" w:type="dxa"/>
            <w:vMerge/>
            <w:shd w:val="clear" w:color="auto" w:fill="auto"/>
          </w:tcPr>
          <w:p w:rsidR="003D3405" w:rsidRPr="00A01FC2" w:rsidRDefault="003D3405" w:rsidP="00B62CF6">
            <w:pPr>
              <w:pStyle w:val="11"/>
            </w:pPr>
          </w:p>
        </w:tc>
        <w:tc>
          <w:tcPr>
            <w:tcW w:w="1260" w:type="dxa"/>
            <w:shd w:val="clear" w:color="auto" w:fill="auto"/>
          </w:tcPr>
          <w:p w:rsidR="003D3405" w:rsidRPr="00A01FC2" w:rsidRDefault="003D3405" w:rsidP="00B62CF6">
            <w:pPr>
              <w:pStyle w:val="11"/>
            </w:pPr>
            <w:r w:rsidRPr="00A01FC2">
              <w:t>0,2</w:t>
            </w:r>
          </w:p>
        </w:tc>
        <w:tc>
          <w:tcPr>
            <w:tcW w:w="1260" w:type="dxa"/>
            <w:shd w:val="clear" w:color="auto" w:fill="auto"/>
          </w:tcPr>
          <w:p w:rsidR="003D3405" w:rsidRPr="00A01FC2" w:rsidRDefault="003D3405" w:rsidP="00B62CF6">
            <w:pPr>
              <w:pStyle w:val="11"/>
            </w:pPr>
            <w:r w:rsidRPr="00A01FC2">
              <w:t>4</w:t>
            </w:r>
          </w:p>
        </w:tc>
        <w:tc>
          <w:tcPr>
            <w:tcW w:w="1626" w:type="dxa"/>
            <w:shd w:val="clear" w:color="auto" w:fill="auto"/>
          </w:tcPr>
          <w:p w:rsidR="003D3405" w:rsidRPr="00A01FC2" w:rsidRDefault="003D3405" w:rsidP="00B62CF6">
            <w:pPr>
              <w:pStyle w:val="11"/>
            </w:pPr>
            <w:r w:rsidRPr="00A01FC2">
              <w:t>0,80</w:t>
            </w:r>
          </w:p>
        </w:tc>
      </w:tr>
      <w:tr w:rsidR="003D3405" w:rsidRPr="00DE4021" w:rsidTr="00DE4021">
        <w:trPr>
          <w:trHeight w:val="395"/>
          <w:jc w:val="center"/>
        </w:trPr>
        <w:tc>
          <w:tcPr>
            <w:tcW w:w="9654" w:type="dxa"/>
            <w:gridSpan w:val="7"/>
            <w:shd w:val="clear" w:color="auto" w:fill="auto"/>
          </w:tcPr>
          <w:p w:rsidR="003D3405" w:rsidRPr="00A01FC2" w:rsidRDefault="003D3405" w:rsidP="00B62CF6">
            <w:pPr>
              <w:pStyle w:val="11"/>
            </w:pPr>
            <w:r w:rsidRPr="00A01FC2">
              <w:t>∑</w:t>
            </w:r>
            <w:r w:rsidRPr="00DE4021">
              <w:rPr>
                <w:lang w:val="en-US"/>
              </w:rPr>
              <w:t xml:space="preserve"> W</w:t>
            </w:r>
            <w:r w:rsidRPr="00DE4021">
              <w:rPr>
                <w:vertAlign w:val="subscript"/>
                <w:lang w:val="en-US"/>
              </w:rPr>
              <w:t>i</w:t>
            </w:r>
            <w:r w:rsidRPr="00A01FC2">
              <w:t xml:space="preserve"> =1,0∑</w:t>
            </w:r>
            <w:r w:rsidR="00D71908" w:rsidRPr="00DE4021">
              <w:rPr>
                <w:lang w:val="en-US"/>
              </w:rPr>
              <w:t xml:space="preserve"> </w:t>
            </w:r>
            <w:r w:rsidR="00FE2A19" w:rsidRPr="00A01FC2">
              <w:t>∑</w:t>
            </w:r>
            <w:r w:rsidRPr="00DE4021">
              <w:rPr>
                <w:lang w:val="en-US"/>
              </w:rPr>
              <w:t>P</w:t>
            </w:r>
            <w:r w:rsidRPr="00DE4021">
              <w:rPr>
                <w:vertAlign w:val="subscript"/>
                <w:lang w:val="en-US"/>
              </w:rPr>
              <w:t>i</w:t>
            </w:r>
            <w:r w:rsidR="00D54767" w:rsidRPr="00A01FC2">
              <w:t>=4,8</w:t>
            </w:r>
          </w:p>
        </w:tc>
      </w:tr>
      <w:tr w:rsidR="003D3405" w:rsidRPr="00DE4021" w:rsidTr="00DE4021">
        <w:trPr>
          <w:trHeight w:val="319"/>
          <w:jc w:val="center"/>
        </w:trPr>
        <w:tc>
          <w:tcPr>
            <w:tcW w:w="9654" w:type="dxa"/>
            <w:gridSpan w:val="7"/>
            <w:shd w:val="clear" w:color="auto" w:fill="auto"/>
          </w:tcPr>
          <w:p w:rsidR="003D3405" w:rsidRPr="00A01FC2" w:rsidRDefault="003D3405" w:rsidP="00B62CF6">
            <w:pPr>
              <w:pStyle w:val="11"/>
            </w:pPr>
            <w:r w:rsidRPr="00A01FC2">
              <w:t>Экономические факторы</w:t>
            </w:r>
          </w:p>
        </w:tc>
      </w:tr>
      <w:tr w:rsidR="003D3405" w:rsidRPr="00DE4021" w:rsidTr="00DE4021">
        <w:trPr>
          <w:jc w:val="center"/>
        </w:trPr>
        <w:tc>
          <w:tcPr>
            <w:tcW w:w="648" w:type="dxa"/>
            <w:shd w:val="clear" w:color="auto" w:fill="auto"/>
          </w:tcPr>
          <w:p w:rsidR="003D3405" w:rsidRPr="00A01FC2" w:rsidRDefault="003D3405" w:rsidP="00B62CF6">
            <w:pPr>
              <w:pStyle w:val="11"/>
            </w:pPr>
            <w:r w:rsidRPr="00A01FC2">
              <w:t>1</w:t>
            </w:r>
          </w:p>
        </w:tc>
        <w:tc>
          <w:tcPr>
            <w:tcW w:w="2700" w:type="dxa"/>
            <w:shd w:val="clear" w:color="auto" w:fill="auto"/>
          </w:tcPr>
          <w:p w:rsidR="003D3405" w:rsidRPr="00A01FC2" w:rsidRDefault="003D3405" w:rsidP="00B62CF6">
            <w:pPr>
              <w:pStyle w:val="11"/>
            </w:pPr>
            <w:r w:rsidRPr="00A01FC2">
              <w:t>внешняя торговля</w:t>
            </w:r>
          </w:p>
        </w:tc>
        <w:tc>
          <w:tcPr>
            <w:tcW w:w="900" w:type="dxa"/>
            <w:shd w:val="clear" w:color="auto" w:fill="auto"/>
          </w:tcPr>
          <w:p w:rsidR="003D3405" w:rsidRPr="00A01FC2" w:rsidRDefault="00FE2A19" w:rsidP="00B62CF6">
            <w:pPr>
              <w:pStyle w:val="11"/>
            </w:pPr>
            <w:r w:rsidRPr="00A01FC2">
              <w:t>6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3D3405" w:rsidRPr="00A01FC2" w:rsidRDefault="00984707" w:rsidP="00B62CF6">
            <w:pPr>
              <w:pStyle w:val="11"/>
            </w:pPr>
            <w:r w:rsidRPr="00A01FC2">
              <w:t>0,0476</w:t>
            </w:r>
          </w:p>
        </w:tc>
        <w:tc>
          <w:tcPr>
            <w:tcW w:w="1260" w:type="dxa"/>
            <w:shd w:val="clear" w:color="auto" w:fill="auto"/>
          </w:tcPr>
          <w:p w:rsidR="003D3405" w:rsidRPr="00A01FC2" w:rsidRDefault="00FE2A19" w:rsidP="00B62CF6">
            <w:pPr>
              <w:pStyle w:val="11"/>
            </w:pPr>
            <w:r w:rsidRPr="00A01FC2">
              <w:t>0,286</w:t>
            </w:r>
          </w:p>
        </w:tc>
        <w:tc>
          <w:tcPr>
            <w:tcW w:w="1260" w:type="dxa"/>
            <w:shd w:val="clear" w:color="auto" w:fill="auto"/>
          </w:tcPr>
          <w:p w:rsidR="003D3405" w:rsidRPr="00A01FC2" w:rsidRDefault="003D3405" w:rsidP="00B62CF6">
            <w:pPr>
              <w:pStyle w:val="11"/>
            </w:pPr>
            <w:r w:rsidRPr="00A01FC2">
              <w:t>5</w:t>
            </w:r>
          </w:p>
        </w:tc>
        <w:tc>
          <w:tcPr>
            <w:tcW w:w="1626" w:type="dxa"/>
            <w:shd w:val="clear" w:color="auto" w:fill="auto"/>
          </w:tcPr>
          <w:p w:rsidR="003D3405" w:rsidRPr="00A01FC2" w:rsidRDefault="00FE2A19" w:rsidP="00B62CF6">
            <w:pPr>
              <w:pStyle w:val="11"/>
            </w:pPr>
            <w:r w:rsidRPr="00A01FC2">
              <w:t>1,42</w:t>
            </w:r>
          </w:p>
        </w:tc>
      </w:tr>
      <w:tr w:rsidR="003D3405" w:rsidRPr="00DE4021" w:rsidTr="00DE4021">
        <w:trPr>
          <w:jc w:val="center"/>
        </w:trPr>
        <w:tc>
          <w:tcPr>
            <w:tcW w:w="648" w:type="dxa"/>
            <w:shd w:val="clear" w:color="auto" w:fill="auto"/>
          </w:tcPr>
          <w:p w:rsidR="003D3405" w:rsidRPr="00A01FC2" w:rsidRDefault="003D3405" w:rsidP="00B62CF6">
            <w:pPr>
              <w:pStyle w:val="11"/>
            </w:pPr>
            <w:r w:rsidRPr="00A01FC2">
              <w:t>2</w:t>
            </w:r>
          </w:p>
        </w:tc>
        <w:tc>
          <w:tcPr>
            <w:tcW w:w="2700" w:type="dxa"/>
            <w:shd w:val="clear" w:color="auto" w:fill="auto"/>
          </w:tcPr>
          <w:p w:rsidR="003D3405" w:rsidRPr="00A01FC2" w:rsidRDefault="003D3405" w:rsidP="00B62CF6">
            <w:pPr>
              <w:pStyle w:val="11"/>
            </w:pPr>
            <w:r w:rsidRPr="00A01FC2">
              <w:t>занятость населения</w:t>
            </w:r>
          </w:p>
        </w:tc>
        <w:tc>
          <w:tcPr>
            <w:tcW w:w="900" w:type="dxa"/>
            <w:shd w:val="clear" w:color="auto" w:fill="auto"/>
          </w:tcPr>
          <w:p w:rsidR="003D3405" w:rsidRPr="00A01FC2" w:rsidRDefault="003D3405" w:rsidP="00B62CF6">
            <w:pPr>
              <w:pStyle w:val="11"/>
            </w:pPr>
            <w:r w:rsidRPr="00A01FC2">
              <w:t>1</w:t>
            </w:r>
          </w:p>
        </w:tc>
        <w:tc>
          <w:tcPr>
            <w:tcW w:w="1260" w:type="dxa"/>
            <w:vMerge/>
            <w:shd w:val="clear" w:color="auto" w:fill="auto"/>
          </w:tcPr>
          <w:p w:rsidR="003D3405" w:rsidRPr="00A01FC2" w:rsidRDefault="003D3405" w:rsidP="00B62CF6">
            <w:pPr>
              <w:pStyle w:val="11"/>
            </w:pPr>
          </w:p>
        </w:tc>
        <w:tc>
          <w:tcPr>
            <w:tcW w:w="1260" w:type="dxa"/>
            <w:shd w:val="clear" w:color="auto" w:fill="auto"/>
          </w:tcPr>
          <w:p w:rsidR="003D3405" w:rsidRPr="00A01FC2" w:rsidRDefault="003D3405" w:rsidP="00B62CF6">
            <w:pPr>
              <w:pStyle w:val="11"/>
            </w:pPr>
            <w:r w:rsidRPr="00A01FC2">
              <w:t>0,048</w:t>
            </w:r>
          </w:p>
        </w:tc>
        <w:tc>
          <w:tcPr>
            <w:tcW w:w="1260" w:type="dxa"/>
            <w:shd w:val="clear" w:color="auto" w:fill="auto"/>
          </w:tcPr>
          <w:p w:rsidR="003D3405" w:rsidRPr="00A01FC2" w:rsidRDefault="003D3405" w:rsidP="00B62CF6">
            <w:pPr>
              <w:pStyle w:val="11"/>
            </w:pPr>
            <w:r w:rsidRPr="00A01FC2">
              <w:t>5</w:t>
            </w:r>
          </w:p>
        </w:tc>
        <w:tc>
          <w:tcPr>
            <w:tcW w:w="1626" w:type="dxa"/>
            <w:shd w:val="clear" w:color="auto" w:fill="auto"/>
          </w:tcPr>
          <w:p w:rsidR="003D3405" w:rsidRPr="00A01FC2" w:rsidRDefault="003D3405" w:rsidP="00B62CF6">
            <w:pPr>
              <w:pStyle w:val="11"/>
            </w:pPr>
            <w:r w:rsidRPr="00A01FC2">
              <w:t>0,24</w:t>
            </w:r>
          </w:p>
        </w:tc>
      </w:tr>
      <w:tr w:rsidR="003D3405" w:rsidRPr="00DE4021" w:rsidTr="00DE4021">
        <w:trPr>
          <w:jc w:val="center"/>
        </w:trPr>
        <w:tc>
          <w:tcPr>
            <w:tcW w:w="648" w:type="dxa"/>
            <w:shd w:val="clear" w:color="auto" w:fill="auto"/>
          </w:tcPr>
          <w:p w:rsidR="003D3405" w:rsidRPr="00A01FC2" w:rsidRDefault="003D3405" w:rsidP="00B62CF6">
            <w:pPr>
              <w:pStyle w:val="11"/>
            </w:pPr>
            <w:r w:rsidRPr="00A01FC2">
              <w:t>3</w:t>
            </w:r>
          </w:p>
        </w:tc>
        <w:tc>
          <w:tcPr>
            <w:tcW w:w="2700" w:type="dxa"/>
            <w:shd w:val="clear" w:color="auto" w:fill="auto"/>
          </w:tcPr>
          <w:p w:rsidR="003D3405" w:rsidRPr="00A01FC2" w:rsidRDefault="003D3405" w:rsidP="00B62CF6">
            <w:pPr>
              <w:pStyle w:val="11"/>
            </w:pPr>
            <w:r w:rsidRPr="00A01FC2">
              <w:t>частный сектор в экономике</w:t>
            </w:r>
          </w:p>
        </w:tc>
        <w:tc>
          <w:tcPr>
            <w:tcW w:w="900" w:type="dxa"/>
            <w:shd w:val="clear" w:color="auto" w:fill="auto"/>
          </w:tcPr>
          <w:p w:rsidR="003D3405" w:rsidRPr="00A01FC2" w:rsidRDefault="00FE2A19" w:rsidP="00B62CF6">
            <w:pPr>
              <w:pStyle w:val="11"/>
            </w:pPr>
            <w:r w:rsidRPr="00A01FC2">
              <w:t>4</w:t>
            </w:r>
          </w:p>
        </w:tc>
        <w:tc>
          <w:tcPr>
            <w:tcW w:w="1260" w:type="dxa"/>
            <w:vMerge/>
            <w:shd w:val="clear" w:color="auto" w:fill="auto"/>
          </w:tcPr>
          <w:p w:rsidR="003D3405" w:rsidRPr="00A01FC2" w:rsidRDefault="003D3405" w:rsidP="00B62CF6">
            <w:pPr>
              <w:pStyle w:val="11"/>
            </w:pPr>
          </w:p>
        </w:tc>
        <w:tc>
          <w:tcPr>
            <w:tcW w:w="1260" w:type="dxa"/>
            <w:shd w:val="clear" w:color="auto" w:fill="auto"/>
          </w:tcPr>
          <w:p w:rsidR="003D3405" w:rsidRPr="00A01FC2" w:rsidRDefault="00FE2A19" w:rsidP="00B62CF6">
            <w:pPr>
              <w:pStyle w:val="11"/>
            </w:pPr>
            <w:r w:rsidRPr="00A01FC2">
              <w:t>0,19</w:t>
            </w:r>
          </w:p>
        </w:tc>
        <w:tc>
          <w:tcPr>
            <w:tcW w:w="1260" w:type="dxa"/>
            <w:shd w:val="clear" w:color="auto" w:fill="auto"/>
          </w:tcPr>
          <w:p w:rsidR="003D3405" w:rsidRPr="00A01FC2" w:rsidRDefault="003D3405" w:rsidP="00B62CF6">
            <w:pPr>
              <w:pStyle w:val="11"/>
            </w:pPr>
            <w:r w:rsidRPr="00A01FC2">
              <w:t>5</w:t>
            </w:r>
          </w:p>
        </w:tc>
        <w:tc>
          <w:tcPr>
            <w:tcW w:w="1626" w:type="dxa"/>
            <w:shd w:val="clear" w:color="auto" w:fill="auto"/>
          </w:tcPr>
          <w:p w:rsidR="003D3405" w:rsidRPr="00A01FC2" w:rsidRDefault="00FE2A19" w:rsidP="00B62CF6">
            <w:pPr>
              <w:pStyle w:val="11"/>
            </w:pPr>
            <w:r w:rsidRPr="00A01FC2">
              <w:t>0,95</w:t>
            </w:r>
          </w:p>
        </w:tc>
      </w:tr>
      <w:tr w:rsidR="003D3405" w:rsidRPr="00DE4021" w:rsidTr="00DE4021">
        <w:trPr>
          <w:jc w:val="center"/>
        </w:trPr>
        <w:tc>
          <w:tcPr>
            <w:tcW w:w="648" w:type="dxa"/>
            <w:shd w:val="clear" w:color="auto" w:fill="auto"/>
          </w:tcPr>
          <w:p w:rsidR="003D3405" w:rsidRPr="00A01FC2" w:rsidRDefault="003D3405" w:rsidP="00B62CF6">
            <w:pPr>
              <w:pStyle w:val="11"/>
            </w:pPr>
            <w:r w:rsidRPr="00A01FC2">
              <w:t>4</w:t>
            </w:r>
          </w:p>
        </w:tc>
        <w:tc>
          <w:tcPr>
            <w:tcW w:w="2700" w:type="dxa"/>
            <w:shd w:val="clear" w:color="auto" w:fill="auto"/>
          </w:tcPr>
          <w:p w:rsidR="003D3405" w:rsidRPr="00A01FC2" w:rsidRDefault="003D3405" w:rsidP="00B62CF6">
            <w:pPr>
              <w:pStyle w:val="11"/>
            </w:pPr>
            <w:r w:rsidRPr="00A01FC2">
              <w:t>экономический рост</w:t>
            </w:r>
          </w:p>
        </w:tc>
        <w:tc>
          <w:tcPr>
            <w:tcW w:w="900" w:type="dxa"/>
            <w:shd w:val="clear" w:color="auto" w:fill="auto"/>
          </w:tcPr>
          <w:p w:rsidR="003D3405" w:rsidRPr="00A01FC2" w:rsidRDefault="003D3405" w:rsidP="00B62CF6">
            <w:pPr>
              <w:pStyle w:val="11"/>
            </w:pPr>
            <w:r w:rsidRPr="00A01FC2">
              <w:t>3</w:t>
            </w:r>
          </w:p>
        </w:tc>
        <w:tc>
          <w:tcPr>
            <w:tcW w:w="1260" w:type="dxa"/>
            <w:vMerge/>
            <w:shd w:val="clear" w:color="auto" w:fill="auto"/>
          </w:tcPr>
          <w:p w:rsidR="003D3405" w:rsidRPr="00A01FC2" w:rsidRDefault="003D3405" w:rsidP="00B62CF6">
            <w:pPr>
              <w:pStyle w:val="11"/>
            </w:pPr>
          </w:p>
        </w:tc>
        <w:tc>
          <w:tcPr>
            <w:tcW w:w="1260" w:type="dxa"/>
            <w:shd w:val="clear" w:color="auto" w:fill="auto"/>
          </w:tcPr>
          <w:p w:rsidR="003D3405" w:rsidRPr="00A01FC2" w:rsidRDefault="003D3405" w:rsidP="00B62CF6">
            <w:pPr>
              <w:pStyle w:val="11"/>
            </w:pPr>
            <w:r w:rsidRPr="00A01FC2">
              <w:t>0,14</w:t>
            </w:r>
          </w:p>
        </w:tc>
        <w:tc>
          <w:tcPr>
            <w:tcW w:w="1260" w:type="dxa"/>
            <w:shd w:val="clear" w:color="auto" w:fill="auto"/>
          </w:tcPr>
          <w:p w:rsidR="003D3405" w:rsidRPr="00A01FC2" w:rsidRDefault="003D3405" w:rsidP="00B62CF6">
            <w:pPr>
              <w:pStyle w:val="11"/>
            </w:pPr>
            <w:r w:rsidRPr="00A01FC2">
              <w:t>5</w:t>
            </w:r>
          </w:p>
        </w:tc>
        <w:tc>
          <w:tcPr>
            <w:tcW w:w="1626" w:type="dxa"/>
            <w:shd w:val="clear" w:color="auto" w:fill="auto"/>
          </w:tcPr>
          <w:p w:rsidR="003D3405" w:rsidRPr="00A01FC2" w:rsidRDefault="003D3405" w:rsidP="00B62CF6">
            <w:pPr>
              <w:pStyle w:val="11"/>
            </w:pPr>
            <w:r w:rsidRPr="00A01FC2">
              <w:t>0,56</w:t>
            </w:r>
          </w:p>
        </w:tc>
      </w:tr>
      <w:tr w:rsidR="003D3405" w:rsidRPr="00DE4021" w:rsidTr="00DE4021">
        <w:trPr>
          <w:jc w:val="center"/>
        </w:trPr>
        <w:tc>
          <w:tcPr>
            <w:tcW w:w="648" w:type="dxa"/>
            <w:shd w:val="clear" w:color="auto" w:fill="auto"/>
          </w:tcPr>
          <w:p w:rsidR="003D3405" w:rsidRPr="00A01FC2" w:rsidRDefault="003D3405" w:rsidP="00B62CF6">
            <w:pPr>
              <w:pStyle w:val="11"/>
            </w:pPr>
            <w:r w:rsidRPr="00A01FC2">
              <w:t>5</w:t>
            </w:r>
          </w:p>
        </w:tc>
        <w:tc>
          <w:tcPr>
            <w:tcW w:w="2700" w:type="dxa"/>
            <w:shd w:val="clear" w:color="auto" w:fill="auto"/>
          </w:tcPr>
          <w:p w:rsidR="003D3405" w:rsidRPr="00A01FC2" w:rsidRDefault="003D3405" w:rsidP="00B62CF6">
            <w:pPr>
              <w:pStyle w:val="11"/>
            </w:pPr>
            <w:r w:rsidRPr="00A01FC2">
              <w:t>льготы на налогообложение</w:t>
            </w:r>
          </w:p>
        </w:tc>
        <w:tc>
          <w:tcPr>
            <w:tcW w:w="900" w:type="dxa"/>
            <w:shd w:val="clear" w:color="auto" w:fill="auto"/>
          </w:tcPr>
          <w:p w:rsidR="003D3405" w:rsidRPr="00A01FC2" w:rsidRDefault="003D3405" w:rsidP="00B62CF6">
            <w:pPr>
              <w:pStyle w:val="11"/>
            </w:pPr>
            <w:r w:rsidRPr="00A01FC2">
              <w:t>5</w:t>
            </w:r>
          </w:p>
        </w:tc>
        <w:tc>
          <w:tcPr>
            <w:tcW w:w="1260" w:type="dxa"/>
            <w:vMerge/>
            <w:shd w:val="clear" w:color="auto" w:fill="auto"/>
          </w:tcPr>
          <w:p w:rsidR="003D3405" w:rsidRPr="00A01FC2" w:rsidRDefault="003D3405" w:rsidP="00B62CF6">
            <w:pPr>
              <w:pStyle w:val="11"/>
            </w:pPr>
          </w:p>
        </w:tc>
        <w:tc>
          <w:tcPr>
            <w:tcW w:w="1260" w:type="dxa"/>
            <w:shd w:val="clear" w:color="auto" w:fill="auto"/>
          </w:tcPr>
          <w:p w:rsidR="003D3405" w:rsidRPr="00A01FC2" w:rsidRDefault="003D3405" w:rsidP="00B62CF6">
            <w:pPr>
              <w:pStyle w:val="11"/>
            </w:pPr>
            <w:r w:rsidRPr="00A01FC2">
              <w:t>0,238</w:t>
            </w:r>
          </w:p>
        </w:tc>
        <w:tc>
          <w:tcPr>
            <w:tcW w:w="1260" w:type="dxa"/>
            <w:shd w:val="clear" w:color="auto" w:fill="auto"/>
          </w:tcPr>
          <w:p w:rsidR="003D3405" w:rsidRPr="00A01FC2" w:rsidRDefault="003D3405" w:rsidP="00B62CF6">
            <w:pPr>
              <w:pStyle w:val="11"/>
            </w:pPr>
            <w:r w:rsidRPr="00A01FC2">
              <w:t>1</w:t>
            </w:r>
          </w:p>
        </w:tc>
        <w:tc>
          <w:tcPr>
            <w:tcW w:w="1626" w:type="dxa"/>
            <w:shd w:val="clear" w:color="auto" w:fill="auto"/>
          </w:tcPr>
          <w:p w:rsidR="003D3405" w:rsidRPr="00A01FC2" w:rsidRDefault="003D3405" w:rsidP="00B62CF6">
            <w:pPr>
              <w:pStyle w:val="11"/>
            </w:pPr>
            <w:r w:rsidRPr="00A01FC2">
              <w:t>0,24</w:t>
            </w:r>
          </w:p>
        </w:tc>
      </w:tr>
      <w:tr w:rsidR="00984707" w:rsidRPr="00DE4021" w:rsidTr="00DE4021">
        <w:trPr>
          <w:jc w:val="center"/>
        </w:trPr>
        <w:tc>
          <w:tcPr>
            <w:tcW w:w="648" w:type="dxa"/>
            <w:shd w:val="clear" w:color="auto" w:fill="auto"/>
          </w:tcPr>
          <w:p w:rsidR="00984707" w:rsidRPr="00A01FC2" w:rsidRDefault="00984707" w:rsidP="00B62CF6">
            <w:pPr>
              <w:pStyle w:val="11"/>
            </w:pPr>
            <w:r w:rsidRPr="00A01FC2">
              <w:t>№№</w:t>
            </w:r>
          </w:p>
        </w:tc>
        <w:tc>
          <w:tcPr>
            <w:tcW w:w="2700" w:type="dxa"/>
            <w:shd w:val="clear" w:color="auto" w:fill="auto"/>
          </w:tcPr>
          <w:p w:rsidR="00984707" w:rsidRPr="00A01FC2" w:rsidRDefault="00984707" w:rsidP="00B62CF6">
            <w:pPr>
              <w:pStyle w:val="11"/>
            </w:pPr>
            <w:r w:rsidRPr="00A01FC2">
              <w:t>Факторы</w:t>
            </w:r>
          </w:p>
        </w:tc>
        <w:tc>
          <w:tcPr>
            <w:tcW w:w="900" w:type="dxa"/>
            <w:shd w:val="clear" w:color="auto" w:fill="auto"/>
          </w:tcPr>
          <w:p w:rsidR="00984707" w:rsidRPr="00DE4021" w:rsidRDefault="00984707" w:rsidP="00B62CF6">
            <w:pPr>
              <w:pStyle w:val="11"/>
              <w:rPr>
                <w:lang w:val="en-US"/>
              </w:rPr>
            </w:pPr>
            <w:r w:rsidRPr="00A01FC2">
              <w:t>Ранг</w:t>
            </w:r>
            <w:r w:rsidR="00D71908" w:rsidRPr="00A01FC2">
              <w:t xml:space="preserve"> </w:t>
            </w:r>
            <w:r w:rsidRPr="00A01FC2">
              <w:t>(</w:t>
            </w:r>
            <w:r w:rsidRPr="00DE4021">
              <w:rPr>
                <w:lang w:val="en-US"/>
              </w:rPr>
              <w:t>r)</w:t>
            </w:r>
          </w:p>
        </w:tc>
        <w:tc>
          <w:tcPr>
            <w:tcW w:w="1260" w:type="dxa"/>
            <w:shd w:val="clear" w:color="auto" w:fill="auto"/>
          </w:tcPr>
          <w:p w:rsidR="00984707" w:rsidRPr="00A01FC2" w:rsidRDefault="00984707" w:rsidP="00B62CF6">
            <w:pPr>
              <w:pStyle w:val="11"/>
            </w:pPr>
            <w:r w:rsidRPr="00A01FC2">
              <w:t>Цена ранга (С)</w:t>
            </w:r>
          </w:p>
        </w:tc>
        <w:tc>
          <w:tcPr>
            <w:tcW w:w="1260" w:type="dxa"/>
            <w:shd w:val="clear" w:color="auto" w:fill="auto"/>
          </w:tcPr>
          <w:p w:rsidR="00984707" w:rsidRPr="00DE4021" w:rsidRDefault="00984707" w:rsidP="00B62CF6">
            <w:pPr>
              <w:pStyle w:val="11"/>
              <w:rPr>
                <w:lang w:val="en-US"/>
              </w:rPr>
            </w:pPr>
            <w:r w:rsidRPr="00A01FC2">
              <w:t>Вес фактора (</w:t>
            </w:r>
            <w:r w:rsidRPr="00DE4021">
              <w:rPr>
                <w:lang w:val="en-US"/>
              </w:rPr>
              <w:t>W</w:t>
            </w:r>
            <w:r w:rsidRPr="00DE4021">
              <w:rPr>
                <w:vertAlign w:val="subscript"/>
                <w:lang w:val="en-US"/>
              </w:rPr>
              <w:t>i</w:t>
            </w:r>
            <w:r w:rsidRPr="00DE4021">
              <w:rPr>
                <w:lang w:val="en-US"/>
              </w:rPr>
              <w:t>)</w:t>
            </w:r>
          </w:p>
        </w:tc>
        <w:tc>
          <w:tcPr>
            <w:tcW w:w="1260" w:type="dxa"/>
            <w:shd w:val="clear" w:color="auto" w:fill="auto"/>
          </w:tcPr>
          <w:p w:rsidR="00984707" w:rsidRPr="00DE4021" w:rsidRDefault="00984707" w:rsidP="00B62CF6">
            <w:pPr>
              <w:pStyle w:val="11"/>
              <w:rPr>
                <w:lang w:val="en-US"/>
              </w:rPr>
            </w:pPr>
            <w:r w:rsidRPr="00A01FC2">
              <w:t>Оценка фактора (</w:t>
            </w:r>
            <w:r w:rsidRPr="00DE4021">
              <w:rPr>
                <w:lang w:val="en-US"/>
              </w:rPr>
              <w:t>A</w:t>
            </w:r>
            <w:r w:rsidRPr="00DE4021">
              <w:rPr>
                <w:vertAlign w:val="subscript"/>
                <w:lang w:val="en-US"/>
              </w:rPr>
              <w:t>i</w:t>
            </w:r>
            <w:r w:rsidRPr="00DE4021">
              <w:rPr>
                <w:lang w:val="en-US"/>
              </w:rPr>
              <w:t>)</w:t>
            </w:r>
          </w:p>
        </w:tc>
        <w:tc>
          <w:tcPr>
            <w:tcW w:w="1626" w:type="dxa"/>
            <w:shd w:val="clear" w:color="auto" w:fill="auto"/>
          </w:tcPr>
          <w:p w:rsidR="00984707" w:rsidRPr="00A01FC2" w:rsidRDefault="00984707" w:rsidP="00B62CF6">
            <w:pPr>
              <w:pStyle w:val="11"/>
            </w:pPr>
            <w:r w:rsidRPr="00A01FC2">
              <w:t>Парамет-рический индекс (</w:t>
            </w:r>
            <w:r w:rsidRPr="00DE4021">
              <w:rPr>
                <w:lang w:val="en-US"/>
              </w:rPr>
              <w:t>P</w:t>
            </w:r>
            <w:r w:rsidRPr="00DE4021">
              <w:rPr>
                <w:vertAlign w:val="subscript"/>
                <w:lang w:val="en-US"/>
              </w:rPr>
              <w:t>i</w:t>
            </w:r>
            <w:r w:rsidRPr="00A01FC2">
              <w:t>)</w:t>
            </w:r>
          </w:p>
        </w:tc>
      </w:tr>
      <w:tr w:rsidR="00984707" w:rsidRPr="00DE4021" w:rsidTr="00DE4021">
        <w:trPr>
          <w:jc w:val="center"/>
        </w:trPr>
        <w:tc>
          <w:tcPr>
            <w:tcW w:w="648" w:type="dxa"/>
            <w:shd w:val="clear" w:color="auto" w:fill="auto"/>
          </w:tcPr>
          <w:p w:rsidR="00984707" w:rsidRPr="00A01FC2" w:rsidRDefault="00984707" w:rsidP="00B62CF6">
            <w:pPr>
              <w:pStyle w:val="11"/>
            </w:pPr>
            <w:r w:rsidRPr="00A01FC2">
              <w:t>6</w:t>
            </w:r>
          </w:p>
        </w:tc>
        <w:tc>
          <w:tcPr>
            <w:tcW w:w="2700" w:type="dxa"/>
            <w:shd w:val="clear" w:color="auto" w:fill="auto"/>
          </w:tcPr>
          <w:p w:rsidR="00984707" w:rsidRPr="00A01FC2" w:rsidRDefault="00984707" w:rsidP="00B62CF6">
            <w:pPr>
              <w:pStyle w:val="11"/>
            </w:pPr>
            <w:r w:rsidRPr="00A01FC2">
              <w:t>уровень инфляции</w:t>
            </w:r>
          </w:p>
        </w:tc>
        <w:tc>
          <w:tcPr>
            <w:tcW w:w="900" w:type="dxa"/>
            <w:shd w:val="clear" w:color="auto" w:fill="auto"/>
          </w:tcPr>
          <w:p w:rsidR="00984707" w:rsidRPr="00A01FC2" w:rsidRDefault="00984707" w:rsidP="00B62CF6">
            <w:pPr>
              <w:pStyle w:val="11"/>
            </w:pPr>
            <w:r w:rsidRPr="00A01FC2">
              <w:t>2</w:t>
            </w:r>
          </w:p>
        </w:tc>
        <w:tc>
          <w:tcPr>
            <w:tcW w:w="1260" w:type="dxa"/>
            <w:shd w:val="clear" w:color="auto" w:fill="auto"/>
          </w:tcPr>
          <w:p w:rsidR="00984707" w:rsidRPr="00A01FC2" w:rsidRDefault="00984707" w:rsidP="00B62CF6">
            <w:pPr>
              <w:pStyle w:val="11"/>
            </w:pPr>
            <w:r w:rsidRPr="00A01FC2">
              <w:t>0,0476</w:t>
            </w:r>
          </w:p>
        </w:tc>
        <w:tc>
          <w:tcPr>
            <w:tcW w:w="1260" w:type="dxa"/>
            <w:shd w:val="clear" w:color="auto" w:fill="auto"/>
          </w:tcPr>
          <w:p w:rsidR="00984707" w:rsidRPr="00A01FC2" w:rsidRDefault="00984707" w:rsidP="00B62CF6">
            <w:pPr>
              <w:pStyle w:val="11"/>
            </w:pPr>
            <w:r w:rsidRPr="00A01FC2">
              <w:t>0,095</w:t>
            </w:r>
          </w:p>
        </w:tc>
        <w:tc>
          <w:tcPr>
            <w:tcW w:w="1260" w:type="dxa"/>
            <w:shd w:val="clear" w:color="auto" w:fill="auto"/>
          </w:tcPr>
          <w:p w:rsidR="00984707" w:rsidRPr="00A01FC2" w:rsidRDefault="00984707" w:rsidP="00B62CF6">
            <w:pPr>
              <w:pStyle w:val="11"/>
            </w:pPr>
            <w:r w:rsidRPr="00A01FC2">
              <w:t>4</w:t>
            </w:r>
          </w:p>
        </w:tc>
        <w:tc>
          <w:tcPr>
            <w:tcW w:w="1626" w:type="dxa"/>
            <w:shd w:val="clear" w:color="auto" w:fill="auto"/>
          </w:tcPr>
          <w:p w:rsidR="00984707" w:rsidRPr="00A01FC2" w:rsidRDefault="00984707" w:rsidP="00B62CF6">
            <w:pPr>
              <w:pStyle w:val="11"/>
            </w:pPr>
            <w:r w:rsidRPr="00A01FC2">
              <w:t>0,38</w:t>
            </w:r>
          </w:p>
        </w:tc>
      </w:tr>
      <w:tr w:rsidR="00984707" w:rsidRPr="00DE4021" w:rsidTr="00DE4021">
        <w:trPr>
          <w:trHeight w:val="501"/>
          <w:jc w:val="center"/>
        </w:trPr>
        <w:tc>
          <w:tcPr>
            <w:tcW w:w="9654" w:type="dxa"/>
            <w:gridSpan w:val="7"/>
            <w:shd w:val="clear" w:color="auto" w:fill="auto"/>
          </w:tcPr>
          <w:p w:rsidR="00984707" w:rsidRPr="00A01FC2" w:rsidRDefault="00984707" w:rsidP="00B62CF6">
            <w:pPr>
              <w:pStyle w:val="11"/>
            </w:pPr>
            <w:r w:rsidRPr="00A01FC2">
              <w:t>∑</w:t>
            </w:r>
            <w:r w:rsidRPr="00DE4021">
              <w:rPr>
                <w:lang w:val="en-US"/>
              </w:rPr>
              <w:t xml:space="preserve"> W</w:t>
            </w:r>
            <w:r w:rsidRPr="00DE4021">
              <w:rPr>
                <w:vertAlign w:val="subscript"/>
                <w:lang w:val="en-US"/>
              </w:rPr>
              <w:t>i</w:t>
            </w:r>
            <w:r w:rsidRPr="00A01FC2">
              <w:t xml:space="preserve"> =1,0∑</w:t>
            </w:r>
            <w:r w:rsidR="00D71908" w:rsidRPr="00DE4021">
              <w:rPr>
                <w:lang w:val="en-US"/>
              </w:rPr>
              <w:t xml:space="preserve"> </w:t>
            </w:r>
            <w:r w:rsidR="00FE2A19" w:rsidRPr="00A01FC2">
              <w:t>∑</w:t>
            </w:r>
            <w:r w:rsidRPr="00DE4021">
              <w:rPr>
                <w:lang w:val="en-US"/>
              </w:rPr>
              <w:t>P</w:t>
            </w:r>
            <w:r w:rsidRPr="00DE4021">
              <w:rPr>
                <w:vertAlign w:val="subscript"/>
                <w:lang w:val="en-US"/>
              </w:rPr>
              <w:t>i</w:t>
            </w:r>
            <w:r w:rsidRPr="00A01FC2">
              <w:t>=3,79</w:t>
            </w:r>
          </w:p>
        </w:tc>
      </w:tr>
      <w:tr w:rsidR="00984707" w:rsidRPr="00DE4021" w:rsidTr="00DE4021">
        <w:trPr>
          <w:trHeight w:val="379"/>
          <w:jc w:val="center"/>
        </w:trPr>
        <w:tc>
          <w:tcPr>
            <w:tcW w:w="9654" w:type="dxa"/>
            <w:gridSpan w:val="7"/>
            <w:shd w:val="clear" w:color="auto" w:fill="auto"/>
          </w:tcPr>
          <w:p w:rsidR="00984707" w:rsidRPr="00A01FC2" w:rsidRDefault="00984707" w:rsidP="00B62CF6">
            <w:pPr>
              <w:pStyle w:val="11"/>
            </w:pPr>
            <w:r w:rsidRPr="00A01FC2">
              <w:t>Политические факторы</w:t>
            </w:r>
          </w:p>
        </w:tc>
      </w:tr>
      <w:tr w:rsidR="00984707" w:rsidRPr="00DE4021" w:rsidTr="00DE4021">
        <w:trPr>
          <w:jc w:val="center"/>
        </w:trPr>
        <w:tc>
          <w:tcPr>
            <w:tcW w:w="648" w:type="dxa"/>
            <w:shd w:val="clear" w:color="auto" w:fill="auto"/>
          </w:tcPr>
          <w:p w:rsidR="00984707" w:rsidRPr="00A01FC2" w:rsidRDefault="00984707" w:rsidP="00B62CF6">
            <w:pPr>
              <w:pStyle w:val="11"/>
            </w:pPr>
            <w:r w:rsidRPr="00A01FC2">
              <w:t>1</w:t>
            </w:r>
          </w:p>
        </w:tc>
        <w:tc>
          <w:tcPr>
            <w:tcW w:w="2700" w:type="dxa"/>
            <w:shd w:val="clear" w:color="auto" w:fill="auto"/>
          </w:tcPr>
          <w:p w:rsidR="00984707" w:rsidRPr="00A01FC2" w:rsidRDefault="00984707" w:rsidP="00B62CF6">
            <w:pPr>
              <w:pStyle w:val="11"/>
            </w:pPr>
            <w:r w:rsidRPr="00A01FC2">
              <w:t>госсектор в здравоохранении</w:t>
            </w:r>
          </w:p>
        </w:tc>
        <w:tc>
          <w:tcPr>
            <w:tcW w:w="900" w:type="dxa"/>
            <w:shd w:val="clear" w:color="auto" w:fill="auto"/>
          </w:tcPr>
          <w:p w:rsidR="00984707" w:rsidRPr="00A01FC2" w:rsidRDefault="00984707" w:rsidP="00B62CF6">
            <w:pPr>
              <w:pStyle w:val="11"/>
            </w:pPr>
            <w:r w:rsidRPr="00A01FC2">
              <w:t>2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984707" w:rsidRPr="00A01FC2" w:rsidRDefault="00984707" w:rsidP="00B62CF6">
            <w:pPr>
              <w:pStyle w:val="11"/>
            </w:pPr>
            <w:r w:rsidRPr="00A01FC2">
              <w:t>0,0667</w:t>
            </w:r>
          </w:p>
        </w:tc>
        <w:tc>
          <w:tcPr>
            <w:tcW w:w="1260" w:type="dxa"/>
            <w:shd w:val="clear" w:color="auto" w:fill="auto"/>
          </w:tcPr>
          <w:p w:rsidR="00984707" w:rsidRPr="00A01FC2" w:rsidRDefault="00984707" w:rsidP="00B62CF6">
            <w:pPr>
              <w:pStyle w:val="11"/>
            </w:pPr>
            <w:r w:rsidRPr="00A01FC2">
              <w:t>0,133</w:t>
            </w:r>
          </w:p>
        </w:tc>
        <w:tc>
          <w:tcPr>
            <w:tcW w:w="1260" w:type="dxa"/>
            <w:shd w:val="clear" w:color="auto" w:fill="auto"/>
          </w:tcPr>
          <w:p w:rsidR="00984707" w:rsidRPr="00A01FC2" w:rsidRDefault="00984707" w:rsidP="00B62CF6">
            <w:pPr>
              <w:pStyle w:val="11"/>
            </w:pPr>
            <w:r w:rsidRPr="00A01FC2">
              <w:t>5</w:t>
            </w:r>
          </w:p>
        </w:tc>
        <w:tc>
          <w:tcPr>
            <w:tcW w:w="1626" w:type="dxa"/>
            <w:shd w:val="clear" w:color="auto" w:fill="auto"/>
          </w:tcPr>
          <w:p w:rsidR="00984707" w:rsidRPr="00A01FC2" w:rsidRDefault="00984707" w:rsidP="00B62CF6">
            <w:pPr>
              <w:pStyle w:val="11"/>
            </w:pPr>
            <w:r w:rsidRPr="00A01FC2">
              <w:t>0,665</w:t>
            </w:r>
          </w:p>
        </w:tc>
      </w:tr>
      <w:tr w:rsidR="00984707" w:rsidRPr="00DE4021" w:rsidTr="00DE4021">
        <w:trPr>
          <w:trHeight w:val="709"/>
          <w:jc w:val="center"/>
        </w:trPr>
        <w:tc>
          <w:tcPr>
            <w:tcW w:w="648" w:type="dxa"/>
            <w:shd w:val="clear" w:color="auto" w:fill="auto"/>
          </w:tcPr>
          <w:p w:rsidR="00984707" w:rsidRPr="00A01FC2" w:rsidRDefault="00984707" w:rsidP="00B62CF6">
            <w:pPr>
              <w:pStyle w:val="11"/>
            </w:pPr>
            <w:r w:rsidRPr="00A01FC2">
              <w:t>2</w:t>
            </w:r>
          </w:p>
        </w:tc>
        <w:tc>
          <w:tcPr>
            <w:tcW w:w="2700" w:type="dxa"/>
            <w:shd w:val="clear" w:color="auto" w:fill="auto"/>
          </w:tcPr>
          <w:p w:rsidR="00984707" w:rsidRPr="00A01FC2" w:rsidRDefault="00984707" w:rsidP="00B62CF6">
            <w:pPr>
              <w:pStyle w:val="11"/>
            </w:pPr>
            <w:r w:rsidRPr="00A01FC2">
              <w:t xml:space="preserve">децентрализация финансирования здравоохранения </w:t>
            </w:r>
          </w:p>
        </w:tc>
        <w:tc>
          <w:tcPr>
            <w:tcW w:w="900" w:type="dxa"/>
            <w:shd w:val="clear" w:color="auto" w:fill="auto"/>
          </w:tcPr>
          <w:p w:rsidR="00984707" w:rsidRPr="00A01FC2" w:rsidRDefault="00984707" w:rsidP="00B62CF6">
            <w:pPr>
              <w:pStyle w:val="11"/>
            </w:pPr>
            <w:r w:rsidRPr="00A01FC2">
              <w:t>1</w:t>
            </w:r>
          </w:p>
        </w:tc>
        <w:tc>
          <w:tcPr>
            <w:tcW w:w="1260" w:type="dxa"/>
            <w:vMerge/>
            <w:shd w:val="clear" w:color="auto" w:fill="auto"/>
          </w:tcPr>
          <w:p w:rsidR="00984707" w:rsidRPr="00A01FC2" w:rsidRDefault="00984707" w:rsidP="00B62CF6">
            <w:pPr>
              <w:pStyle w:val="11"/>
            </w:pPr>
          </w:p>
        </w:tc>
        <w:tc>
          <w:tcPr>
            <w:tcW w:w="1260" w:type="dxa"/>
            <w:shd w:val="clear" w:color="auto" w:fill="auto"/>
          </w:tcPr>
          <w:p w:rsidR="00984707" w:rsidRPr="00A01FC2" w:rsidRDefault="00984707" w:rsidP="00B62CF6">
            <w:pPr>
              <w:pStyle w:val="11"/>
            </w:pPr>
            <w:r w:rsidRPr="00A01FC2">
              <w:t>0,067</w:t>
            </w:r>
          </w:p>
        </w:tc>
        <w:tc>
          <w:tcPr>
            <w:tcW w:w="1260" w:type="dxa"/>
            <w:shd w:val="clear" w:color="auto" w:fill="auto"/>
          </w:tcPr>
          <w:p w:rsidR="00984707" w:rsidRPr="00A01FC2" w:rsidRDefault="00984707" w:rsidP="00B62CF6">
            <w:pPr>
              <w:pStyle w:val="11"/>
            </w:pPr>
            <w:r w:rsidRPr="00A01FC2">
              <w:t>5</w:t>
            </w:r>
          </w:p>
        </w:tc>
        <w:tc>
          <w:tcPr>
            <w:tcW w:w="1626" w:type="dxa"/>
            <w:shd w:val="clear" w:color="auto" w:fill="auto"/>
          </w:tcPr>
          <w:p w:rsidR="00984707" w:rsidRPr="00A01FC2" w:rsidRDefault="00984707" w:rsidP="00B62CF6">
            <w:pPr>
              <w:pStyle w:val="11"/>
            </w:pPr>
            <w:r w:rsidRPr="00A01FC2">
              <w:t>0,335</w:t>
            </w:r>
          </w:p>
        </w:tc>
      </w:tr>
      <w:tr w:rsidR="00984707" w:rsidRPr="00DE4021" w:rsidTr="00DE4021">
        <w:trPr>
          <w:jc w:val="center"/>
        </w:trPr>
        <w:tc>
          <w:tcPr>
            <w:tcW w:w="648" w:type="dxa"/>
            <w:shd w:val="clear" w:color="auto" w:fill="auto"/>
          </w:tcPr>
          <w:p w:rsidR="00984707" w:rsidRPr="00A01FC2" w:rsidRDefault="00984707" w:rsidP="00B62CF6">
            <w:pPr>
              <w:pStyle w:val="11"/>
            </w:pPr>
            <w:r w:rsidRPr="00A01FC2">
              <w:t>3</w:t>
            </w:r>
          </w:p>
        </w:tc>
        <w:tc>
          <w:tcPr>
            <w:tcW w:w="2700" w:type="dxa"/>
            <w:shd w:val="clear" w:color="auto" w:fill="auto"/>
          </w:tcPr>
          <w:p w:rsidR="00984707" w:rsidRPr="00A01FC2" w:rsidRDefault="00984707" w:rsidP="00B62CF6">
            <w:pPr>
              <w:pStyle w:val="11"/>
            </w:pPr>
            <w:r w:rsidRPr="00A01FC2">
              <w:t>расходы государства на здравоохранение</w:t>
            </w:r>
          </w:p>
        </w:tc>
        <w:tc>
          <w:tcPr>
            <w:tcW w:w="900" w:type="dxa"/>
            <w:shd w:val="clear" w:color="auto" w:fill="auto"/>
          </w:tcPr>
          <w:p w:rsidR="00984707" w:rsidRPr="00A01FC2" w:rsidRDefault="00984707" w:rsidP="00B62CF6">
            <w:pPr>
              <w:pStyle w:val="11"/>
            </w:pPr>
            <w:r w:rsidRPr="00A01FC2">
              <w:t>5</w:t>
            </w:r>
          </w:p>
        </w:tc>
        <w:tc>
          <w:tcPr>
            <w:tcW w:w="1260" w:type="dxa"/>
            <w:vMerge/>
            <w:shd w:val="clear" w:color="auto" w:fill="auto"/>
          </w:tcPr>
          <w:p w:rsidR="00984707" w:rsidRPr="00A01FC2" w:rsidRDefault="00984707" w:rsidP="00B62CF6">
            <w:pPr>
              <w:pStyle w:val="11"/>
            </w:pPr>
          </w:p>
        </w:tc>
        <w:tc>
          <w:tcPr>
            <w:tcW w:w="1260" w:type="dxa"/>
            <w:shd w:val="clear" w:color="auto" w:fill="auto"/>
          </w:tcPr>
          <w:p w:rsidR="00984707" w:rsidRPr="00A01FC2" w:rsidRDefault="00984707" w:rsidP="00B62CF6">
            <w:pPr>
              <w:pStyle w:val="11"/>
            </w:pPr>
            <w:r w:rsidRPr="00A01FC2">
              <w:t>0,334</w:t>
            </w:r>
          </w:p>
        </w:tc>
        <w:tc>
          <w:tcPr>
            <w:tcW w:w="1260" w:type="dxa"/>
            <w:shd w:val="clear" w:color="auto" w:fill="auto"/>
          </w:tcPr>
          <w:p w:rsidR="00984707" w:rsidRPr="00A01FC2" w:rsidRDefault="00984707" w:rsidP="00B62CF6">
            <w:pPr>
              <w:pStyle w:val="11"/>
            </w:pPr>
            <w:r w:rsidRPr="00A01FC2">
              <w:t>5</w:t>
            </w:r>
          </w:p>
        </w:tc>
        <w:tc>
          <w:tcPr>
            <w:tcW w:w="1626" w:type="dxa"/>
            <w:shd w:val="clear" w:color="auto" w:fill="auto"/>
          </w:tcPr>
          <w:p w:rsidR="00984707" w:rsidRPr="00A01FC2" w:rsidRDefault="00984707" w:rsidP="00B62CF6">
            <w:pPr>
              <w:pStyle w:val="11"/>
            </w:pPr>
            <w:r w:rsidRPr="00A01FC2">
              <w:t>1,67</w:t>
            </w:r>
          </w:p>
        </w:tc>
      </w:tr>
      <w:tr w:rsidR="00984707" w:rsidRPr="00DE4021" w:rsidTr="00DE4021">
        <w:trPr>
          <w:jc w:val="center"/>
        </w:trPr>
        <w:tc>
          <w:tcPr>
            <w:tcW w:w="648" w:type="dxa"/>
            <w:shd w:val="clear" w:color="auto" w:fill="auto"/>
          </w:tcPr>
          <w:p w:rsidR="00984707" w:rsidRPr="00A01FC2" w:rsidRDefault="00984707" w:rsidP="00B62CF6">
            <w:pPr>
              <w:pStyle w:val="11"/>
            </w:pPr>
            <w:r w:rsidRPr="00A01FC2">
              <w:t>4</w:t>
            </w:r>
          </w:p>
        </w:tc>
        <w:tc>
          <w:tcPr>
            <w:tcW w:w="2700" w:type="dxa"/>
            <w:shd w:val="clear" w:color="auto" w:fill="auto"/>
          </w:tcPr>
          <w:p w:rsidR="00984707" w:rsidRPr="00A01FC2" w:rsidRDefault="00984707" w:rsidP="00B62CF6">
            <w:pPr>
              <w:pStyle w:val="11"/>
            </w:pPr>
            <w:r w:rsidRPr="00A01FC2">
              <w:t>внешнеполитический нейтралитет</w:t>
            </w:r>
          </w:p>
        </w:tc>
        <w:tc>
          <w:tcPr>
            <w:tcW w:w="900" w:type="dxa"/>
            <w:shd w:val="clear" w:color="auto" w:fill="auto"/>
          </w:tcPr>
          <w:p w:rsidR="00984707" w:rsidRPr="00A01FC2" w:rsidRDefault="00984707" w:rsidP="00B62CF6">
            <w:pPr>
              <w:pStyle w:val="11"/>
            </w:pPr>
            <w:r w:rsidRPr="00A01FC2">
              <w:t>3</w:t>
            </w:r>
          </w:p>
        </w:tc>
        <w:tc>
          <w:tcPr>
            <w:tcW w:w="1260" w:type="dxa"/>
            <w:vMerge/>
            <w:shd w:val="clear" w:color="auto" w:fill="auto"/>
          </w:tcPr>
          <w:p w:rsidR="00984707" w:rsidRPr="00A01FC2" w:rsidRDefault="00984707" w:rsidP="00B62CF6">
            <w:pPr>
              <w:pStyle w:val="11"/>
            </w:pPr>
          </w:p>
        </w:tc>
        <w:tc>
          <w:tcPr>
            <w:tcW w:w="1260" w:type="dxa"/>
            <w:shd w:val="clear" w:color="auto" w:fill="auto"/>
          </w:tcPr>
          <w:p w:rsidR="00984707" w:rsidRPr="00A01FC2" w:rsidRDefault="00984707" w:rsidP="00B62CF6">
            <w:pPr>
              <w:pStyle w:val="11"/>
            </w:pPr>
            <w:r w:rsidRPr="00A01FC2">
              <w:t>0,200</w:t>
            </w:r>
          </w:p>
        </w:tc>
        <w:tc>
          <w:tcPr>
            <w:tcW w:w="1260" w:type="dxa"/>
            <w:shd w:val="clear" w:color="auto" w:fill="auto"/>
          </w:tcPr>
          <w:p w:rsidR="00984707" w:rsidRPr="00A01FC2" w:rsidRDefault="00984707" w:rsidP="00B62CF6">
            <w:pPr>
              <w:pStyle w:val="11"/>
            </w:pPr>
            <w:r w:rsidRPr="00A01FC2">
              <w:t>5</w:t>
            </w:r>
          </w:p>
        </w:tc>
        <w:tc>
          <w:tcPr>
            <w:tcW w:w="1626" w:type="dxa"/>
            <w:shd w:val="clear" w:color="auto" w:fill="auto"/>
          </w:tcPr>
          <w:p w:rsidR="00984707" w:rsidRPr="00A01FC2" w:rsidRDefault="00984707" w:rsidP="00B62CF6">
            <w:pPr>
              <w:pStyle w:val="11"/>
            </w:pPr>
            <w:r w:rsidRPr="00A01FC2">
              <w:t>1,00</w:t>
            </w:r>
          </w:p>
        </w:tc>
      </w:tr>
      <w:tr w:rsidR="00984707" w:rsidRPr="00DE4021" w:rsidTr="00DE4021">
        <w:trPr>
          <w:jc w:val="center"/>
        </w:trPr>
        <w:tc>
          <w:tcPr>
            <w:tcW w:w="648" w:type="dxa"/>
            <w:shd w:val="clear" w:color="auto" w:fill="auto"/>
          </w:tcPr>
          <w:p w:rsidR="00984707" w:rsidRPr="00A01FC2" w:rsidRDefault="00984707" w:rsidP="00B62CF6">
            <w:pPr>
              <w:pStyle w:val="11"/>
            </w:pPr>
            <w:r w:rsidRPr="00A01FC2">
              <w:t>5</w:t>
            </w:r>
          </w:p>
        </w:tc>
        <w:tc>
          <w:tcPr>
            <w:tcW w:w="2700" w:type="dxa"/>
            <w:shd w:val="clear" w:color="auto" w:fill="auto"/>
          </w:tcPr>
          <w:p w:rsidR="00984707" w:rsidRPr="00A01FC2" w:rsidRDefault="00984707" w:rsidP="00B62CF6">
            <w:pPr>
              <w:pStyle w:val="11"/>
            </w:pPr>
            <w:r w:rsidRPr="00A01FC2">
              <w:t>политическая стабильность</w:t>
            </w:r>
          </w:p>
        </w:tc>
        <w:tc>
          <w:tcPr>
            <w:tcW w:w="900" w:type="dxa"/>
            <w:shd w:val="clear" w:color="auto" w:fill="auto"/>
          </w:tcPr>
          <w:p w:rsidR="00984707" w:rsidRPr="00A01FC2" w:rsidRDefault="00984707" w:rsidP="00B62CF6">
            <w:pPr>
              <w:pStyle w:val="11"/>
            </w:pPr>
            <w:r w:rsidRPr="00A01FC2">
              <w:t>4</w:t>
            </w:r>
          </w:p>
        </w:tc>
        <w:tc>
          <w:tcPr>
            <w:tcW w:w="1260" w:type="dxa"/>
            <w:vMerge/>
            <w:shd w:val="clear" w:color="auto" w:fill="auto"/>
          </w:tcPr>
          <w:p w:rsidR="00984707" w:rsidRPr="00A01FC2" w:rsidRDefault="00984707" w:rsidP="00B62CF6">
            <w:pPr>
              <w:pStyle w:val="11"/>
            </w:pPr>
          </w:p>
        </w:tc>
        <w:tc>
          <w:tcPr>
            <w:tcW w:w="1260" w:type="dxa"/>
            <w:shd w:val="clear" w:color="auto" w:fill="auto"/>
          </w:tcPr>
          <w:p w:rsidR="00984707" w:rsidRPr="00A01FC2" w:rsidRDefault="00984707" w:rsidP="00B62CF6">
            <w:pPr>
              <w:pStyle w:val="11"/>
            </w:pPr>
            <w:r w:rsidRPr="00A01FC2">
              <w:t>0,267</w:t>
            </w:r>
          </w:p>
        </w:tc>
        <w:tc>
          <w:tcPr>
            <w:tcW w:w="1260" w:type="dxa"/>
            <w:shd w:val="clear" w:color="auto" w:fill="auto"/>
          </w:tcPr>
          <w:p w:rsidR="00984707" w:rsidRPr="00A01FC2" w:rsidRDefault="00984707" w:rsidP="00B62CF6">
            <w:pPr>
              <w:pStyle w:val="11"/>
            </w:pPr>
            <w:r w:rsidRPr="00A01FC2">
              <w:t>5</w:t>
            </w:r>
          </w:p>
        </w:tc>
        <w:tc>
          <w:tcPr>
            <w:tcW w:w="1626" w:type="dxa"/>
            <w:shd w:val="clear" w:color="auto" w:fill="auto"/>
          </w:tcPr>
          <w:p w:rsidR="00984707" w:rsidRPr="00A01FC2" w:rsidRDefault="00984707" w:rsidP="00B62CF6">
            <w:pPr>
              <w:pStyle w:val="11"/>
            </w:pPr>
            <w:r w:rsidRPr="00A01FC2">
              <w:t>1,334</w:t>
            </w:r>
          </w:p>
        </w:tc>
      </w:tr>
      <w:tr w:rsidR="00984707" w:rsidRPr="00DE4021" w:rsidTr="00DE4021">
        <w:trPr>
          <w:jc w:val="center"/>
        </w:trPr>
        <w:tc>
          <w:tcPr>
            <w:tcW w:w="9654" w:type="dxa"/>
            <w:gridSpan w:val="7"/>
            <w:shd w:val="clear" w:color="auto" w:fill="auto"/>
          </w:tcPr>
          <w:p w:rsidR="00984707" w:rsidRPr="00A01FC2" w:rsidRDefault="00984707" w:rsidP="00B62CF6">
            <w:pPr>
              <w:pStyle w:val="11"/>
            </w:pPr>
            <w:r w:rsidRPr="00A01FC2">
              <w:t>∑</w:t>
            </w:r>
            <w:r w:rsidRPr="00DE4021">
              <w:rPr>
                <w:lang w:val="en-US"/>
              </w:rPr>
              <w:t xml:space="preserve"> W</w:t>
            </w:r>
            <w:r w:rsidRPr="00DE4021">
              <w:rPr>
                <w:vertAlign w:val="subscript"/>
                <w:lang w:val="en-US"/>
              </w:rPr>
              <w:t>i</w:t>
            </w:r>
            <w:r w:rsidRPr="00A01FC2">
              <w:t xml:space="preserve"> =1,0∑</w:t>
            </w:r>
            <w:r w:rsidR="00D71908" w:rsidRPr="00DE4021">
              <w:rPr>
                <w:lang w:val="en-US"/>
              </w:rPr>
              <w:t xml:space="preserve"> </w:t>
            </w:r>
            <w:r w:rsidR="00FE2A19" w:rsidRPr="00A01FC2">
              <w:t>∑</w:t>
            </w:r>
            <w:r w:rsidRPr="00DE4021">
              <w:rPr>
                <w:lang w:val="en-US"/>
              </w:rPr>
              <w:t>P</w:t>
            </w:r>
            <w:r w:rsidRPr="00DE4021">
              <w:rPr>
                <w:vertAlign w:val="subscript"/>
                <w:lang w:val="en-US"/>
              </w:rPr>
              <w:t>i</w:t>
            </w:r>
            <w:r w:rsidRPr="00A01FC2">
              <w:t>=5,00</w:t>
            </w:r>
          </w:p>
        </w:tc>
      </w:tr>
    </w:tbl>
    <w:p w:rsidR="001958C3" w:rsidRPr="00A01FC2" w:rsidRDefault="001958C3" w:rsidP="00D71908">
      <w:pPr>
        <w:overflowPunct/>
        <w:autoSpaceDE/>
        <w:autoSpaceDN/>
        <w:adjustRightInd/>
        <w:spacing w:line="360" w:lineRule="auto"/>
        <w:ind w:firstLine="709"/>
        <w:jc w:val="both"/>
        <w:textAlignment w:val="auto"/>
        <w:rPr>
          <w:bCs/>
          <w:sz w:val="28"/>
          <w:szCs w:val="28"/>
        </w:rPr>
      </w:pPr>
    </w:p>
    <w:p w:rsidR="00D71908" w:rsidRPr="00A01FC2" w:rsidRDefault="00576ECC" w:rsidP="00D7190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bidi="he-IL"/>
        </w:rPr>
      </w:pPr>
      <w:r w:rsidRPr="00A01FC2">
        <w:rPr>
          <w:sz w:val="28"/>
          <w:szCs w:val="28"/>
          <w:lang w:bidi="he-IL"/>
        </w:rPr>
        <w:t>Из Таблицы 6 видно, что наибольшее значение сводного п</w:t>
      </w:r>
      <w:r w:rsidR="00D54767" w:rsidRPr="00A01FC2">
        <w:rPr>
          <w:sz w:val="28"/>
          <w:szCs w:val="28"/>
          <w:lang w:bidi="he-IL"/>
        </w:rPr>
        <w:t>араметрическо</w:t>
      </w:r>
      <w:r w:rsidRPr="00A01FC2">
        <w:rPr>
          <w:sz w:val="28"/>
          <w:szCs w:val="28"/>
          <w:lang w:bidi="he-IL"/>
        </w:rPr>
        <w:t xml:space="preserve">го индекса имеют политические факторы, среди которых наиболее </w:t>
      </w:r>
      <w:r w:rsidR="006620A6" w:rsidRPr="00A01FC2">
        <w:rPr>
          <w:sz w:val="28"/>
          <w:szCs w:val="28"/>
          <w:lang w:bidi="he-IL"/>
        </w:rPr>
        <w:t>существенным</w:t>
      </w:r>
      <w:r w:rsidR="00CD297E" w:rsidRPr="00A01FC2">
        <w:rPr>
          <w:sz w:val="28"/>
          <w:szCs w:val="28"/>
          <w:lang w:bidi="he-IL"/>
        </w:rPr>
        <w:t>и</w:t>
      </w:r>
      <w:r w:rsidR="006620A6" w:rsidRPr="00A01FC2">
        <w:rPr>
          <w:sz w:val="28"/>
          <w:szCs w:val="28"/>
          <w:lang w:bidi="he-IL"/>
        </w:rPr>
        <w:t xml:space="preserve"> явля</w:t>
      </w:r>
      <w:r w:rsidR="00CD297E" w:rsidRPr="00A01FC2">
        <w:rPr>
          <w:sz w:val="28"/>
          <w:szCs w:val="28"/>
          <w:lang w:bidi="he-IL"/>
        </w:rPr>
        <w:t>ю</w:t>
      </w:r>
      <w:r w:rsidRPr="00A01FC2">
        <w:rPr>
          <w:sz w:val="28"/>
          <w:szCs w:val="28"/>
          <w:lang w:bidi="he-IL"/>
        </w:rPr>
        <w:t xml:space="preserve">тся </w:t>
      </w:r>
      <w:r w:rsidR="00CD297E" w:rsidRPr="00A01FC2">
        <w:rPr>
          <w:sz w:val="28"/>
          <w:szCs w:val="28"/>
          <w:lang w:bidi="he-IL"/>
        </w:rPr>
        <w:t>«</w:t>
      </w:r>
      <w:r w:rsidRPr="00A01FC2">
        <w:rPr>
          <w:sz w:val="28"/>
          <w:szCs w:val="28"/>
          <w:lang w:bidi="he-IL"/>
        </w:rPr>
        <w:t>доля государствен</w:t>
      </w:r>
      <w:r w:rsidR="006620A6" w:rsidRPr="00A01FC2">
        <w:rPr>
          <w:sz w:val="28"/>
          <w:szCs w:val="28"/>
          <w:lang w:bidi="he-IL"/>
        </w:rPr>
        <w:t>ных расходов на здравоохранение</w:t>
      </w:r>
      <w:r w:rsidR="00CD297E" w:rsidRPr="00A01FC2">
        <w:rPr>
          <w:sz w:val="28"/>
          <w:szCs w:val="28"/>
          <w:lang w:bidi="he-IL"/>
        </w:rPr>
        <w:t>»</w:t>
      </w:r>
      <w:r w:rsidR="00FE2A19" w:rsidRPr="00A01FC2">
        <w:rPr>
          <w:sz w:val="28"/>
          <w:szCs w:val="28"/>
          <w:lang w:bidi="he-IL"/>
        </w:rPr>
        <w:t xml:space="preserve">, а так же </w:t>
      </w:r>
      <w:r w:rsidR="00CD297E" w:rsidRPr="00A01FC2">
        <w:rPr>
          <w:sz w:val="28"/>
          <w:szCs w:val="28"/>
          <w:lang w:bidi="he-IL"/>
        </w:rPr>
        <w:t>«</w:t>
      </w:r>
      <w:r w:rsidR="00FE2A19" w:rsidRPr="00A01FC2">
        <w:rPr>
          <w:sz w:val="28"/>
          <w:szCs w:val="28"/>
          <w:lang w:bidi="he-IL"/>
        </w:rPr>
        <w:t>политическая стабильность в государстве</w:t>
      </w:r>
      <w:r w:rsidR="00CD297E" w:rsidRPr="00A01FC2">
        <w:rPr>
          <w:sz w:val="28"/>
          <w:szCs w:val="28"/>
          <w:lang w:bidi="he-IL"/>
        </w:rPr>
        <w:t>»</w:t>
      </w:r>
      <w:r w:rsidR="00FE2A19" w:rsidRPr="00A01FC2">
        <w:rPr>
          <w:sz w:val="28"/>
          <w:szCs w:val="28"/>
          <w:lang w:bidi="he-IL"/>
        </w:rPr>
        <w:t>.</w:t>
      </w:r>
    </w:p>
    <w:p w:rsidR="00CD297E" w:rsidRPr="00A01FC2" w:rsidRDefault="00FE2A19" w:rsidP="00D7190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bidi="he-IL"/>
        </w:rPr>
      </w:pPr>
      <w:r w:rsidRPr="00A01FC2">
        <w:rPr>
          <w:sz w:val="28"/>
          <w:szCs w:val="28"/>
          <w:lang w:bidi="he-IL"/>
        </w:rPr>
        <w:t xml:space="preserve">Немного меньшее значение сводного параметрического индекса имеет группа </w:t>
      </w:r>
      <w:r w:rsidR="00D54767" w:rsidRPr="00A01FC2">
        <w:rPr>
          <w:sz w:val="28"/>
          <w:szCs w:val="28"/>
          <w:lang w:bidi="he-IL"/>
        </w:rPr>
        <w:t>технологических</w:t>
      </w:r>
      <w:r w:rsidRPr="00A01FC2">
        <w:rPr>
          <w:sz w:val="28"/>
          <w:szCs w:val="28"/>
          <w:lang w:bidi="he-IL"/>
        </w:rPr>
        <w:t xml:space="preserve"> факторов.</w:t>
      </w:r>
      <w:r w:rsidR="00D54767" w:rsidRPr="00A01FC2">
        <w:rPr>
          <w:sz w:val="28"/>
          <w:szCs w:val="28"/>
          <w:lang w:bidi="he-IL"/>
        </w:rPr>
        <w:t xml:space="preserve"> Следует отметить, что значение</w:t>
      </w:r>
      <w:r w:rsidR="00CD297E" w:rsidRPr="00A01FC2">
        <w:rPr>
          <w:sz w:val="28"/>
          <w:szCs w:val="28"/>
          <w:lang w:bidi="he-IL"/>
        </w:rPr>
        <w:t xml:space="preserve"> параметрического индекса имеет фактор «квалификация кадров», по своей величине он превзошел индексы</w:t>
      </w:r>
      <w:r w:rsidR="00D71908" w:rsidRPr="00A01FC2">
        <w:rPr>
          <w:sz w:val="28"/>
          <w:szCs w:val="28"/>
          <w:lang w:bidi="he-IL"/>
        </w:rPr>
        <w:t xml:space="preserve"> </w:t>
      </w:r>
      <w:r w:rsidR="00CD297E" w:rsidRPr="00A01FC2">
        <w:rPr>
          <w:sz w:val="28"/>
          <w:szCs w:val="28"/>
          <w:lang w:bidi="he-IL"/>
        </w:rPr>
        <w:t>всех других анализируемых факторов.</w:t>
      </w:r>
      <w:r w:rsidRPr="00A01FC2">
        <w:rPr>
          <w:sz w:val="28"/>
          <w:szCs w:val="28"/>
          <w:lang w:bidi="he-IL"/>
        </w:rPr>
        <w:t xml:space="preserve"> </w:t>
      </w:r>
      <w:r w:rsidR="00CD297E" w:rsidRPr="00A01FC2">
        <w:rPr>
          <w:sz w:val="28"/>
          <w:szCs w:val="28"/>
          <w:lang w:bidi="he-IL"/>
        </w:rPr>
        <w:t>Так же немаловажен и фактор «научные исследования».</w:t>
      </w:r>
    </w:p>
    <w:p w:rsidR="00B62CF6" w:rsidRDefault="00FE2A19" w:rsidP="00D7190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bidi="he-IL"/>
        </w:rPr>
      </w:pPr>
      <w:r w:rsidRPr="00A01FC2">
        <w:rPr>
          <w:sz w:val="28"/>
          <w:szCs w:val="28"/>
          <w:lang w:bidi="he-IL"/>
        </w:rPr>
        <w:t xml:space="preserve">Среди </w:t>
      </w:r>
      <w:r w:rsidR="00D54767" w:rsidRPr="00A01FC2">
        <w:rPr>
          <w:sz w:val="28"/>
          <w:szCs w:val="28"/>
          <w:lang w:bidi="he-IL"/>
        </w:rPr>
        <w:t>группы социальных факторов</w:t>
      </w:r>
      <w:r w:rsidR="00D71908" w:rsidRPr="00A01FC2">
        <w:rPr>
          <w:sz w:val="28"/>
          <w:szCs w:val="28"/>
          <w:lang w:bidi="he-IL"/>
        </w:rPr>
        <w:t xml:space="preserve"> </w:t>
      </w:r>
      <w:r w:rsidRPr="00A01FC2">
        <w:rPr>
          <w:sz w:val="28"/>
          <w:szCs w:val="28"/>
          <w:lang w:bidi="he-IL"/>
        </w:rPr>
        <w:t xml:space="preserve">выделяются такие показатели как </w:t>
      </w:r>
      <w:r w:rsidR="00CD297E" w:rsidRPr="00A01FC2">
        <w:rPr>
          <w:sz w:val="28"/>
          <w:szCs w:val="28"/>
          <w:lang w:bidi="he-IL"/>
        </w:rPr>
        <w:t>«</w:t>
      </w:r>
      <w:r w:rsidRPr="00A01FC2">
        <w:rPr>
          <w:sz w:val="28"/>
          <w:szCs w:val="28"/>
          <w:lang w:bidi="he-IL"/>
        </w:rPr>
        <w:t>высокие расходы на душу населения на лекарственные препараты</w:t>
      </w:r>
      <w:r w:rsidR="00CD297E" w:rsidRPr="00A01FC2">
        <w:rPr>
          <w:sz w:val="28"/>
          <w:szCs w:val="28"/>
          <w:lang w:bidi="he-IL"/>
        </w:rPr>
        <w:t>»</w:t>
      </w:r>
      <w:r w:rsidRPr="00A01FC2">
        <w:rPr>
          <w:sz w:val="28"/>
          <w:szCs w:val="28"/>
          <w:lang w:bidi="he-IL"/>
        </w:rPr>
        <w:t xml:space="preserve"> и </w:t>
      </w:r>
      <w:r w:rsidR="00CD297E" w:rsidRPr="00A01FC2">
        <w:rPr>
          <w:sz w:val="28"/>
          <w:szCs w:val="28"/>
          <w:lang w:bidi="he-IL"/>
        </w:rPr>
        <w:t>«</w:t>
      </w:r>
      <w:r w:rsidRPr="00A01FC2">
        <w:rPr>
          <w:sz w:val="28"/>
          <w:szCs w:val="28"/>
          <w:lang w:bidi="he-IL"/>
        </w:rPr>
        <w:t>всеобщая доступность медицинской помощи</w:t>
      </w:r>
      <w:r w:rsidR="00CD297E" w:rsidRPr="00A01FC2">
        <w:rPr>
          <w:sz w:val="28"/>
          <w:szCs w:val="28"/>
          <w:lang w:bidi="he-IL"/>
        </w:rPr>
        <w:t>»</w:t>
      </w:r>
      <w:r w:rsidRPr="00A01FC2">
        <w:rPr>
          <w:sz w:val="28"/>
          <w:szCs w:val="28"/>
          <w:lang w:bidi="he-IL"/>
        </w:rPr>
        <w:t>.</w:t>
      </w:r>
      <w:r w:rsidR="00D54767" w:rsidRPr="00A01FC2">
        <w:rPr>
          <w:sz w:val="28"/>
          <w:szCs w:val="28"/>
          <w:lang w:bidi="he-IL"/>
        </w:rPr>
        <w:t xml:space="preserve"> Из экономических факторов можно выделить ориентированность экономики на внешнюю торговлю ведь значение параметрического индекса этого фактора сопоставимо по величине с таким социальным фактором как значительные расходы на лекарственные препараты.</w:t>
      </w:r>
    </w:p>
    <w:p w:rsidR="00984707" w:rsidRPr="00A01FC2" w:rsidRDefault="00D71908" w:rsidP="00D71908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  <w:lang w:bidi="he-IL"/>
        </w:rPr>
      </w:pPr>
      <w:r w:rsidRPr="00A01FC2">
        <w:rPr>
          <w:sz w:val="28"/>
          <w:szCs w:val="28"/>
          <w:lang w:bidi="he-IL"/>
        </w:rPr>
        <w:br w:type="page"/>
      </w:r>
      <w:r w:rsidR="00CD297E" w:rsidRPr="00A01FC2">
        <w:rPr>
          <w:b/>
          <w:sz w:val="28"/>
          <w:szCs w:val="28"/>
          <w:lang w:bidi="he-IL"/>
        </w:rPr>
        <w:t>Заключение</w:t>
      </w:r>
    </w:p>
    <w:p w:rsidR="00D71908" w:rsidRPr="00A01FC2" w:rsidRDefault="00D71908" w:rsidP="00D71908">
      <w:pPr>
        <w:spacing w:line="360" w:lineRule="auto"/>
        <w:ind w:firstLine="709"/>
        <w:jc w:val="both"/>
        <w:rPr>
          <w:sz w:val="28"/>
          <w:szCs w:val="28"/>
        </w:rPr>
      </w:pPr>
    </w:p>
    <w:p w:rsidR="003E4DF6" w:rsidRPr="00A01FC2" w:rsidRDefault="00CD297E" w:rsidP="00D71908">
      <w:pPr>
        <w:spacing w:line="360" w:lineRule="auto"/>
        <w:ind w:firstLine="709"/>
        <w:jc w:val="both"/>
        <w:rPr>
          <w:sz w:val="28"/>
          <w:szCs w:val="28"/>
        </w:rPr>
      </w:pPr>
      <w:r w:rsidRPr="00A01FC2">
        <w:rPr>
          <w:sz w:val="28"/>
          <w:szCs w:val="28"/>
        </w:rPr>
        <w:t xml:space="preserve">Швеция выделяется среди других стран высокими экономическими и социальными достижениями. По объему социальных услуг эта страна занимает одно из первых мест в мире. По уровню жизни она опережает почти все государства мира. В связи со становлением Швеции как одного из самых развитых в социально-экономическом отношении государств, возник термин “шведская модель”. </w:t>
      </w:r>
      <w:r w:rsidR="00815056" w:rsidRPr="00A01FC2">
        <w:rPr>
          <w:sz w:val="28"/>
          <w:szCs w:val="28"/>
        </w:rPr>
        <w:t xml:space="preserve">Эта страна так же </w:t>
      </w:r>
      <w:r w:rsidRPr="00A01FC2">
        <w:rPr>
          <w:sz w:val="28"/>
          <w:szCs w:val="28"/>
        </w:rPr>
        <w:t>занимает одно из первых мест в мире по внешнеторговому обороту, приходящемуся на каждого жителя. Это относится как к экспорту, так и к импорту.</w:t>
      </w:r>
      <w:r w:rsidR="00B766E4" w:rsidRPr="00A01FC2">
        <w:rPr>
          <w:sz w:val="28"/>
          <w:szCs w:val="28"/>
        </w:rPr>
        <w:t xml:space="preserve"> </w:t>
      </w:r>
      <w:r w:rsidR="003E4DF6" w:rsidRPr="00A01FC2">
        <w:rPr>
          <w:sz w:val="28"/>
          <w:szCs w:val="28"/>
        </w:rPr>
        <w:t>Все расходы на здравоохранение в Швеции на себя берет государство, при чем рас</w:t>
      </w:r>
      <w:r w:rsidR="00B766E4" w:rsidRPr="00A01FC2">
        <w:rPr>
          <w:sz w:val="28"/>
          <w:szCs w:val="28"/>
        </w:rPr>
        <w:t>ходы эти довольно</w:t>
      </w:r>
      <w:r w:rsidR="003E4DF6" w:rsidRPr="00A01FC2">
        <w:rPr>
          <w:sz w:val="28"/>
          <w:szCs w:val="28"/>
        </w:rPr>
        <w:t xml:space="preserve"> значительные.</w:t>
      </w:r>
      <w:r w:rsidR="00C967AD" w:rsidRPr="00A01FC2">
        <w:rPr>
          <w:sz w:val="28"/>
          <w:szCs w:val="28"/>
        </w:rPr>
        <w:t xml:space="preserve"> </w:t>
      </w:r>
    </w:p>
    <w:p w:rsidR="00B766E4" w:rsidRPr="00A01FC2" w:rsidRDefault="00B766E4" w:rsidP="00D71908">
      <w:pPr>
        <w:overflowPunct/>
        <w:autoSpaceDE/>
        <w:autoSpaceDN/>
        <w:adjustRightInd/>
        <w:spacing w:line="360" w:lineRule="auto"/>
        <w:ind w:firstLine="709"/>
        <w:jc w:val="both"/>
        <w:textAlignment w:val="auto"/>
        <w:rPr>
          <w:sz w:val="28"/>
          <w:szCs w:val="28"/>
        </w:rPr>
      </w:pPr>
      <w:r w:rsidRPr="00A01FC2">
        <w:rPr>
          <w:sz w:val="28"/>
          <w:szCs w:val="28"/>
        </w:rPr>
        <w:t>Если изучать факторы, оказывающие влияние на развитие фарминдустрии страны, то среди социальных факторах можно выделить: гарантированную высококачественную медицинскую помощь населению</w:t>
      </w:r>
      <w:r w:rsidR="00470323" w:rsidRPr="00A01FC2">
        <w:rPr>
          <w:sz w:val="28"/>
          <w:szCs w:val="28"/>
        </w:rPr>
        <w:t>,</w:t>
      </w:r>
      <w:r w:rsidRPr="00A01FC2">
        <w:rPr>
          <w:sz w:val="28"/>
          <w:szCs w:val="28"/>
        </w:rPr>
        <w:t xml:space="preserve"> </w:t>
      </w:r>
      <w:r w:rsidR="00470323" w:rsidRPr="00A01FC2">
        <w:rPr>
          <w:sz w:val="28"/>
          <w:szCs w:val="28"/>
        </w:rPr>
        <w:t>большие расходы</w:t>
      </w:r>
      <w:r w:rsidRPr="00A01FC2">
        <w:rPr>
          <w:sz w:val="28"/>
          <w:szCs w:val="28"/>
        </w:rPr>
        <w:t xml:space="preserve"> на лекарственные препараты</w:t>
      </w:r>
      <w:r w:rsidR="00470323" w:rsidRPr="00A01FC2">
        <w:rPr>
          <w:sz w:val="28"/>
          <w:szCs w:val="28"/>
        </w:rPr>
        <w:t>, растущую</w:t>
      </w:r>
      <w:r w:rsidRPr="00A01FC2">
        <w:rPr>
          <w:sz w:val="28"/>
          <w:szCs w:val="28"/>
        </w:rPr>
        <w:t xml:space="preserve"> рождаемость, выс</w:t>
      </w:r>
      <w:r w:rsidR="00470323" w:rsidRPr="00A01FC2">
        <w:rPr>
          <w:sz w:val="28"/>
          <w:szCs w:val="28"/>
        </w:rPr>
        <w:t xml:space="preserve">окую доля лиц пожилого возраста, высокую среднюю продолжительность жизни, высокий уровень жизни, равенство доходов населения, </w:t>
      </w:r>
      <w:r w:rsidRPr="00A01FC2">
        <w:rPr>
          <w:sz w:val="28"/>
          <w:szCs w:val="28"/>
        </w:rPr>
        <w:t>высокую социальную защищенность всех граждан.</w:t>
      </w:r>
    </w:p>
    <w:p w:rsidR="00B766E4" w:rsidRPr="00A01FC2" w:rsidRDefault="00B766E4" w:rsidP="00D71908">
      <w:pPr>
        <w:overflowPunct/>
        <w:autoSpaceDE/>
        <w:autoSpaceDN/>
        <w:adjustRightInd/>
        <w:spacing w:line="360" w:lineRule="auto"/>
        <w:ind w:firstLine="709"/>
        <w:jc w:val="both"/>
        <w:textAlignment w:val="auto"/>
        <w:rPr>
          <w:sz w:val="28"/>
          <w:szCs w:val="28"/>
        </w:rPr>
      </w:pPr>
      <w:r w:rsidRPr="00A01FC2">
        <w:rPr>
          <w:sz w:val="28"/>
          <w:szCs w:val="28"/>
        </w:rPr>
        <w:t>И</w:t>
      </w:r>
      <w:r w:rsidR="00470323" w:rsidRPr="00A01FC2">
        <w:rPr>
          <w:sz w:val="28"/>
          <w:szCs w:val="28"/>
        </w:rPr>
        <w:t>з технологических факторов имеют</w:t>
      </w:r>
      <w:r w:rsidRPr="00A01FC2">
        <w:rPr>
          <w:sz w:val="28"/>
          <w:szCs w:val="28"/>
        </w:rPr>
        <w:t xml:space="preserve"> значение высокая квалификация фармацевтического персонала предприятий, многочисленные научные </w:t>
      </w:r>
      <w:r w:rsidR="00470323" w:rsidRPr="00A01FC2">
        <w:rPr>
          <w:sz w:val="28"/>
          <w:szCs w:val="28"/>
        </w:rPr>
        <w:t>исследования в области фармации,</w:t>
      </w:r>
      <w:r w:rsidRPr="00A01FC2">
        <w:rPr>
          <w:sz w:val="28"/>
          <w:szCs w:val="28"/>
        </w:rPr>
        <w:t xml:space="preserve"> </w:t>
      </w:r>
      <w:r w:rsidR="00470323" w:rsidRPr="00A01FC2">
        <w:rPr>
          <w:sz w:val="28"/>
          <w:szCs w:val="28"/>
        </w:rPr>
        <w:t>большая доля рецептурных препаратов,</w:t>
      </w:r>
      <w:r w:rsidRPr="00A01FC2">
        <w:rPr>
          <w:sz w:val="28"/>
          <w:szCs w:val="28"/>
        </w:rPr>
        <w:t xml:space="preserve"> разрабатывают и </w:t>
      </w:r>
      <w:r w:rsidR="00470323" w:rsidRPr="00A01FC2">
        <w:rPr>
          <w:sz w:val="28"/>
          <w:szCs w:val="28"/>
        </w:rPr>
        <w:t>выпуск оригинальных лекарственных</w:t>
      </w:r>
      <w:r w:rsidRPr="00A01FC2">
        <w:rPr>
          <w:sz w:val="28"/>
          <w:szCs w:val="28"/>
        </w:rPr>
        <w:t xml:space="preserve"> п</w:t>
      </w:r>
      <w:r w:rsidR="00470323" w:rsidRPr="00A01FC2">
        <w:rPr>
          <w:sz w:val="28"/>
          <w:szCs w:val="28"/>
        </w:rPr>
        <w:t>репаратов</w:t>
      </w:r>
      <w:r w:rsidRPr="00A01FC2">
        <w:rPr>
          <w:sz w:val="28"/>
          <w:szCs w:val="28"/>
        </w:rPr>
        <w:t xml:space="preserve">. </w:t>
      </w:r>
    </w:p>
    <w:p w:rsidR="00B766E4" w:rsidRPr="00A01FC2" w:rsidRDefault="00B766E4" w:rsidP="00D71908">
      <w:pPr>
        <w:overflowPunct/>
        <w:autoSpaceDE/>
        <w:autoSpaceDN/>
        <w:adjustRightInd/>
        <w:spacing w:line="360" w:lineRule="auto"/>
        <w:ind w:firstLine="709"/>
        <w:jc w:val="both"/>
        <w:textAlignment w:val="auto"/>
        <w:rPr>
          <w:sz w:val="28"/>
          <w:szCs w:val="28"/>
        </w:rPr>
      </w:pPr>
      <w:r w:rsidRPr="00A01FC2">
        <w:rPr>
          <w:sz w:val="28"/>
          <w:szCs w:val="28"/>
        </w:rPr>
        <w:t xml:space="preserve">К экономическим факторам, оказывающим влияние на фармрынок Швеции, относятся полная занятость трудоспособного населения, </w:t>
      </w:r>
      <w:r w:rsidR="00470323" w:rsidRPr="00A01FC2">
        <w:rPr>
          <w:sz w:val="28"/>
          <w:szCs w:val="28"/>
        </w:rPr>
        <w:t xml:space="preserve">развитием предпринимательства, </w:t>
      </w:r>
      <w:r w:rsidRPr="00A01FC2">
        <w:rPr>
          <w:sz w:val="28"/>
          <w:szCs w:val="28"/>
        </w:rPr>
        <w:t>низкий уровень инфля</w:t>
      </w:r>
      <w:r w:rsidR="00470323" w:rsidRPr="00A01FC2">
        <w:rPr>
          <w:sz w:val="28"/>
          <w:szCs w:val="28"/>
        </w:rPr>
        <w:t>ции,</w:t>
      </w:r>
      <w:r w:rsidRPr="00A01FC2">
        <w:rPr>
          <w:sz w:val="28"/>
          <w:szCs w:val="28"/>
        </w:rPr>
        <w:t xml:space="preserve"> </w:t>
      </w:r>
      <w:r w:rsidR="00470323" w:rsidRPr="00A01FC2">
        <w:rPr>
          <w:sz w:val="28"/>
          <w:szCs w:val="28"/>
        </w:rPr>
        <w:t xml:space="preserve">ориентация экономики на экспорт, стабильный экономический рост, </w:t>
      </w:r>
      <w:r w:rsidRPr="00A01FC2">
        <w:rPr>
          <w:sz w:val="28"/>
          <w:szCs w:val="28"/>
        </w:rPr>
        <w:t>отсутствие льгот на налогообложение шведских предприятий предприятий.</w:t>
      </w:r>
    </w:p>
    <w:p w:rsidR="00B766E4" w:rsidRPr="00A01FC2" w:rsidRDefault="00470323" w:rsidP="00D71908">
      <w:pPr>
        <w:spacing w:line="360" w:lineRule="auto"/>
        <w:ind w:firstLine="709"/>
        <w:jc w:val="both"/>
        <w:rPr>
          <w:sz w:val="28"/>
          <w:szCs w:val="28"/>
        </w:rPr>
      </w:pPr>
      <w:r w:rsidRPr="00A01FC2">
        <w:rPr>
          <w:sz w:val="28"/>
          <w:szCs w:val="28"/>
        </w:rPr>
        <w:t>Из политических факторов: нейтралитет</w:t>
      </w:r>
      <w:r w:rsidR="00B766E4" w:rsidRPr="00A01FC2">
        <w:rPr>
          <w:sz w:val="28"/>
          <w:szCs w:val="28"/>
        </w:rPr>
        <w:t xml:space="preserve"> </w:t>
      </w:r>
      <w:r w:rsidRPr="00A01FC2">
        <w:rPr>
          <w:sz w:val="28"/>
          <w:szCs w:val="28"/>
        </w:rPr>
        <w:t>во внешнеполитических вопросах, политическая</w:t>
      </w:r>
      <w:r w:rsidR="00B766E4" w:rsidRPr="00A01FC2">
        <w:rPr>
          <w:sz w:val="28"/>
          <w:szCs w:val="28"/>
        </w:rPr>
        <w:t xml:space="preserve"> стабильность</w:t>
      </w:r>
      <w:r w:rsidRPr="00A01FC2">
        <w:rPr>
          <w:sz w:val="28"/>
          <w:szCs w:val="28"/>
        </w:rPr>
        <w:t xml:space="preserve">, </w:t>
      </w:r>
      <w:r w:rsidR="00B766E4" w:rsidRPr="00A01FC2">
        <w:rPr>
          <w:sz w:val="28"/>
          <w:szCs w:val="28"/>
        </w:rPr>
        <w:t>децентрализации финансирования здравоохранения</w:t>
      </w:r>
      <w:r w:rsidRPr="00A01FC2">
        <w:rPr>
          <w:sz w:val="28"/>
          <w:szCs w:val="28"/>
        </w:rPr>
        <w:t>, значительные расходы государства на здравоохранение</w:t>
      </w:r>
      <w:r w:rsidR="00B766E4" w:rsidRPr="00A01FC2">
        <w:rPr>
          <w:sz w:val="28"/>
          <w:szCs w:val="28"/>
        </w:rPr>
        <w:t xml:space="preserve"> </w:t>
      </w:r>
    </w:p>
    <w:p w:rsidR="00602071" w:rsidRPr="00A01FC2" w:rsidRDefault="00602071" w:rsidP="00D71908">
      <w:pPr>
        <w:spacing w:line="360" w:lineRule="auto"/>
        <w:ind w:firstLine="709"/>
        <w:jc w:val="both"/>
        <w:rPr>
          <w:sz w:val="28"/>
          <w:szCs w:val="28"/>
        </w:rPr>
      </w:pPr>
      <w:r w:rsidRPr="00A01FC2">
        <w:rPr>
          <w:sz w:val="28"/>
          <w:szCs w:val="28"/>
        </w:rPr>
        <w:t>Выводы:</w:t>
      </w:r>
    </w:p>
    <w:p w:rsidR="00C967AD" w:rsidRPr="00A01FC2" w:rsidRDefault="00602071" w:rsidP="00D71908">
      <w:pPr>
        <w:spacing w:line="360" w:lineRule="auto"/>
        <w:ind w:firstLine="709"/>
        <w:jc w:val="both"/>
        <w:rPr>
          <w:sz w:val="28"/>
          <w:szCs w:val="28"/>
        </w:rPr>
      </w:pPr>
      <w:r w:rsidRPr="00A01FC2">
        <w:rPr>
          <w:sz w:val="28"/>
          <w:szCs w:val="28"/>
        </w:rPr>
        <w:t>1.</w:t>
      </w:r>
      <w:r w:rsidR="0004534D" w:rsidRPr="00A01FC2">
        <w:rPr>
          <w:sz w:val="28"/>
          <w:szCs w:val="28"/>
        </w:rPr>
        <w:t>Фармрынок Швеции</w:t>
      </w:r>
      <w:r w:rsidR="00C967AD" w:rsidRPr="00A01FC2">
        <w:rPr>
          <w:sz w:val="28"/>
          <w:szCs w:val="28"/>
        </w:rPr>
        <w:t xml:space="preserve"> является стремительно развивающимся и перспективным</w:t>
      </w:r>
      <w:r w:rsidR="0004534D" w:rsidRPr="00A01FC2">
        <w:rPr>
          <w:sz w:val="28"/>
          <w:szCs w:val="28"/>
        </w:rPr>
        <w:t>. Фармацевтические компании этой страны имеют значительный вес на мировом фармрынке, уверенно удерживают свои позиции и непрерывно расширяются.</w:t>
      </w:r>
    </w:p>
    <w:p w:rsidR="0004534D" w:rsidRPr="00A01FC2" w:rsidRDefault="0004534D" w:rsidP="00D71908">
      <w:pPr>
        <w:spacing w:line="360" w:lineRule="auto"/>
        <w:ind w:firstLine="709"/>
        <w:jc w:val="both"/>
        <w:rPr>
          <w:sz w:val="28"/>
          <w:szCs w:val="28"/>
        </w:rPr>
      </w:pPr>
      <w:r w:rsidRPr="00A01FC2">
        <w:rPr>
          <w:sz w:val="28"/>
          <w:szCs w:val="28"/>
        </w:rPr>
        <w:t>2.</w:t>
      </w:r>
      <w:r w:rsidR="00771A06" w:rsidRPr="00A01FC2">
        <w:rPr>
          <w:sz w:val="28"/>
          <w:szCs w:val="28"/>
        </w:rPr>
        <w:t xml:space="preserve"> </w:t>
      </w:r>
      <w:r w:rsidR="00771A06" w:rsidRPr="00A01FC2">
        <w:rPr>
          <w:sz w:val="28"/>
          <w:szCs w:val="28"/>
          <w:lang w:val="en-US"/>
        </w:rPr>
        <w:t>STEP</w:t>
      </w:r>
      <w:r w:rsidR="00771A06" w:rsidRPr="00A01FC2">
        <w:rPr>
          <w:sz w:val="28"/>
          <w:szCs w:val="28"/>
        </w:rPr>
        <w:t xml:space="preserve">-анализ фармацевтического рынка страны показал, что наибольшее влияние на </w:t>
      </w:r>
      <w:r w:rsidR="00B766E4" w:rsidRPr="00A01FC2">
        <w:rPr>
          <w:sz w:val="28"/>
          <w:szCs w:val="28"/>
        </w:rPr>
        <w:t>него оказывает</w:t>
      </w:r>
      <w:r w:rsidR="00771A06" w:rsidRPr="00A01FC2">
        <w:rPr>
          <w:sz w:val="28"/>
          <w:szCs w:val="28"/>
        </w:rPr>
        <w:t xml:space="preserve"> наличие высококвалифицированного персонала на предприятиях, высокие расходы государства на здравоохранение, проведение многочисленных научных исследовани</w:t>
      </w:r>
      <w:r w:rsidR="00BF79E4" w:rsidRPr="00A01FC2">
        <w:rPr>
          <w:sz w:val="28"/>
          <w:szCs w:val="28"/>
        </w:rPr>
        <w:t>й в области медицины и фармации, ориентация экономики на внешнюю торговлю,</w:t>
      </w:r>
      <w:r w:rsidR="00B766E4" w:rsidRPr="00A01FC2">
        <w:rPr>
          <w:sz w:val="28"/>
          <w:szCs w:val="28"/>
        </w:rPr>
        <w:t xml:space="preserve"> высокие расходы на лекарственные препараты на душу населения, многолетняя политическая стабильность в стране и всеобщая доступность медицинской помощи.</w:t>
      </w:r>
    </w:p>
    <w:p w:rsidR="00C87931" w:rsidRPr="00A01FC2" w:rsidRDefault="00D71908" w:rsidP="00D71908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  <w:lang w:bidi="he-IL"/>
        </w:rPr>
      </w:pPr>
      <w:r w:rsidRPr="00A01FC2">
        <w:rPr>
          <w:b/>
          <w:sz w:val="28"/>
          <w:szCs w:val="28"/>
          <w:lang w:bidi="he-IL"/>
        </w:rPr>
        <w:br w:type="page"/>
      </w:r>
      <w:r w:rsidR="00DF7E37" w:rsidRPr="00A01FC2">
        <w:rPr>
          <w:b/>
          <w:sz w:val="28"/>
          <w:szCs w:val="28"/>
          <w:lang w:bidi="he-IL"/>
        </w:rPr>
        <w:t>Сп</w:t>
      </w:r>
      <w:r w:rsidR="00C87931" w:rsidRPr="00A01FC2">
        <w:rPr>
          <w:b/>
          <w:sz w:val="28"/>
          <w:szCs w:val="28"/>
          <w:lang w:bidi="he-IL"/>
        </w:rPr>
        <w:t xml:space="preserve">исок использованной литературы </w:t>
      </w:r>
    </w:p>
    <w:p w:rsidR="006620A6" w:rsidRPr="00A01FC2" w:rsidRDefault="006620A6" w:rsidP="00D7190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bidi="he-IL"/>
        </w:rPr>
      </w:pPr>
    </w:p>
    <w:p w:rsidR="00383EC6" w:rsidRPr="00A01FC2" w:rsidRDefault="008F32E8" w:rsidP="00B62CF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01FC2">
        <w:rPr>
          <w:sz w:val="28"/>
          <w:szCs w:val="28"/>
          <w:lang w:bidi="he-IL"/>
        </w:rPr>
        <w:t>1</w:t>
      </w:r>
      <w:r w:rsidR="000304B8" w:rsidRPr="00A01FC2">
        <w:rPr>
          <w:sz w:val="28"/>
          <w:szCs w:val="28"/>
          <w:lang w:bidi="he-IL"/>
        </w:rPr>
        <w:t xml:space="preserve"> </w:t>
      </w:r>
      <w:r w:rsidR="00D71908" w:rsidRPr="00A01FC2">
        <w:rPr>
          <w:sz w:val="28"/>
          <w:szCs w:val="28"/>
        </w:rPr>
        <w:t>Волков А.</w:t>
      </w:r>
      <w:r w:rsidR="00383EC6" w:rsidRPr="00A01FC2">
        <w:rPr>
          <w:sz w:val="28"/>
          <w:szCs w:val="28"/>
        </w:rPr>
        <w:t>М. Швеция: социально-экономическая модель. -М., 1991.-79с.</w:t>
      </w:r>
    </w:p>
    <w:p w:rsidR="008F32E8" w:rsidRPr="00A01FC2" w:rsidRDefault="00383EC6" w:rsidP="00B62CF6">
      <w:pPr>
        <w:overflowPunct/>
        <w:autoSpaceDE/>
        <w:autoSpaceDN/>
        <w:adjustRightInd/>
        <w:spacing w:line="360" w:lineRule="auto"/>
        <w:jc w:val="both"/>
        <w:textAlignment w:val="auto"/>
        <w:rPr>
          <w:sz w:val="28"/>
          <w:szCs w:val="28"/>
          <w:lang w:bidi="he-IL"/>
        </w:rPr>
      </w:pPr>
      <w:r w:rsidRPr="00A01FC2">
        <w:rPr>
          <w:sz w:val="28"/>
          <w:szCs w:val="28"/>
          <w:lang w:bidi="he-IL"/>
        </w:rPr>
        <w:t xml:space="preserve">2 </w:t>
      </w:r>
      <w:r w:rsidR="008F32E8" w:rsidRPr="00A01FC2">
        <w:rPr>
          <w:sz w:val="28"/>
          <w:szCs w:val="28"/>
          <w:lang w:bidi="he-IL"/>
        </w:rPr>
        <w:t>Доставка лекарств на дом. О производителях. Компания</w:t>
      </w:r>
      <w:r w:rsidR="008F32E8" w:rsidRPr="00A01FC2">
        <w:rPr>
          <w:b/>
          <w:sz w:val="28"/>
          <w:szCs w:val="28"/>
        </w:rPr>
        <w:t xml:space="preserve"> </w:t>
      </w:r>
      <w:r w:rsidR="008F32E8" w:rsidRPr="00A01FC2">
        <w:rPr>
          <w:sz w:val="28"/>
          <w:szCs w:val="28"/>
          <w:lang w:val="en-US"/>
        </w:rPr>
        <w:t>Pharmacia</w:t>
      </w:r>
      <w:r w:rsidR="008F32E8" w:rsidRPr="00A01FC2">
        <w:rPr>
          <w:sz w:val="28"/>
          <w:szCs w:val="28"/>
        </w:rPr>
        <w:t xml:space="preserve"> и ее препараты.</w:t>
      </w:r>
      <w:r w:rsidR="000304B8" w:rsidRPr="00A01FC2">
        <w:rPr>
          <w:sz w:val="28"/>
          <w:szCs w:val="28"/>
        </w:rPr>
        <w:t xml:space="preserve"> - Режим доступа:</w:t>
      </w:r>
      <w:r w:rsidR="00D71908" w:rsidRPr="00A01FC2">
        <w:rPr>
          <w:sz w:val="28"/>
          <w:szCs w:val="28"/>
        </w:rPr>
        <w:t xml:space="preserve"> </w:t>
      </w:r>
      <w:r w:rsidR="008F32E8" w:rsidRPr="00A01FC2">
        <w:rPr>
          <w:sz w:val="28"/>
          <w:szCs w:val="28"/>
          <w:lang w:val="en-US" w:bidi="he-IL"/>
        </w:rPr>
        <w:t>http</w:t>
      </w:r>
      <w:r w:rsidR="008F32E8" w:rsidRPr="00A01FC2">
        <w:rPr>
          <w:sz w:val="28"/>
          <w:szCs w:val="28"/>
          <w:lang w:bidi="he-IL"/>
        </w:rPr>
        <w:t>://</w:t>
      </w:r>
      <w:r w:rsidR="008F32E8" w:rsidRPr="00A01FC2">
        <w:rPr>
          <w:sz w:val="28"/>
          <w:szCs w:val="28"/>
          <w:lang w:val="en-US" w:bidi="he-IL"/>
        </w:rPr>
        <w:t>med</w:t>
      </w:r>
      <w:r w:rsidR="008F32E8" w:rsidRPr="00A01FC2">
        <w:rPr>
          <w:sz w:val="28"/>
          <w:szCs w:val="28"/>
          <w:lang w:bidi="he-IL"/>
        </w:rPr>
        <w:t>2</w:t>
      </w:r>
      <w:r w:rsidR="008F32E8" w:rsidRPr="00A01FC2">
        <w:rPr>
          <w:sz w:val="28"/>
          <w:szCs w:val="28"/>
          <w:lang w:val="en-US" w:bidi="he-IL"/>
        </w:rPr>
        <w:t>home</w:t>
      </w:r>
      <w:r w:rsidR="008F32E8" w:rsidRPr="00A01FC2">
        <w:rPr>
          <w:sz w:val="28"/>
          <w:szCs w:val="28"/>
          <w:lang w:bidi="he-IL"/>
        </w:rPr>
        <w:t>.</w:t>
      </w:r>
      <w:r w:rsidR="008F32E8" w:rsidRPr="00A01FC2">
        <w:rPr>
          <w:sz w:val="28"/>
          <w:szCs w:val="28"/>
          <w:lang w:val="en-US" w:bidi="he-IL"/>
        </w:rPr>
        <w:t>com</w:t>
      </w:r>
      <w:r w:rsidR="008F32E8" w:rsidRPr="00A01FC2">
        <w:rPr>
          <w:sz w:val="28"/>
          <w:szCs w:val="28"/>
          <w:lang w:bidi="he-IL"/>
        </w:rPr>
        <w:t>/</w:t>
      </w:r>
      <w:r w:rsidR="008F32E8" w:rsidRPr="00A01FC2">
        <w:rPr>
          <w:sz w:val="28"/>
          <w:szCs w:val="28"/>
          <w:lang w:val="en-US" w:bidi="he-IL"/>
        </w:rPr>
        <w:t>article</w:t>
      </w:r>
      <w:r w:rsidR="008F32E8" w:rsidRPr="00A01FC2">
        <w:rPr>
          <w:sz w:val="28"/>
          <w:szCs w:val="28"/>
          <w:lang w:bidi="he-IL"/>
        </w:rPr>
        <w:t>_</w:t>
      </w:r>
      <w:r w:rsidR="008F32E8" w:rsidRPr="00A01FC2">
        <w:rPr>
          <w:sz w:val="28"/>
          <w:szCs w:val="28"/>
          <w:lang w:val="en-US" w:bidi="he-IL"/>
        </w:rPr>
        <w:t>info</w:t>
      </w:r>
      <w:r w:rsidR="008F32E8" w:rsidRPr="00A01FC2">
        <w:rPr>
          <w:sz w:val="28"/>
          <w:szCs w:val="28"/>
          <w:lang w:bidi="he-IL"/>
        </w:rPr>
        <w:t>.</w:t>
      </w:r>
      <w:r w:rsidR="008F32E8" w:rsidRPr="00A01FC2">
        <w:rPr>
          <w:sz w:val="28"/>
          <w:szCs w:val="28"/>
          <w:lang w:val="en-US" w:bidi="he-IL"/>
        </w:rPr>
        <w:t>php</w:t>
      </w:r>
      <w:r w:rsidR="008F32E8" w:rsidRPr="00A01FC2">
        <w:rPr>
          <w:sz w:val="28"/>
          <w:szCs w:val="28"/>
          <w:lang w:bidi="he-IL"/>
        </w:rPr>
        <w:t>?</w:t>
      </w:r>
      <w:r w:rsidR="008F32E8" w:rsidRPr="00A01FC2">
        <w:rPr>
          <w:sz w:val="28"/>
          <w:szCs w:val="28"/>
          <w:lang w:val="en-US" w:bidi="he-IL"/>
        </w:rPr>
        <w:t>articles</w:t>
      </w:r>
      <w:r w:rsidR="008F32E8" w:rsidRPr="00A01FC2">
        <w:rPr>
          <w:sz w:val="28"/>
          <w:szCs w:val="28"/>
          <w:lang w:bidi="he-IL"/>
        </w:rPr>
        <w:t>_</w:t>
      </w:r>
      <w:r w:rsidR="008F32E8" w:rsidRPr="00A01FC2">
        <w:rPr>
          <w:sz w:val="28"/>
          <w:szCs w:val="28"/>
          <w:lang w:val="en-US" w:bidi="he-IL"/>
        </w:rPr>
        <w:t>id</w:t>
      </w:r>
      <w:r w:rsidR="008F32E8" w:rsidRPr="00A01FC2">
        <w:rPr>
          <w:sz w:val="28"/>
          <w:szCs w:val="28"/>
          <w:lang w:bidi="he-IL"/>
        </w:rPr>
        <w:t>=35</w:t>
      </w:r>
    </w:p>
    <w:p w:rsidR="00D71908" w:rsidRPr="00A01FC2" w:rsidRDefault="00383EC6" w:rsidP="00B62CF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01FC2">
        <w:rPr>
          <w:sz w:val="28"/>
          <w:szCs w:val="28"/>
        </w:rPr>
        <w:t>3</w:t>
      </w:r>
      <w:r w:rsidR="00576ECC" w:rsidRPr="00A01FC2">
        <w:rPr>
          <w:sz w:val="28"/>
          <w:szCs w:val="28"/>
        </w:rPr>
        <w:t xml:space="preserve"> </w:t>
      </w:r>
      <w:r w:rsidR="0058043F" w:rsidRPr="00A01FC2">
        <w:rPr>
          <w:sz w:val="28"/>
          <w:szCs w:val="28"/>
        </w:rPr>
        <w:t xml:space="preserve">Здравоохранение в </w:t>
      </w:r>
      <w:r w:rsidR="000304B8" w:rsidRPr="00A01FC2">
        <w:rPr>
          <w:sz w:val="28"/>
          <w:szCs w:val="28"/>
        </w:rPr>
        <w:t>Швеции.</w:t>
      </w:r>
      <w:r w:rsidR="00DF7E37" w:rsidRPr="00A01FC2">
        <w:rPr>
          <w:sz w:val="28"/>
          <w:szCs w:val="28"/>
        </w:rPr>
        <w:t xml:space="preserve"> </w:t>
      </w:r>
      <w:r w:rsidR="000304B8" w:rsidRPr="00A01FC2">
        <w:rPr>
          <w:sz w:val="28"/>
          <w:szCs w:val="28"/>
        </w:rPr>
        <w:t xml:space="preserve">- Режим доступа: </w:t>
      </w:r>
      <w:r w:rsidR="00576ECC" w:rsidRPr="00A01FC2">
        <w:rPr>
          <w:sz w:val="28"/>
          <w:szCs w:val="28"/>
        </w:rPr>
        <w:t xml:space="preserve">http://www.sweden.se/ru/Start/Work-live/Facts/Health-care/ </w:t>
      </w:r>
    </w:p>
    <w:p w:rsidR="00C2139A" w:rsidRPr="00A01FC2" w:rsidRDefault="00383EC6" w:rsidP="00B62CF6">
      <w:pPr>
        <w:pStyle w:val="2"/>
        <w:spacing w:before="0" w:after="0" w:line="360" w:lineRule="auto"/>
        <w:jc w:val="both"/>
        <w:rPr>
          <w:rFonts w:ascii="Times New Roman" w:hAnsi="Times New Roman" w:cs="Times New Roman"/>
          <w:b w:val="0"/>
          <w:i w:val="0"/>
        </w:rPr>
      </w:pPr>
      <w:r w:rsidRPr="00A01FC2">
        <w:rPr>
          <w:rFonts w:ascii="Times New Roman" w:hAnsi="Times New Roman" w:cs="Times New Roman"/>
          <w:b w:val="0"/>
          <w:i w:val="0"/>
        </w:rPr>
        <w:t>4</w:t>
      </w:r>
      <w:r w:rsidR="008F32E8" w:rsidRPr="00A01FC2">
        <w:rPr>
          <w:rFonts w:ascii="Times New Roman" w:hAnsi="Times New Roman" w:cs="Times New Roman"/>
          <w:b w:val="0"/>
          <w:i w:val="0"/>
        </w:rPr>
        <w:t xml:space="preserve"> </w:t>
      </w:r>
      <w:r w:rsidR="00DB4BBC" w:rsidRPr="00A01FC2">
        <w:rPr>
          <w:rFonts w:ascii="Times New Roman" w:hAnsi="Times New Roman" w:cs="Times New Roman"/>
          <w:b w:val="0"/>
          <w:i w:val="0"/>
        </w:rPr>
        <w:t>Музей «ХимРар»: История AstraZeneca</w:t>
      </w:r>
      <w:r w:rsidR="00A269AE" w:rsidRPr="00A01FC2">
        <w:rPr>
          <w:rFonts w:ascii="Times New Roman" w:hAnsi="Times New Roman" w:cs="Times New Roman"/>
          <w:b w:val="0"/>
          <w:i w:val="0"/>
        </w:rPr>
        <w:t>.</w:t>
      </w:r>
      <w:r w:rsidR="00DB4BBC" w:rsidRPr="00A01FC2">
        <w:rPr>
          <w:rFonts w:ascii="Times New Roman" w:hAnsi="Times New Roman" w:cs="Times New Roman"/>
          <w:b w:val="0"/>
          <w:i w:val="0"/>
        </w:rPr>
        <w:t xml:space="preserve"> </w:t>
      </w:r>
      <w:r w:rsidR="000304B8" w:rsidRPr="00A01FC2">
        <w:rPr>
          <w:rFonts w:ascii="Times New Roman" w:hAnsi="Times New Roman" w:cs="Times New Roman"/>
          <w:b w:val="0"/>
          <w:i w:val="0"/>
        </w:rPr>
        <w:t>- Режим доступа:</w:t>
      </w:r>
      <w:r w:rsidR="000304B8" w:rsidRPr="00A01FC2">
        <w:rPr>
          <w:rFonts w:ascii="Times New Roman" w:hAnsi="Times New Roman" w:cs="Times New Roman"/>
        </w:rPr>
        <w:t xml:space="preserve"> </w:t>
      </w:r>
      <w:r w:rsidR="00C2139A" w:rsidRPr="00A01FC2">
        <w:rPr>
          <w:rFonts w:ascii="Times New Roman" w:hAnsi="Times New Roman" w:cs="Times New Roman"/>
          <w:b w:val="0"/>
          <w:i w:val="0"/>
          <w:lang w:val="en-US"/>
        </w:rPr>
        <w:t>http</w:t>
      </w:r>
      <w:r w:rsidR="00C2139A" w:rsidRPr="00A01FC2">
        <w:rPr>
          <w:rFonts w:ascii="Times New Roman" w:hAnsi="Times New Roman" w:cs="Times New Roman"/>
          <w:b w:val="0"/>
          <w:i w:val="0"/>
        </w:rPr>
        <w:t>://</w:t>
      </w:r>
      <w:r w:rsidR="00C2139A" w:rsidRPr="00A01FC2">
        <w:rPr>
          <w:rFonts w:ascii="Times New Roman" w:hAnsi="Times New Roman" w:cs="Times New Roman"/>
          <w:b w:val="0"/>
          <w:i w:val="0"/>
          <w:lang w:val="en-US"/>
        </w:rPr>
        <w:t>pharmapractice</w:t>
      </w:r>
      <w:r w:rsidR="00C2139A" w:rsidRPr="00A01FC2">
        <w:rPr>
          <w:rFonts w:ascii="Times New Roman" w:hAnsi="Times New Roman" w:cs="Times New Roman"/>
          <w:b w:val="0"/>
          <w:i w:val="0"/>
        </w:rPr>
        <w:t>.</w:t>
      </w:r>
      <w:r w:rsidR="00C2139A" w:rsidRPr="00A01FC2">
        <w:rPr>
          <w:rFonts w:ascii="Times New Roman" w:hAnsi="Times New Roman" w:cs="Times New Roman"/>
          <w:b w:val="0"/>
          <w:i w:val="0"/>
          <w:lang w:val="en-US"/>
        </w:rPr>
        <w:t>ru</w:t>
      </w:r>
      <w:r w:rsidR="00C2139A" w:rsidRPr="00A01FC2">
        <w:rPr>
          <w:rFonts w:ascii="Times New Roman" w:hAnsi="Times New Roman" w:cs="Times New Roman"/>
          <w:b w:val="0"/>
          <w:i w:val="0"/>
        </w:rPr>
        <w:t>/33496</w:t>
      </w:r>
    </w:p>
    <w:p w:rsidR="007C674C" w:rsidRPr="00A01FC2" w:rsidRDefault="00383EC6" w:rsidP="00B62CF6">
      <w:pPr>
        <w:pStyle w:val="1"/>
        <w:spacing w:before="0" w:after="0" w:line="360" w:lineRule="auto"/>
        <w:jc w:val="both"/>
        <w:rPr>
          <w:rFonts w:ascii="Times New Roman" w:hAnsi="Times New Roman" w:cs="Times New Roman"/>
          <w:b w:val="0"/>
          <w:sz w:val="28"/>
          <w:szCs w:val="28"/>
          <w:lang w:bidi="he-IL"/>
        </w:rPr>
      </w:pPr>
      <w:r w:rsidRPr="00A01FC2">
        <w:rPr>
          <w:rFonts w:ascii="Times New Roman" w:hAnsi="Times New Roman" w:cs="Times New Roman"/>
          <w:b w:val="0"/>
          <w:sz w:val="28"/>
          <w:szCs w:val="28"/>
        </w:rPr>
        <w:t>5</w:t>
      </w:r>
      <w:r w:rsidR="000304B8" w:rsidRPr="00A01FC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636F2" w:rsidRPr="00020ACB">
        <w:rPr>
          <w:rFonts w:ascii="Times New Roman" w:hAnsi="Times New Roman" w:cs="Times New Roman"/>
          <w:b w:val="0"/>
          <w:sz w:val="28"/>
          <w:szCs w:val="28"/>
        </w:rPr>
        <w:t>Новости медицины</w:t>
      </w:r>
      <w:r w:rsidR="001636F2" w:rsidRPr="00A01FC2">
        <w:rPr>
          <w:rFonts w:ascii="Times New Roman" w:hAnsi="Times New Roman" w:cs="Times New Roman"/>
          <w:b w:val="0"/>
          <w:sz w:val="28"/>
          <w:szCs w:val="28"/>
        </w:rPr>
        <w:t xml:space="preserve"> и фармации от </w:t>
      </w:r>
      <w:r w:rsidR="001636F2" w:rsidRPr="00020ACB">
        <w:rPr>
          <w:rFonts w:ascii="Times New Roman" w:hAnsi="Times New Roman" w:cs="Times New Roman"/>
          <w:b w:val="0"/>
          <w:sz w:val="28"/>
          <w:szCs w:val="28"/>
        </w:rPr>
        <w:t>Ремедиум</w:t>
      </w:r>
      <w:r w:rsidR="001636F2" w:rsidRPr="00A01FC2">
        <w:rPr>
          <w:rFonts w:ascii="Times New Roman" w:hAnsi="Times New Roman" w:cs="Times New Roman"/>
          <w:b w:val="0"/>
          <w:sz w:val="28"/>
          <w:szCs w:val="28"/>
        </w:rPr>
        <w:t xml:space="preserve">. По данным </w:t>
      </w:r>
      <w:r w:rsidR="001636F2" w:rsidRPr="00A01FC2">
        <w:rPr>
          <w:rFonts w:ascii="Times New Roman" w:hAnsi="Times New Roman" w:cs="Times New Roman"/>
          <w:b w:val="0"/>
          <w:sz w:val="28"/>
          <w:szCs w:val="28"/>
          <w:lang w:val="en-US"/>
        </w:rPr>
        <w:t>BMI</w:t>
      </w:r>
      <w:r w:rsidR="001636F2" w:rsidRPr="00A01FC2">
        <w:rPr>
          <w:rFonts w:ascii="Times New Roman" w:hAnsi="Times New Roman" w:cs="Times New Roman"/>
          <w:b w:val="0"/>
          <w:sz w:val="28"/>
          <w:szCs w:val="28"/>
        </w:rPr>
        <w:t xml:space="preserve"> фармрынок Швеции весьма привлекателен.</w:t>
      </w:r>
      <w:r w:rsidR="000304B8" w:rsidRPr="00A01FC2">
        <w:rPr>
          <w:rFonts w:ascii="Times New Roman" w:hAnsi="Times New Roman" w:cs="Times New Roman"/>
          <w:sz w:val="28"/>
          <w:szCs w:val="28"/>
        </w:rPr>
        <w:t xml:space="preserve"> </w:t>
      </w:r>
      <w:r w:rsidR="000304B8" w:rsidRPr="00A01FC2">
        <w:rPr>
          <w:rFonts w:ascii="Times New Roman" w:hAnsi="Times New Roman" w:cs="Times New Roman"/>
          <w:b w:val="0"/>
          <w:sz w:val="28"/>
          <w:szCs w:val="28"/>
        </w:rPr>
        <w:t>- Режим доступа:</w:t>
      </w:r>
      <w:r w:rsidR="00D71908" w:rsidRPr="00A01FC2">
        <w:rPr>
          <w:rFonts w:ascii="Times New Roman" w:hAnsi="Times New Roman" w:cs="Times New Roman"/>
          <w:sz w:val="28"/>
          <w:szCs w:val="28"/>
        </w:rPr>
        <w:t xml:space="preserve"> </w:t>
      </w:r>
      <w:r w:rsidR="001636F2" w:rsidRPr="00A01FC2">
        <w:rPr>
          <w:rFonts w:ascii="Times New Roman" w:hAnsi="Times New Roman" w:cs="Times New Roman"/>
          <w:b w:val="0"/>
          <w:sz w:val="28"/>
          <w:szCs w:val="28"/>
          <w:lang w:val="en-US" w:bidi="he-IL"/>
        </w:rPr>
        <w:t>http</w:t>
      </w:r>
      <w:r w:rsidR="001636F2" w:rsidRPr="00A01FC2">
        <w:rPr>
          <w:rFonts w:ascii="Times New Roman" w:hAnsi="Times New Roman" w:cs="Times New Roman"/>
          <w:b w:val="0"/>
          <w:sz w:val="28"/>
          <w:szCs w:val="28"/>
          <w:lang w:bidi="he-IL"/>
        </w:rPr>
        <w:t>://</w:t>
      </w:r>
      <w:r w:rsidR="001636F2" w:rsidRPr="00A01FC2">
        <w:rPr>
          <w:rFonts w:ascii="Times New Roman" w:hAnsi="Times New Roman" w:cs="Times New Roman"/>
          <w:b w:val="0"/>
          <w:sz w:val="28"/>
          <w:szCs w:val="28"/>
          <w:lang w:val="en-US" w:bidi="he-IL"/>
        </w:rPr>
        <w:t>www</w:t>
      </w:r>
      <w:r w:rsidR="001636F2" w:rsidRPr="00A01FC2">
        <w:rPr>
          <w:rFonts w:ascii="Times New Roman" w:hAnsi="Times New Roman" w:cs="Times New Roman"/>
          <w:b w:val="0"/>
          <w:sz w:val="28"/>
          <w:szCs w:val="28"/>
          <w:lang w:bidi="he-IL"/>
        </w:rPr>
        <w:t>.</w:t>
      </w:r>
      <w:r w:rsidR="001636F2" w:rsidRPr="00A01FC2">
        <w:rPr>
          <w:rFonts w:ascii="Times New Roman" w:hAnsi="Times New Roman" w:cs="Times New Roman"/>
          <w:b w:val="0"/>
          <w:sz w:val="28"/>
          <w:szCs w:val="28"/>
          <w:lang w:val="en-US" w:bidi="he-IL"/>
        </w:rPr>
        <w:t>remedium</w:t>
      </w:r>
      <w:r w:rsidR="001636F2" w:rsidRPr="00A01FC2">
        <w:rPr>
          <w:rFonts w:ascii="Times New Roman" w:hAnsi="Times New Roman" w:cs="Times New Roman"/>
          <w:b w:val="0"/>
          <w:sz w:val="28"/>
          <w:szCs w:val="28"/>
          <w:lang w:bidi="he-IL"/>
        </w:rPr>
        <w:t>.</w:t>
      </w:r>
      <w:r w:rsidR="001636F2" w:rsidRPr="00A01FC2">
        <w:rPr>
          <w:rFonts w:ascii="Times New Roman" w:hAnsi="Times New Roman" w:cs="Times New Roman"/>
          <w:b w:val="0"/>
          <w:sz w:val="28"/>
          <w:szCs w:val="28"/>
          <w:lang w:val="en-US" w:bidi="he-IL"/>
        </w:rPr>
        <w:t>ru</w:t>
      </w:r>
      <w:r w:rsidR="001636F2" w:rsidRPr="00A01FC2">
        <w:rPr>
          <w:rFonts w:ascii="Times New Roman" w:hAnsi="Times New Roman" w:cs="Times New Roman"/>
          <w:b w:val="0"/>
          <w:sz w:val="28"/>
          <w:szCs w:val="28"/>
          <w:lang w:bidi="he-IL"/>
        </w:rPr>
        <w:t>/</w:t>
      </w:r>
      <w:r w:rsidR="001636F2" w:rsidRPr="00A01FC2">
        <w:rPr>
          <w:rFonts w:ascii="Times New Roman" w:hAnsi="Times New Roman" w:cs="Times New Roman"/>
          <w:b w:val="0"/>
          <w:sz w:val="28"/>
          <w:szCs w:val="28"/>
          <w:lang w:val="en-US" w:bidi="he-IL"/>
        </w:rPr>
        <w:t>news</w:t>
      </w:r>
      <w:r w:rsidR="001636F2" w:rsidRPr="00A01FC2">
        <w:rPr>
          <w:rFonts w:ascii="Times New Roman" w:hAnsi="Times New Roman" w:cs="Times New Roman"/>
          <w:b w:val="0"/>
          <w:sz w:val="28"/>
          <w:szCs w:val="28"/>
          <w:lang w:bidi="he-IL"/>
        </w:rPr>
        <w:t>/</w:t>
      </w:r>
      <w:r w:rsidR="001636F2" w:rsidRPr="00A01FC2">
        <w:rPr>
          <w:rFonts w:ascii="Times New Roman" w:hAnsi="Times New Roman" w:cs="Times New Roman"/>
          <w:b w:val="0"/>
          <w:sz w:val="28"/>
          <w:szCs w:val="28"/>
          <w:lang w:val="en-US" w:bidi="he-IL"/>
        </w:rPr>
        <w:t>detail</w:t>
      </w:r>
      <w:r w:rsidR="001636F2" w:rsidRPr="00A01FC2">
        <w:rPr>
          <w:rFonts w:ascii="Times New Roman" w:hAnsi="Times New Roman" w:cs="Times New Roman"/>
          <w:b w:val="0"/>
          <w:sz w:val="28"/>
          <w:szCs w:val="28"/>
          <w:lang w:bidi="he-IL"/>
        </w:rPr>
        <w:t>.</w:t>
      </w:r>
      <w:r w:rsidR="001636F2" w:rsidRPr="00A01FC2">
        <w:rPr>
          <w:rFonts w:ascii="Times New Roman" w:hAnsi="Times New Roman" w:cs="Times New Roman"/>
          <w:b w:val="0"/>
          <w:sz w:val="28"/>
          <w:szCs w:val="28"/>
          <w:lang w:val="en-US" w:bidi="he-IL"/>
        </w:rPr>
        <w:t>php</w:t>
      </w:r>
      <w:r w:rsidR="001636F2" w:rsidRPr="00A01FC2">
        <w:rPr>
          <w:rFonts w:ascii="Times New Roman" w:hAnsi="Times New Roman" w:cs="Times New Roman"/>
          <w:b w:val="0"/>
          <w:sz w:val="28"/>
          <w:szCs w:val="28"/>
          <w:lang w:bidi="he-IL"/>
        </w:rPr>
        <w:t>?</w:t>
      </w:r>
      <w:r w:rsidR="001636F2" w:rsidRPr="00A01FC2">
        <w:rPr>
          <w:rFonts w:ascii="Times New Roman" w:hAnsi="Times New Roman" w:cs="Times New Roman"/>
          <w:b w:val="0"/>
          <w:sz w:val="28"/>
          <w:szCs w:val="28"/>
          <w:lang w:val="en-US" w:bidi="he-IL"/>
        </w:rPr>
        <w:t>ID</w:t>
      </w:r>
      <w:r w:rsidR="001636F2" w:rsidRPr="00A01FC2">
        <w:rPr>
          <w:rFonts w:ascii="Times New Roman" w:hAnsi="Times New Roman" w:cs="Times New Roman"/>
          <w:b w:val="0"/>
          <w:sz w:val="28"/>
          <w:szCs w:val="28"/>
          <w:lang w:bidi="he-IL"/>
        </w:rPr>
        <w:t>=38480</w:t>
      </w:r>
    </w:p>
    <w:p w:rsidR="007C674C" w:rsidRPr="00A01FC2" w:rsidRDefault="00383EC6" w:rsidP="00B62CF6">
      <w:pPr>
        <w:pStyle w:val="2"/>
        <w:spacing w:before="0" w:after="0" w:line="360" w:lineRule="auto"/>
        <w:jc w:val="both"/>
        <w:rPr>
          <w:rFonts w:ascii="Times New Roman" w:hAnsi="Times New Roman" w:cs="Times New Roman"/>
          <w:b w:val="0"/>
          <w:i w:val="0"/>
        </w:rPr>
      </w:pPr>
      <w:r w:rsidRPr="00A01FC2">
        <w:rPr>
          <w:rFonts w:ascii="Times New Roman" w:hAnsi="Times New Roman" w:cs="Times New Roman"/>
          <w:b w:val="0"/>
          <w:i w:val="0"/>
        </w:rPr>
        <w:t xml:space="preserve">6 </w:t>
      </w:r>
      <w:r w:rsidR="00A269AE" w:rsidRPr="00A01FC2">
        <w:rPr>
          <w:rFonts w:ascii="Times New Roman" w:hAnsi="Times New Roman" w:cs="Times New Roman"/>
          <w:b w:val="0"/>
          <w:i w:val="0"/>
        </w:rPr>
        <w:t>Отраслевые новости</w:t>
      </w:r>
      <w:r w:rsidR="00A269AE" w:rsidRPr="00A01FC2">
        <w:rPr>
          <w:rFonts w:ascii="Times New Roman" w:hAnsi="Times New Roman" w:cs="Times New Roman"/>
        </w:rPr>
        <w:t xml:space="preserve"> </w:t>
      </w:r>
      <w:r w:rsidR="00A269AE" w:rsidRPr="00A01FC2">
        <w:rPr>
          <w:rFonts w:ascii="Times New Roman" w:hAnsi="Times New Roman" w:cs="Times New Roman"/>
          <w:b w:val="0"/>
          <w:i w:val="0"/>
        </w:rPr>
        <w:t xml:space="preserve">- Abercade. </w:t>
      </w:r>
      <w:r w:rsidR="007C674C" w:rsidRPr="00A01FC2">
        <w:rPr>
          <w:rFonts w:ascii="Times New Roman" w:hAnsi="Times New Roman" w:cs="Times New Roman"/>
          <w:b w:val="0"/>
          <w:i w:val="0"/>
        </w:rPr>
        <w:t>Фармрынок Швеции будет расти при с</w:t>
      </w:r>
      <w:r w:rsidR="000304B8" w:rsidRPr="00A01FC2">
        <w:rPr>
          <w:rFonts w:ascii="Times New Roman" w:hAnsi="Times New Roman" w:cs="Times New Roman"/>
          <w:b w:val="0"/>
          <w:i w:val="0"/>
        </w:rPr>
        <w:t xml:space="preserve">реднегодовом темпе роста в 2.9%. - Режим доступа: </w:t>
      </w:r>
      <w:r w:rsidR="007C674C" w:rsidRPr="00A01FC2">
        <w:rPr>
          <w:rFonts w:ascii="Times New Roman" w:hAnsi="Times New Roman" w:cs="Times New Roman"/>
          <w:b w:val="0"/>
          <w:i w:val="0"/>
        </w:rPr>
        <w:t>http://www.abercade.ru/research/industrynews/4457.html</w:t>
      </w:r>
    </w:p>
    <w:p w:rsidR="00383EC6" w:rsidRPr="00A01FC2" w:rsidRDefault="00383EC6" w:rsidP="00B62CF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01FC2">
        <w:rPr>
          <w:rStyle w:val="a7"/>
          <w:b w:val="0"/>
          <w:sz w:val="28"/>
          <w:szCs w:val="28"/>
        </w:rPr>
        <w:t>7 Производитель и государство. Опыт разных стран. Швеция. Интервью Стефана Вокстрема, главы представительства компании «АстраЗенека» в Украине.</w:t>
      </w:r>
      <w:r w:rsidRPr="00A01FC2">
        <w:rPr>
          <w:sz w:val="28"/>
          <w:szCs w:val="28"/>
        </w:rPr>
        <w:t xml:space="preserve"> - Режим доступа: </w:t>
      </w:r>
      <w:r w:rsidRPr="00020ACB">
        <w:rPr>
          <w:sz w:val="28"/>
          <w:szCs w:val="28"/>
        </w:rPr>
        <w:t>http://www.panacea.org</w:t>
      </w:r>
    </w:p>
    <w:p w:rsidR="001D103E" w:rsidRPr="00A01FC2" w:rsidRDefault="00383EC6" w:rsidP="00B62CF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01FC2">
        <w:rPr>
          <w:sz w:val="28"/>
          <w:szCs w:val="28"/>
        </w:rPr>
        <w:t>8</w:t>
      </w:r>
      <w:r w:rsidR="006F1885" w:rsidRPr="00A01FC2">
        <w:rPr>
          <w:sz w:val="28"/>
          <w:szCs w:val="28"/>
        </w:rPr>
        <w:t xml:space="preserve"> </w:t>
      </w:r>
      <w:r w:rsidR="000304B8" w:rsidRPr="00A01FC2">
        <w:rPr>
          <w:sz w:val="28"/>
          <w:szCs w:val="28"/>
        </w:rPr>
        <w:t>СТЕП</w:t>
      </w:r>
      <w:r w:rsidR="009800D0" w:rsidRPr="00A01FC2">
        <w:rPr>
          <w:sz w:val="28"/>
          <w:szCs w:val="28"/>
        </w:rPr>
        <w:t>-анализ</w:t>
      </w:r>
      <w:r w:rsidR="000304B8" w:rsidRPr="00A01FC2">
        <w:rPr>
          <w:sz w:val="28"/>
          <w:szCs w:val="28"/>
        </w:rPr>
        <w:t>.</w:t>
      </w:r>
      <w:r w:rsidR="009800D0" w:rsidRPr="00A01FC2">
        <w:rPr>
          <w:sz w:val="28"/>
          <w:szCs w:val="28"/>
        </w:rPr>
        <w:t xml:space="preserve"> </w:t>
      </w:r>
      <w:r w:rsidR="000304B8" w:rsidRPr="00A01FC2">
        <w:rPr>
          <w:sz w:val="28"/>
          <w:szCs w:val="28"/>
        </w:rPr>
        <w:t xml:space="preserve">- Режим доступа: </w:t>
      </w:r>
      <w:r w:rsidR="009800D0" w:rsidRPr="00A01FC2">
        <w:rPr>
          <w:sz w:val="28"/>
          <w:szCs w:val="28"/>
          <w:lang w:bidi="he-IL"/>
        </w:rPr>
        <w:t>http://www.semestr.ru/ks11111</w:t>
      </w:r>
      <w:r w:rsidR="001D103E" w:rsidRPr="00A01FC2">
        <w:rPr>
          <w:sz w:val="28"/>
          <w:szCs w:val="28"/>
        </w:rPr>
        <w:t xml:space="preserve"> </w:t>
      </w:r>
    </w:p>
    <w:p w:rsidR="001D103E" w:rsidRPr="00A01FC2" w:rsidRDefault="00383EC6" w:rsidP="00B62CF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01FC2">
        <w:rPr>
          <w:sz w:val="28"/>
          <w:szCs w:val="28"/>
        </w:rPr>
        <w:t>9</w:t>
      </w:r>
      <w:r w:rsidR="00F15163" w:rsidRPr="00A01FC2">
        <w:rPr>
          <w:sz w:val="28"/>
          <w:szCs w:val="28"/>
        </w:rPr>
        <w:t xml:space="preserve"> </w:t>
      </w:r>
      <w:r w:rsidR="001D103E" w:rsidRPr="00A01FC2">
        <w:rPr>
          <w:sz w:val="28"/>
          <w:szCs w:val="28"/>
        </w:rPr>
        <w:t>СТЕП-анализ в стратегическом менеджменте</w:t>
      </w:r>
      <w:r w:rsidR="000304B8" w:rsidRPr="00A01FC2">
        <w:rPr>
          <w:sz w:val="28"/>
          <w:szCs w:val="28"/>
        </w:rPr>
        <w:t>.</w:t>
      </w:r>
      <w:r w:rsidR="001D103E" w:rsidRPr="00A01FC2">
        <w:rPr>
          <w:sz w:val="28"/>
          <w:szCs w:val="28"/>
        </w:rPr>
        <w:t xml:space="preserve"> </w:t>
      </w:r>
      <w:r w:rsidR="000304B8" w:rsidRPr="00A01FC2">
        <w:rPr>
          <w:sz w:val="28"/>
          <w:szCs w:val="28"/>
        </w:rPr>
        <w:t xml:space="preserve">- Режим доступа: </w:t>
      </w:r>
      <w:r w:rsidR="001D103E" w:rsidRPr="00A01FC2">
        <w:rPr>
          <w:sz w:val="28"/>
          <w:szCs w:val="28"/>
        </w:rPr>
        <w:t>http://noveco.com.ua/management/57-organizatsiya/138-step-analiz-v-strategicheskom-menejmente.html</w:t>
      </w:r>
    </w:p>
    <w:p w:rsidR="001E6D42" w:rsidRDefault="00383EC6" w:rsidP="00B62CF6">
      <w:pPr>
        <w:pStyle w:val="2"/>
        <w:spacing w:before="0" w:after="0" w:line="360" w:lineRule="auto"/>
        <w:jc w:val="both"/>
        <w:rPr>
          <w:rFonts w:ascii="Times New Roman" w:hAnsi="Times New Roman" w:cs="Times New Roman"/>
          <w:b w:val="0"/>
          <w:i w:val="0"/>
        </w:rPr>
      </w:pPr>
      <w:r w:rsidRPr="00A01FC2">
        <w:rPr>
          <w:rFonts w:ascii="Times New Roman" w:hAnsi="Times New Roman" w:cs="Times New Roman"/>
          <w:b w:val="0"/>
          <w:i w:val="0"/>
        </w:rPr>
        <w:t xml:space="preserve">10 </w:t>
      </w:r>
      <w:r w:rsidR="00990044" w:rsidRPr="00A01FC2">
        <w:rPr>
          <w:rFonts w:ascii="Times New Roman" w:hAnsi="Times New Roman" w:cs="Times New Roman"/>
          <w:b w:val="0"/>
          <w:i w:val="0"/>
        </w:rPr>
        <w:t>Экономика Швеции. Основные черты шведской экономики и промышленности</w:t>
      </w:r>
      <w:r w:rsidRPr="00A01FC2">
        <w:rPr>
          <w:rFonts w:ascii="Times New Roman" w:hAnsi="Times New Roman" w:cs="Times New Roman"/>
          <w:b w:val="0"/>
          <w:i w:val="0"/>
        </w:rPr>
        <w:t>. - Режим доступа:</w:t>
      </w:r>
      <w:r w:rsidR="00D71908" w:rsidRPr="00A01FC2">
        <w:rPr>
          <w:rFonts w:ascii="Times New Roman" w:hAnsi="Times New Roman" w:cs="Times New Roman"/>
        </w:rPr>
        <w:t xml:space="preserve"> </w:t>
      </w:r>
      <w:r w:rsidR="00990044" w:rsidRPr="00A01FC2">
        <w:rPr>
          <w:rFonts w:ascii="Times New Roman" w:hAnsi="Times New Roman" w:cs="Times New Roman"/>
          <w:b w:val="0"/>
          <w:i w:val="0"/>
        </w:rPr>
        <w:t>http://www.ereport.ru/articles/weconomy/sweden.htm</w:t>
      </w:r>
    </w:p>
    <w:p w:rsidR="00821BCD" w:rsidRPr="00821BCD" w:rsidRDefault="00821BCD" w:rsidP="00821BCD">
      <w:pPr>
        <w:pStyle w:val="ab"/>
        <w:jc w:val="center"/>
        <w:rPr>
          <w:bCs/>
          <w:color w:val="FFFFFF"/>
          <w:sz w:val="28"/>
          <w:szCs w:val="28"/>
          <w:lang w:val="uk-UA"/>
        </w:rPr>
      </w:pPr>
      <w:r w:rsidRPr="00821BCD">
        <w:rPr>
          <w:bCs/>
          <w:color w:val="FFFFFF"/>
          <w:sz w:val="28"/>
          <w:szCs w:val="28"/>
        </w:rPr>
        <w:t xml:space="preserve">Размещено на </w:t>
      </w:r>
      <w:r w:rsidRPr="00020ACB">
        <w:rPr>
          <w:bCs/>
          <w:color w:val="FFFFFF"/>
          <w:sz w:val="28"/>
          <w:szCs w:val="28"/>
        </w:rPr>
        <w:t>http://www.</w:t>
      </w:r>
      <w:bookmarkStart w:id="10" w:name="_GoBack"/>
      <w:bookmarkEnd w:id="10"/>
    </w:p>
    <w:sectPr w:rsidR="00821BCD" w:rsidRPr="00821BCD" w:rsidSect="00A01FC2">
      <w:headerReference w:type="even" r:id="rId7"/>
      <w:headerReference w:type="default" r:id="rId8"/>
      <w:type w:val="nextColumn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4021" w:rsidRDefault="00DE4021">
      <w:r>
        <w:separator/>
      </w:r>
    </w:p>
  </w:endnote>
  <w:endnote w:type="continuationSeparator" w:id="0">
    <w:p w:rsidR="00DE4021" w:rsidRDefault="00DE4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4021" w:rsidRDefault="00DE4021">
      <w:r>
        <w:separator/>
      </w:r>
    </w:p>
  </w:footnote>
  <w:footnote w:type="continuationSeparator" w:id="0">
    <w:p w:rsidR="00DE4021" w:rsidRDefault="00DE40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2CF6" w:rsidRPr="00821BCD" w:rsidRDefault="00B62CF6" w:rsidP="00821BCD">
    <w:pPr>
      <w:pStyle w:val="ab"/>
      <w:jc w:val="center"/>
      <w:rPr>
        <w:bCs/>
        <w:sz w:val="28"/>
        <w:szCs w:val="28"/>
        <w:lang w:val="uk-UA"/>
      </w:rPr>
    </w:pPr>
    <w:r w:rsidRPr="00821BCD">
      <w:rPr>
        <w:bCs/>
        <w:sz w:val="28"/>
        <w:szCs w:val="28"/>
      </w:rPr>
      <w:t xml:space="preserve">Размещено на </w:t>
    </w:r>
    <w:r w:rsidRPr="00020ACB">
      <w:rPr>
        <w:bCs/>
        <w:sz w:val="28"/>
        <w:szCs w:val="28"/>
      </w:rPr>
      <w:t>http://www.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2CF6" w:rsidRPr="00821BCD" w:rsidRDefault="00B62CF6" w:rsidP="00821BCD">
    <w:pPr>
      <w:pStyle w:val="ab"/>
      <w:jc w:val="center"/>
      <w:rPr>
        <w:bCs/>
        <w:sz w:val="28"/>
        <w:szCs w:val="28"/>
        <w:lang w:val="uk-UA"/>
      </w:rPr>
    </w:pPr>
    <w:r w:rsidRPr="00821BCD">
      <w:rPr>
        <w:bCs/>
        <w:sz w:val="28"/>
        <w:szCs w:val="28"/>
      </w:rPr>
      <w:t xml:space="preserve">Размещено на </w:t>
    </w:r>
    <w:r w:rsidRPr="00020ACB">
      <w:rPr>
        <w:bCs/>
        <w:sz w:val="28"/>
        <w:szCs w:val="28"/>
      </w:rPr>
      <w:t>http://www.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F669A8"/>
    <w:multiLevelType w:val="multilevel"/>
    <w:tmpl w:val="54BAC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150B75"/>
    <w:multiLevelType w:val="multilevel"/>
    <w:tmpl w:val="82103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DA05E2"/>
    <w:multiLevelType w:val="hybridMultilevel"/>
    <w:tmpl w:val="38AC8FF8"/>
    <w:lvl w:ilvl="0" w:tplc="4C0AB28C">
      <w:start w:val="1"/>
      <w:numFmt w:val="decimal"/>
      <w:lvlText w:val="%1."/>
      <w:lvlJc w:val="left"/>
      <w:pPr>
        <w:tabs>
          <w:tab w:val="num" w:pos="1012"/>
        </w:tabs>
        <w:ind w:left="101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32"/>
        </w:tabs>
        <w:ind w:left="17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52"/>
        </w:tabs>
        <w:ind w:left="24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72"/>
        </w:tabs>
        <w:ind w:left="31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92"/>
        </w:tabs>
        <w:ind w:left="38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12"/>
        </w:tabs>
        <w:ind w:left="46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32"/>
        </w:tabs>
        <w:ind w:left="53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52"/>
        </w:tabs>
        <w:ind w:left="60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72"/>
        </w:tabs>
        <w:ind w:left="6772" w:hanging="180"/>
      </w:pPr>
      <w:rPr>
        <w:rFonts w:cs="Times New Roman"/>
      </w:rPr>
    </w:lvl>
  </w:abstractNum>
  <w:abstractNum w:abstractNumId="3">
    <w:nsid w:val="0F155D39"/>
    <w:multiLevelType w:val="multilevel"/>
    <w:tmpl w:val="5FF6D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882734"/>
    <w:multiLevelType w:val="multilevel"/>
    <w:tmpl w:val="3ED28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9E4B25"/>
    <w:multiLevelType w:val="multilevel"/>
    <w:tmpl w:val="2D765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D2B7FAA"/>
    <w:multiLevelType w:val="hybridMultilevel"/>
    <w:tmpl w:val="03005892"/>
    <w:lvl w:ilvl="0" w:tplc="0409000F">
      <w:start w:val="1"/>
      <w:numFmt w:val="decimal"/>
      <w:lvlText w:val="%1."/>
      <w:lvlJc w:val="left"/>
      <w:pPr>
        <w:tabs>
          <w:tab w:val="num" w:pos="1912"/>
        </w:tabs>
        <w:ind w:left="191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92"/>
        </w:tabs>
        <w:ind w:left="209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12"/>
        </w:tabs>
        <w:ind w:left="281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32"/>
        </w:tabs>
        <w:ind w:left="353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52"/>
        </w:tabs>
        <w:ind w:left="425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72"/>
        </w:tabs>
        <w:ind w:left="497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92"/>
        </w:tabs>
        <w:ind w:left="569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12"/>
        </w:tabs>
        <w:ind w:left="641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32"/>
        </w:tabs>
        <w:ind w:left="7132" w:hanging="180"/>
      </w:pPr>
      <w:rPr>
        <w:rFonts w:cs="Times New Roman"/>
      </w:rPr>
    </w:lvl>
  </w:abstractNum>
  <w:abstractNum w:abstractNumId="7">
    <w:nsid w:val="39047CE7"/>
    <w:multiLevelType w:val="multilevel"/>
    <w:tmpl w:val="F28A3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0CC6A07"/>
    <w:multiLevelType w:val="multilevel"/>
    <w:tmpl w:val="B9F2F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19E5F70"/>
    <w:multiLevelType w:val="hybridMultilevel"/>
    <w:tmpl w:val="906611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608352E"/>
    <w:multiLevelType w:val="multilevel"/>
    <w:tmpl w:val="A8540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86021FC"/>
    <w:multiLevelType w:val="multilevel"/>
    <w:tmpl w:val="CBC4A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9CA5D01"/>
    <w:multiLevelType w:val="multilevel"/>
    <w:tmpl w:val="73588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A8228E2"/>
    <w:multiLevelType w:val="multilevel"/>
    <w:tmpl w:val="5DE45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12"/>
  </w:num>
  <w:num w:numId="5">
    <w:abstractNumId w:val="11"/>
  </w:num>
  <w:num w:numId="6">
    <w:abstractNumId w:val="10"/>
  </w:num>
  <w:num w:numId="7">
    <w:abstractNumId w:val="13"/>
  </w:num>
  <w:num w:numId="8">
    <w:abstractNumId w:val="7"/>
  </w:num>
  <w:num w:numId="9">
    <w:abstractNumId w:val="0"/>
  </w:num>
  <w:num w:numId="10">
    <w:abstractNumId w:val="1"/>
  </w:num>
  <w:num w:numId="11">
    <w:abstractNumId w:val="4"/>
  </w:num>
  <w:num w:numId="12">
    <w:abstractNumId w:val="2"/>
  </w:num>
  <w:num w:numId="13">
    <w:abstractNumId w:val="6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evenAndOddHeaders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0E30"/>
    <w:rsid w:val="00013FF3"/>
    <w:rsid w:val="00020ACB"/>
    <w:rsid w:val="000304B8"/>
    <w:rsid w:val="00032AFB"/>
    <w:rsid w:val="0004534D"/>
    <w:rsid w:val="0005766A"/>
    <w:rsid w:val="000A26CE"/>
    <w:rsid w:val="001636F2"/>
    <w:rsid w:val="001778F5"/>
    <w:rsid w:val="00182219"/>
    <w:rsid w:val="00182C23"/>
    <w:rsid w:val="001958C3"/>
    <w:rsid w:val="00195FB4"/>
    <w:rsid w:val="001A2941"/>
    <w:rsid w:val="001B6495"/>
    <w:rsid w:val="001D103E"/>
    <w:rsid w:val="001D352D"/>
    <w:rsid w:val="001E6D42"/>
    <w:rsid w:val="002049D6"/>
    <w:rsid w:val="00221B6A"/>
    <w:rsid w:val="00245808"/>
    <w:rsid w:val="00260994"/>
    <w:rsid w:val="002C4F0E"/>
    <w:rsid w:val="002E5C1B"/>
    <w:rsid w:val="002E7476"/>
    <w:rsid w:val="002F37D5"/>
    <w:rsid w:val="003069D2"/>
    <w:rsid w:val="00332A06"/>
    <w:rsid w:val="003415B1"/>
    <w:rsid w:val="00350B4E"/>
    <w:rsid w:val="003711ED"/>
    <w:rsid w:val="00383EC6"/>
    <w:rsid w:val="0038442E"/>
    <w:rsid w:val="003D3405"/>
    <w:rsid w:val="003E4DF6"/>
    <w:rsid w:val="00426786"/>
    <w:rsid w:val="004417EE"/>
    <w:rsid w:val="00454A9D"/>
    <w:rsid w:val="00470323"/>
    <w:rsid w:val="0048540B"/>
    <w:rsid w:val="004948C4"/>
    <w:rsid w:val="004A5A35"/>
    <w:rsid w:val="004E4EF3"/>
    <w:rsid w:val="00526A09"/>
    <w:rsid w:val="005335F0"/>
    <w:rsid w:val="00551376"/>
    <w:rsid w:val="00576ECC"/>
    <w:rsid w:val="0058043F"/>
    <w:rsid w:val="00581421"/>
    <w:rsid w:val="00582DA5"/>
    <w:rsid w:val="005852AD"/>
    <w:rsid w:val="0059378D"/>
    <w:rsid w:val="005B2CC7"/>
    <w:rsid w:val="005B4969"/>
    <w:rsid w:val="005C3D9D"/>
    <w:rsid w:val="005C4A15"/>
    <w:rsid w:val="005D63DC"/>
    <w:rsid w:val="00602071"/>
    <w:rsid w:val="00611020"/>
    <w:rsid w:val="00622045"/>
    <w:rsid w:val="006620A6"/>
    <w:rsid w:val="00690D31"/>
    <w:rsid w:val="006920AA"/>
    <w:rsid w:val="006A0E06"/>
    <w:rsid w:val="006E4DBC"/>
    <w:rsid w:val="006F1885"/>
    <w:rsid w:val="006F3A58"/>
    <w:rsid w:val="0070556E"/>
    <w:rsid w:val="00740ACA"/>
    <w:rsid w:val="00741C6F"/>
    <w:rsid w:val="00767BE8"/>
    <w:rsid w:val="00771A06"/>
    <w:rsid w:val="007809AB"/>
    <w:rsid w:val="0079343E"/>
    <w:rsid w:val="007A444E"/>
    <w:rsid w:val="007C3729"/>
    <w:rsid w:val="007C38E3"/>
    <w:rsid w:val="007C674C"/>
    <w:rsid w:val="007F27A9"/>
    <w:rsid w:val="00815056"/>
    <w:rsid w:val="00821BCD"/>
    <w:rsid w:val="00827A98"/>
    <w:rsid w:val="008655C7"/>
    <w:rsid w:val="008A3164"/>
    <w:rsid w:val="008C4398"/>
    <w:rsid w:val="008F32E8"/>
    <w:rsid w:val="008F79EC"/>
    <w:rsid w:val="00930086"/>
    <w:rsid w:val="00930E30"/>
    <w:rsid w:val="00953CDF"/>
    <w:rsid w:val="009800D0"/>
    <w:rsid w:val="009816EA"/>
    <w:rsid w:val="00984707"/>
    <w:rsid w:val="00990044"/>
    <w:rsid w:val="009B38CB"/>
    <w:rsid w:val="00A01FC2"/>
    <w:rsid w:val="00A02E8D"/>
    <w:rsid w:val="00A269AE"/>
    <w:rsid w:val="00A35902"/>
    <w:rsid w:val="00A701BE"/>
    <w:rsid w:val="00AB714E"/>
    <w:rsid w:val="00B046DF"/>
    <w:rsid w:val="00B34831"/>
    <w:rsid w:val="00B57C09"/>
    <w:rsid w:val="00B62CF6"/>
    <w:rsid w:val="00B764B7"/>
    <w:rsid w:val="00B766E4"/>
    <w:rsid w:val="00B76708"/>
    <w:rsid w:val="00B77692"/>
    <w:rsid w:val="00BA73AE"/>
    <w:rsid w:val="00BF79E4"/>
    <w:rsid w:val="00C154A9"/>
    <w:rsid w:val="00C2139A"/>
    <w:rsid w:val="00C40153"/>
    <w:rsid w:val="00C60D10"/>
    <w:rsid w:val="00C65235"/>
    <w:rsid w:val="00C87931"/>
    <w:rsid w:val="00C967AD"/>
    <w:rsid w:val="00CA3FD0"/>
    <w:rsid w:val="00CA4D6A"/>
    <w:rsid w:val="00CA72C5"/>
    <w:rsid w:val="00CD297E"/>
    <w:rsid w:val="00D26F49"/>
    <w:rsid w:val="00D5329B"/>
    <w:rsid w:val="00D54767"/>
    <w:rsid w:val="00D570D1"/>
    <w:rsid w:val="00D71908"/>
    <w:rsid w:val="00D95DE2"/>
    <w:rsid w:val="00DB4BBC"/>
    <w:rsid w:val="00DD2695"/>
    <w:rsid w:val="00DE4021"/>
    <w:rsid w:val="00DF7E37"/>
    <w:rsid w:val="00E006AB"/>
    <w:rsid w:val="00E0240C"/>
    <w:rsid w:val="00E04751"/>
    <w:rsid w:val="00E31117"/>
    <w:rsid w:val="00E50237"/>
    <w:rsid w:val="00EA51E5"/>
    <w:rsid w:val="00EB13F7"/>
    <w:rsid w:val="00EB69B0"/>
    <w:rsid w:val="00EC3E31"/>
    <w:rsid w:val="00EC3FA1"/>
    <w:rsid w:val="00EC59CD"/>
    <w:rsid w:val="00ED4067"/>
    <w:rsid w:val="00EE66E8"/>
    <w:rsid w:val="00EF66AF"/>
    <w:rsid w:val="00F02324"/>
    <w:rsid w:val="00F15163"/>
    <w:rsid w:val="00F644A4"/>
    <w:rsid w:val="00FE2A19"/>
    <w:rsid w:val="00FF2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674EA74-B4C7-48EB-B44E-53E740585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0E30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uiPriority w:val="99"/>
    <w:qFormat/>
    <w:rsid w:val="001636F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8C4398"/>
    <w:pPr>
      <w:keepNext/>
      <w:overflowPunct/>
      <w:autoSpaceDE/>
      <w:autoSpaceDN/>
      <w:adjustRightInd/>
      <w:spacing w:before="240" w:after="60"/>
      <w:textAlignment w:val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1B6495"/>
    <w:pPr>
      <w:keepNext/>
      <w:overflowPunct/>
      <w:autoSpaceDE/>
      <w:autoSpaceDN/>
      <w:adjustRightInd/>
      <w:spacing w:before="240" w:after="60"/>
      <w:textAlignment w:val="auto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1B649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Normal (Web)"/>
    <w:basedOn w:val="a"/>
    <w:uiPriority w:val="99"/>
    <w:rsid w:val="00930E3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4">
    <w:name w:val="Emphasis"/>
    <w:uiPriority w:val="99"/>
    <w:qFormat/>
    <w:rsid w:val="001B6495"/>
    <w:rPr>
      <w:rFonts w:cs="Times New Roman"/>
      <w:i/>
      <w:iCs/>
    </w:rPr>
  </w:style>
  <w:style w:type="character" w:styleId="a5">
    <w:name w:val="Hyperlink"/>
    <w:uiPriority w:val="99"/>
    <w:rsid w:val="001B6495"/>
    <w:rPr>
      <w:rFonts w:cs="Times New Roman"/>
      <w:color w:val="0000FF"/>
      <w:u w:val="single"/>
    </w:rPr>
  </w:style>
  <w:style w:type="paragraph" w:customStyle="1" w:styleId="copyright">
    <w:name w:val="copyright"/>
    <w:basedOn w:val="a"/>
    <w:uiPriority w:val="99"/>
    <w:rsid w:val="001B649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6">
    <w:name w:val="Стиль"/>
    <w:uiPriority w:val="99"/>
    <w:rsid w:val="008F79E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7">
    <w:name w:val="Strong"/>
    <w:uiPriority w:val="99"/>
    <w:qFormat/>
    <w:rsid w:val="0079343E"/>
    <w:rPr>
      <w:rFonts w:cs="Times New Roman"/>
      <w:b/>
      <w:bCs/>
    </w:rPr>
  </w:style>
  <w:style w:type="paragraph" w:customStyle="1" w:styleId="maintext">
    <w:name w:val="maintext"/>
    <w:basedOn w:val="a"/>
    <w:uiPriority w:val="99"/>
    <w:rsid w:val="00C6523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ubtitleongray">
    <w:name w:val="subtitleongray"/>
    <w:basedOn w:val="a"/>
    <w:uiPriority w:val="99"/>
    <w:rsid w:val="00C6523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8">
    <w:name w:val="Subtitle"/>
    <w:basedOn w:val="a"/>
    <w:next w:val="a"/>
    <w:link w:val="a9"/>
    <w:uiPriority w:val="11"/>
    <w:qFormat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9">
    <w:name w:val="Подзаголовок Знак"/>
    <w:link w:val="a8"/>
    <w:uiPriority w:val="11"/>
    <w:rPr>
      <w:rFonts w:ascii="Cambria" w:eastAsia="Times New Roman" w:hAnsi="Cambria" w:cs="Times New Roman"/>
      <w:sz w:val="24"/>
      <w:szCs w:val="24"/>
    </w:rPr>
  </w:style>
  <w:style w:type="table" w:styleId="aa">
    <w:name w:val="Table Grid"/>
    <w:basedOn w:val="a1"/>
    <w:uiPriority w:val="99"/>
    <w:rsid w:val="006F3A58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rsid w:val="00C87931"/>
    <w:pPr>
      <w:tabs>
        <w:tab w:val="center" w:pos="4677"/>
        <w:tab w:val="right" w:pos="9355"/>
      </w:tabs>
    </w:pPr>
  </w:style>
  <w:style w:type="paragraph" w:customStyle="1" w:styleId="11">
    <w:name w:val="Стиль1"/>
    <w:basedOn w:val="a3"/>
    <w:uiPriority w:val="99"/>
    <w:rsid w:val="00B62CF6"/>
    <w:pPr>
      <w:spacing w:before="0" w:beforeAutospacing="0" w:after="0" w:afterAutospacing="0" w:line="360" w:lineRule="auto"/>
      <w:jc w:val="both"/>
    </w:pPr>
    <w:rPr>
      <w:bCs/>
      <w:sz w:val="20"/>
      <w:szCs w:val="20"/>
    </w:rPr>
  </w:style>
  <w:style w:type="character" w:styleId="ad">
    <w:name w:val="page number"/>
    <w:uiPriority w:val="99"/>
    <w:rsid w:val="00C87931"/>
    <w:rPr>
      <w:rFonts w:cs="Times New Roman"/>
    </w:rPr>
  </w:style>
  <w:style w:type="paragraph" w:styleId="ae">
    <w:name w:val="footer"/>
    <w:basedOn w:val="a"/>
    <w:link w:val="af"/>
    <w:uiPriority w:val="99"/>
    <w:rsid w:val="00C8793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semiHidden/>
    <w:rPr>
      <w:sz w:val="20"/>
      <w:szCs w:val="20"/>
    </w:rPr>
  </w:style>
  <w:style w:type="character" w:customStyle="1" w:styleId="ac">
    <w:name w:val="Верхний колонтитул Знак"/>
    <w:link w:val="ab"/>
    <w:uiPriority w:val="99"/>
    <w:semiHidden/>
    <w:locked/>
    <w:rsid w:val="00821BCD"/>
    <w:rPr>
      <w:rFonts w:cs="Times New Roman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114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1433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4360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1433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4364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1434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4370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1434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4374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1435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4356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1435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4373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1435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4351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1435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4357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1436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4371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4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4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1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14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4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4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14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1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14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1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14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4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4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4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4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6364</Words>
  <Characters>36276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ОБРАЗОВАТЕЛЬНОЕ УЧРЕЖДЕНИЕ</vt:lpstr>
    </vt:vector>
  </TitlesOfParts>
  <Company/>
  <LinksUpToDate>false</LinksUpToDate>
  <CharactersWithSpaces>42555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ОБРАЗОВАТЕЛЬНОЕ УЧРЕЖДЕНИЕ</dc:title>
  <dc:subject/>
  <dc:creator>Иринка</dc:creator>
  <cp:keywords/>
  <dc:description/>
  <cp:lastModifiedBy>admin</cp:lastModifiedBy>
  <cp:revision>2</cp:revision>
  <cp:lastPrinted>2010-12-11T05:02:00Z</cp:lastPrinted>
  <dcterms:created xsi:type="dcterms:W3CDTF">2014-03-24T00:38:00Z</dcterms:created>
  <dcterms:modified xsi:type="dcterms:W3CDTF">2014-03-24T00:38:00Z</dcterms:modified>
</cp:coreProperties>
</file>