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83A" w:rsidRDefault="00F9783A" w:rsidP="00F9070E">
      <w:pPr>
        <w:pStyle w:val="a9"/>
        <w:jc w:val="center"/>
        <w:rPr>
          <w:sz w:val="28"/>
          <w:szCs w:val="28"/>
        </w:rPr>
      </w:pPr>
      <w:bookmarkStart w:id="0" w:name="_Toc92311415"/>
    </w:p>
    <w:p w:rsidR="00F9070E" w:rsidRPr="004F26CC" w:rsidRDefault="004F26CC" w:rsidP="00F9070E">
      <w:pPr>
        <w:pStyle w:val="a9"/>
        <w:jc w:val="center"/>
        <w:rPr>
          <w:sz w:val="28"/>
          <w:szCs w:val="28"/>
        </w:rPr>
      </w:pPr>
      <w:r w:rsidRPr="004F26CC">
        <w:rPr>
          <w:sz w:val="28"/>
          <w:szCs w:val="28"/>
        </w:rPr>
        <w:t>УНИВЕРСИТЕТ МЕЖДУНАРОДНОГО БИЗНЕСА</w:t>
      </w:r>
    </w:p>
    <w:p w:rsidR="00F9070E" w:rsidRPr="004F26CC" w:rsidRDefault="00F9070E" w:rsidP="00F9070E">
      <w:pPr>
        <w:pStyle w:val="a9"/>
        <w:jc w:val="center"/>
        <w:rPr>
          <w:sz w:val="28"/>
          <w:szCs w:val="28"/>
        </w:rPr>
      </w:pPr>
      <w:r w:rsidRPr="004F26CC">
        <w:rPr>
          <w:sz w:val="28"/>
          <w:szCs w:val="28"/>
        </w:rPr>
        <w:t>Факультет "Экономика и Учет"</w:t>
      </w:r>
    </w:p>
    <w:p w:rsidR="00F9070E" w:rsidRPr="004F26CC" w:rsidRDefault="00F9070E" w:rsidP="00F9070E">
      <w:pPr>
        <w:pStyle w:val="a9"/>
        <w:jc w:val="center"/>
        <w:rPr>
          <w:sz w:val="28"/>
          <w:szCs w:val="28"/>
        </w:rPr>
      </w:pPr>
      <w:r w:rsidRPr="004F26CC">
        <w:rPr>
          <w:sz w:val="28"/>
          <w:szCs w:val="28"/>
        </w:rPr>
        <w:t>Кафедра "Экономика и Маркетинг"</w:t>
      </w:r>
    </w:p>
    <w:p w:rsidR="00F9070E" w:rsidRPr="004F26CC" w:rsidRDefault="00F9070E" w:rsidP="00F9070E">
      <w:pPr>
        <w:pStyle w:val="a9"/>
        <w:rPr>
          <w:rFonts w:ascii="Courier New" w:hAnsi="Courier New" w:cs="Courier New"/>
          <w:sz w:val="28"/>
          <w:szCs w:val="28"/>
        </w:rPr>
      </w:pPr>
    </w:p>
    <w:p w:rsidR="00F9070E" w:rsidRPr="004F26CC" w:rsidRDefault="00F9070E" w:rsidP="00F9070E">
      <w:pPr>
        <w:pStyle w:val="a9"/>
        <w:rPr>
          <w:rFonts w:ascii="Courier New" w:hAnsi="Courier New" w:cs="Courier New"/>
          <w:sz w:val="28"/>
          <w:szCs w:val="28"/>
        </w:rPr>
      </w:pPr>
    </w:p>
    <w:p w:rsidR="00F9070E" w:rsidRPr="004F26CC" w:rsidRDefault="00F9070E" w:rsidP="00F9070E">
      <w:pPr>
        <w:pStyle w:val="a9"/>
        <w:rPr>
          <w:rFonts w:ascii="Courier New" w:hAnsi="Courier New" w:cs="Courier New"/>
          <w:sz w:val="28"/>
          <w:szCs w:val="28"/>
        </w:rPr>
      </w:pPr>
    </w:p>
    <w:p w:rsidR="00F9070E" w:rsidRPr="004F26CC" w:rsidRDefault="00F9070E" w:rsidP="00F9070E">
      <w:pPr>
        <w:pStyle w:val="a9"/>
        <w:rPr>
          <w:rFonts w:ascii="Courier New" w:hAnsi="Courier New" w:cs="Courier New"/>
          <w:sz w:val="28"/>
          <w:szCs w:val="28"/>
        </w:rPr>
      </w:pPr>
      <w:r w:rsidRPr="004F26CC">
        <w:rPr>
          <w:rFonts w:ascii="Courier New" w:hAnsi="Courier New" w:cs="Courier New"/>
          <w:sz w:val="28"/>
          <w:szCs w:val="28"/>
        </w:rPr>
        <w:t> </w:t>
      </w:r>
    </w:p>
    <w:p w:rsidR="00F9070E" w:rsidRPr="004F26CC" w:rsidRDefault="00F9070E" w:rsidP="004F26CC">
      <w:pPr>
        <w:pStyle w:val="a9"/>
        <w:jc w:val="center"/>
        <w:rPr>
          <w:sz w:val="28"/>
          <w:szCs w:val="28"/>
        </w:rPr>
      </w:pPr>
      <w:r w:rsidRPr="004F26CC">
        <w:rPr>
          <w:sz w:val="28"/>
          <w:szCs w:val="28"/>
        </w:rPr>
        <w:t>Курсовая работа</w:t>
      </w:r>
    </w:p>
    <w:p w:rsidR="00F9070E" w:rsidRPr="004F26CC" w:rsidRDefault="00F9070E" w:rsidP="004F26CC">
      <w:pPr>
        <w:pStyle w:val="a9"/>
        <w:jc w:val="center"/>
        <w:rPr>
          <w:sz w:val="28"/>
          <w:szCs w:val="28"/>
        </w:rPr>
      </w:pPr>
      <w:r w:rsidRPr="004F26CC">
        <w:rPr>
          <w:sz w:val="28"/>
          <w:szCs w:val="28"/>
        </w:rPr>
        <w:t>на тему:</w:t>
      </w:r>
    </w:p>
    <w:p w:rsidR="00F9070E" w:rsidRPr="00602D17" w:rsidRDefault="00F9070E" w:rsidP="004F26CC">
      <w:pPr>
        <w:pStyle w:val="a9"/>
        <w:jc w:val="center"/>
        <w:rPr>
          <w:sz w:val="36"/>
          <w:szCs w:val="36"/>
        </w:rPr>
      </w:pPr>
      <w:r w:rsidRPr="00602D17">
        <w:rPr>
          <w:sz w:val="36"/>
          <w:szCs w:val="36"/>
        </w:rPr>
        <w:t>"Международный рынок образовательных услуг"</w:t>
      </w:r>
    </w:p>
    <w:p w:rsidR="00F9070E" w:rsidRPr="004F26CC" w:rsidRDefault="00F9070E" w:rsidP="00F9070E">
      <w:pPr>
        <w:pStyle w:val="a9"/>
        <w:jc w:val="center"/>
        <w:rPr>
          <w:rFonts w:ascii="Courier New" w:hAnsi="Courier New" w:cs="Courier New"/>
          <w:sz w:val="28"/>
          <w:szCs w:val="28"/>
        </w:rPr>
      </w:pPr>
    </w:p>
    <w:p w:rsidR="00F9070E" w:rsidRPr="004F26CC" w:rsidRDefault="00F9070E" w:rsidP="00F9070E">
      <w:pPr>
        <w:pStyle w:val="a9"/>
        <w:jc w:val="right"/>
        <w:rPr>
          <w:rFonts w:ascii="Courier New" w:hAnsi="Courier New" w:cs="Courier New"/>
          <w:sz w:val="28"/>
          <w:szCs w:val="28"/>
        </w:rPr>
      </w:pPr>
    </w:p>
    <w:p w:rsidR="00F9070E" w:rsidRPr="004F26CC" w:rsidRDefault="00F9070E" w:rsidP="00F9070E">
      <w:pPr>
        <w:pStyle w:val="a9"/>
        <w:jc w:val="right"/>
        <w:rPr>
          <w:rFonts w:ascii="Courier New" w:hAnsi="Courier New" w:cs="Courier New"/>
          <w:sz w:val="28"/>
          <w:szCs w:val="28"/>
        </w:rPr>
      </w:pPr>
    </w:p>
    <w:p w:rsidR="00F9070E" w:rsidRPr="004F26CC" w:rsidRDefault="00F9070E" w:rsidP="00F9070E">
      <w:pPr>
        <w:pStyle w:val="a9"/>
        <w:jc w:val="right"/>
        <w:rPr>
          <w:rFonts w:ascii="Courier New" w:hAnsi="Courier New" w:cs="Courier New"/>
          <w:sz w:val="28"/>
          <w:szCs w:val="28"/>
        </w:rPr>
      </w:pPr>
    </w:p>
    <w:p w:rsidR="00F9070E" w:rsidRDefault="00F9070E" w:rsidP="00F9070E">
      <w:pPr>
        <w:pStyle w:val="a9"/>
        <w:jc w:val="right"/>
        <w:rPr>
          <w:sz w:val="28"/>
          <w:szCs w:val="28"/>
        </w:rPr>
      </w:pPr>
    </w:p>
    <w:p w:rsidR="000A4461" w:rsidRDefault="000A4461" w:rsidP="00F9070E">
      <w:pPr>
        <w:pStyle w:val="a9"/>
        <w:jc w:val="right"/>
        <w:rPr>
          <w:sz w:val="28"/>
          <w:szCs w:val="28"/>
        </w:rPr>
      </w:pPr>
    </w:p>
    <w:p w:rsidR="000A4461" w:rsidRDefault="000A4461" w:rsidP="00F9070E">
      <w:pPr>
        <w:pStyle w:val="a9"/>
        <w:jc w:val="right"/>
        <w:rPr>
          <w:sz w:val="28"/>
          <w:szCs w:val="28"/>
        </w:rPr>
      </w:pPr>
    </w:p>
    <w:p w:rsidR="000A4461" w:rsidRDefault="000A4461" w:rsidP="00F9070E">
      <w:pPr>
        <w:pStyle w:val="a9"/>
        <w:jc w:val="right"/>
        <w:rPr>
          <w:sz w:val="28"/>
          <w:szCs w:val="28"/>
        </w:rPr>
      </w:pPr>
    </w:p>
    <w:p w:rsidR="000A4461" w:rsidRDefault="000A4461" w:rsidP="00F9070E">
      <w:pPr>
        <w:pStyle w:val="a9"/>
        <w:jc w:val="right"/>
        <w:rPr>
          <w:sz w:val="28"/>
          <w:szCs w:val="28"/>
        </w:rPr>
      </w:pPr>
    </w:p>
    <w:p w:rsidR="004F26CC" w:rsidRDefault="004F26CC" w:rsidP="00F9070E">
      <w:pPr>
        <w:pStyle w:val="a9"/>
        <w:jc w:val="right"/>
        <w:rPr>
          <w:sz w:val="28"/>
          <w:szCs w:val="28"/>
        </w:rPr>
      </w:pPr>
    </w:p>
    <w:p w:rsidR="004F26CC" w:rsidRPr="004F26CC" w:rsidRDefault="004F26CC" w:rsidP="00F9070E">
      <w:pPr>
        <w:pStyle w:val="a9"/>
        <w:jc w:val="right"/>
        <w:rPr>
          <w:sz w:val="28"/>
          <w:szCs w:val="28"/>
        </w:rPr>
      </w:pPr>
    </w:p>
    <w:p w:rsidR="00F9070E" w:rsidRPr="004F26CC" w:rsidRDefault="00F9070E" w:rsidP="00F9070E">
      <w:pPr>
        <w:pStyle w:val="a9"/>
        <w:jc w:val="right"/>
        <w:rPr>
          <w:sz w:val="28"/>
          <w:szCs w:val="28"/>
        </w:rPr>
      </w:pPr>
    </w:p>
    <w:p w:rsidR="00F9070E" w:rsidRPr="004F26CC" w:rsidRDefault="00F9070E" w:rsidP="00F9070E">
      <w:pPr>
        <w:pStyle w:val="a9"/>
        <w:jc w:val="right"/>
        <w:rPr>
          <w:sz w:val="28"/>
          <w:szCs w:val="28"/>
        </w:rPr>
      </w:pPr>
    </w:p>
    <w:p w:rsidR="00F9070E" w:rsidRPr="004F26CC" w:rsidRDefault="00F9070E" w:rsidP="00F9070E">
      <w:pPr>
        <w:pStyle w:val="a9"/>
        <w:jc w:val="center"/>
        <w:rPr>
          <w:sz w:val="28"/>
          <w:szCs w:val="28"/>
        </w:rPr>
      </w:pPr>
      <w:r w:rsidRPr="004F26CC">
        <w:rPr>
          <w:sz w:val="28"/>
          <w:szCs w:val="28"/>
        </w:rPr>
        <w:t>Алматы, 2008</w:t>
      </w:r>
    </w:p>
    <w:p w:rsidR="006D2E60" w:rsidRDefault="00F9070E" w:rsidP="006D2E60">
      <w:pPr>
        <w:pStyle w:val="12"/>
      </w:pPr>
      <w:bookmarkStart w:id="1" w:name="_Toc200529411"/>
      <w:bookmarkStart w:id="2" w:name="_Toc200529610"/>
      <w:bookmarkStart w:id="3" w:name="_Toc200529528"/>
      <w:bookmarkStart w:id="4" w:name="_Toc200529660"/>
      <w:bookmarkStart w:id="5" w:name="_Toc200529772"/>
      <w:bookmarkStart w:id="6" w:name="_Toc201309163"/>
      <w:r w:rsidRPr="006D2E60">
        <w:t>Содержание</w:t>
      </w:r>
      <w:bookmarkEnd w:id="1"/>
      <w:bookmarkEnd w:id="2"/>
    </w:p>
    <w:p w:rsidR="006D2E60" w:rsidRPr="006D2E60" w:rsidRDefault="006D2E60" w:rsidP="006D2E60">
      <w:pPr>
        <w:pStyle w:val="12"/>
        <w:rPr>
          <w:b w:val="0"/>
          <w:noProof/>
          <w:szCs w:val="24"/>
        </w:rPr>
      </w:pPr>
      <w:r>
        <w:fldChar w:fldCharType="begin"/>
      </w:r>
      <w:r w:rsidRPr="006D2E60">
        <w:instrText xml:space="preserve"> TOC \o "1-3" \h \z \u </w:instrText>
      </w:r>
      <w:r>
        <w:fldChar w:fldCharType="separate"/>
      </w:r>
    </w:p>
    <w:p w:rsidR="006D2E60" w:rsidRPr="006D2E60" w:rsidRDefault="00E014DC" w:rsidP="006D2E60">
      <w:pPr>
        <w:pStyle w:val="12"/>
        <w:rPr>
          <w:b w:val="0"/>
          <w:noProof/>
          <w:szCs w:val="24"/>
        </w:rPr>
      </w:pPr>
      <w:hyperlink w:anchor="_Toc201309164" w:history="1">
        <w:r w:rsidR="006D2E60" w:rsidRPr="006D2E60">
          <w:rPr>
            <w:rStyle w:val="a8"/>
            <w:b w:val="0"/>
            <w:noProof/>
          </w:rPr>
          <w:t>Введение</w:t>
        </w:r>
        <w:r w:rsidR="006D2E60" w:rsidRPr="006D2E60">
          <w:rPr>
            <w:b w:val="0"/>
            <w:noProof/>
            <w:webHidden/>
          </w:rPr>
          <w:tab/>
        </w:r>
        <w:r w:rsidR="006D2E60" w:rsidRPr="006D2E60">
          <w:rPr>
            <w:b w:val="0"/>
            <w:noProof/>
            <w:webHidden/>
          </w:rPr>
          <w:fldChar w:fldCharType="begin"/>
        </w:r>
        <w:r w:rsidR="006D2E60" w:rsidRPr="006D2E60">
          <w:rPr>
            <w:b w:val="0"/>
            <w:noProof/>
            <w:webHidden/>
          </w:rPr>
          <w:instrText xml:space="preserve"> PAGEREF _Toc201309164 \h </w:instrText>
        </w:r>
        <w:r w:rsidR="006D2E60" w:rsidRPr="006D2E60">
          <w:rPr>
            <w:b w:val="0"/>
            <w:noProof/>
            <w:webHidden/>
          </w:rPr>
        </w:r>
        <w:r w:rsidR="006D2E60" w:rsidRPr="006D2E60">
          <w:rPr>
            <w:b w:val="0"/>
            <w:noProof/>
            <w:webHidden/>
          </w:rPr>
          <w:fldChar w:fldCharType="separate"/>
        </w:r>
        <w:r w:rsidR="006D2E60" w:rsidRPr="006D2E60">
          <w:rPr>
            <w:b w:val="0"/>
            <w:noProof/>
            <w:webHidden/>
          </w:rPr>
          <w:t>3</w:t>
        </w:r>
        <w:r w:rsidR="006D2E60" w:rsidRPr="006D2E60">
          <w:rPr>
            <w:b w:val="0"/>
            <w:noProof/>
            <w:webHidden/>
          </w:rPr>
          <w:fldChar w:fldCharType="end"/>
        </w:r>
      </w:hyperlink>
    </w:p>
    <w:p w:rsidR="006D2E60" w:rsidRPr="006D2E60" w:rsidRDefault="00E014DC" w:rsidP="006D2E60">
      <w:pPr>
        <w:pStyle w:val="12"/>
        <w:rPr>
          <w:b w:val="0"/>
          <w:noProof/>
          <w:szCs w:val="24"/>
        </w:rPr>
      </w:pPr>
      <w:hyperlink w:anchor="_Toc201309165" w:history="1">
        <w:r w:rsidR="006D2E60" w:rsidRPr="006D2E60">
          <w:rPr>
            <w:rStyle w:val="a8"/>
            <w:b w:val="0"/>
            <w:noProof/>
          </w:rPr>
          <w:t>Глава 1. Теоретические аспекты развития образовательных услуг</w:t>
        </w:r>
        <w:r w:rsidR="006D2E60" w:rsidRPr="006D2E60">
          <w:rPr>
            <w:b w:val="0"/>
            <w:noProof/>
            <w:webHidden/>
          </w:rPr>
          <w:tab/>
        </w:r>
        <w:r w:rsidR="006D2E60" w:rsidRPr="006D2E60">
          <w:rPr>
            <w:b w:val="0"/>
            <w:noProof/>
            <w:webHidden/>
          </w:rPr>
          <w:fldChar w:fldCharType="begin"/>
        </w:r>
        <w:r w:rsidR="006D2E60" w:rsidRPr="006D2E60">
          <w:rPr>
            <w:b w:val="0"/>
            <w:noProof/>
            <w:webHidden/>
          </w:rPr>
          <w:instrText xml:space="preserve"> PAGEREF _Toc201309165 \h </w:instrText>
        </w:r>
        <w:r w:rsidR="006D2E60" w:rsidRPr="006D2E60">
          <w:rPr>
            <w:b w:val="0"/>
            <w:noProof/>
            <w:webHidden/>
          </w:rPr>
        </w:r>
        <w:r w:rsidR="006D2E60" w:rsidRPr="006D2E60">
          <w:rPr>
            <w:b w:val="0"/>
            <w:noProof/>
            <w:webHidden/>
          </w:rPr>
          <w:fldChar w:fldCharType="separate"/>
        </w:r>
        <w:r w:rsidR="006D2E60" w:rsidRPr="006D2E60">
          <w:rPr>
            <w:b w:val="0"/>
            <w:noProof/>
            <w:webHidden/>
          </w:rPr>
          <w:t>5</w:t>
        </w:r>
        <w:r w:rsidR="006D2E60" w:rsidRPr="006D2E60">
          <w:rPr>
            <w:b w:val="0"/>
            <w:noProof/>
            <w:webHidden/>
          </w:rPr>
          <w:fldChar w:fldCharType="end"/>
        </w:r>
      </w:hyperlink>
    </w:p>
    <w:p w:rsidR="006D2E60" w:rsidRPr="006D2E60" w:rsidRDefault="00E014DC">
      <w:pPr>
        <w:pStyle w:val="22"/>
        <w:tabs>
          <w:tab w:val="right" w:leader="dot" w:pos="9966"/>
        </w:tabs>
        <w:rPr>
          <w:noProof/>
          <w:szCs w:val="24"/>
        </w:rPr>
      </w:pPr>
      <w:hyperlink w:anchor="_Toc201309166" w:history="1">
        <w:r w:rsidR="006D2E60" w:rsidRPr="006D2E60">
          <w:rPr>
            <w:rStyle w:val="a8"/>
            <w:noProof/>
          </w:rPr>
          <w:t>1. Потребительские потоки и операторы рынка</w:t>
        </w:r>
        <w:r w:rsidR="006D2E60" w:rsidRPr="006D2E60">
          <w:rPr>
            <w:noProof/>
            <w:webHidden/>
          </w:rPr>
          <w:tab/>
        </w:r>
        <w:r w:rsidR="006D2E60" w:rsidRPr="006D2E60">
          <w:rPr>
            <w:noProof/>
            <w:webHidden/>
          </w:rPr>
          <w:fldChar w:fldCharType="begin"/>
        </w:r>
        <w:r w:rsidR="006D2E60" w:rsidRPr="006D2E60">
          <w:rPr>
            <w:noProof/>
            <w:webHidden/>
          </w:rPr>
          <w:instrText xml:space="preserve"> PAGEREF _Toc201309166 \h </w:instrText>
        </w:r>
        <w:r w:rsidR="006D2E60" w:rsidRPr="006D2E60">
          <w:rPr>
            <w:noProof/>
            <w:webHidden/>
          </w:rPr>
        </w:r>
        <w:r w:rsidR="006D2E60" w:rsidRPr="006D2E60">
          <w:rPr>
            <w:noProof/>
            <w:webHidden/>
          </w:rPr>
          <w:fldChar w:fldCharType="separate"/>
        </w:r>
        <w:r w:rsidR="006D2E60" w:rsidRPr="006D2E60">
          <w:rPr>
            <w:noProof/>
            <w:webHidden/>
          </w:rPr>
          <w:t>5</w:t>
        </w:r>
        <w:r w:rsidR="006D2E60" w:rsidRPr="006D2E60">
          <w:rPr>
            <w:noProof/>
            <w:webHidden/>
          </w:rPr>
          <w:fldChar w:fldCharType="end"/>
        </w:r>
      </w:hyperlink>
    </w:p>
    <w:p w:rsidR="006D2E60" w:rsidRPr="006D2E60" w:rsidRDefault="00E014DC">
      <w:pPr>
        <w:pStyle w:val="22"/>
        <w:tabs>
          <w:tab w:val="right" w:leader="dot" w:pos="9966"/>
        </w:tabs>
        <w:rPr>
          <w:noProof/>
          <w:szCs w:val="24"/>
        </w:rPr>
      </w:pPr>
      <w:hyperlink w:anchor="_Toc201309167" w:history="1">
        <w:r w:rsidR="006D2E60" w:rsidRPr="006D2E60">
          <w:rPr>
            <w:rStyle w:val="a8"/>
            <w:noProof/>
          </w:rPr>
          <w:t>2. Мировые рынки образовательных услуг. Тенденции развития и национальные политики в области экспорта образовательных услуг</w:t>
        </w:r>
        <w:r w:rsidR="006D2E60" w:rsidRPr="006D2E60">
          <w:rPr>
            <w:noProof/>
            <w:webHidden/>
          </w:rPr>
          <w:tab/>
        </w:r>
        <w:r w:rsidR="006D2E60" w:rsidRPr="006D2E60">
          <w:rPr>
            <w:noProof/>
            <w:webHidden/>
          </w:rPr>
          <w:fldChar w:fldCharType="begin"/>
        </w:r>
        <w:r w:rsidR="006D2E60" w:rsidRPr="006D2E60">
          <w:rPr>
            <w:noProof/>
            <w:webHidden/>
          </w:rPr>
          <w:instrText xml:space="preserve"> PAGEREF _Toc201309167 \h </w:instrText>
        </w:r>
        <w:r w:rsidR="006D2E60" w:rsidRPr="006D2E60">
          <w:rPr>
            <w:noProof/>
            <w:webHidden/>
          </w:rPr>
        </w:r>
        <w:r w:rsidR="006D2E60" w:rsidRPr="006D2E60">
          <w:rPr>
            <w:noProof/>
            <w:webHidden/>
          </w:rPr>
          <w:fldChar w:fldCharType="separate"/>
        </w:r>
        <w:r w:rsidR="006D2E60" w:rsidRPr="006D2E60">
          <w:rPr>
            <w:noProof/>
            <w:webHidden/>
          </w:rPr>
          <w:t>8</w:t>
        </w:r>
        <w:r w:rsidR="006D2E60" w:rsidRPr="006D2E60">
          <w:rPr>
            <w:noProof/>
            <w:webHidden/>
          </w:rPr>
          <w:fldChar w:fldCharType="end"/>
        </w:r>
      </w:hyperlink>
    </w:p>
    <w:p w:rsidR="006D2E60" w:rsidRPr="006D2E60" w:rsidRDefault="00E014DC" w:rsidP="006D2E60">
      <w:pPr>
        <w:pStyle w:val="12"/>
        <w:rPr>
          <w:b w:val="0"/>
          <w:noProof/>
          <w:szCs w:val="24"/>
        </w:rPr>
      </w:pPr>
      <w:hyperlink w:anchor="_Toc201309168" w:history="1">
        <w:r w:rsidR="006D2E60" w:rsidRPr="006D2E60">
          <w:rPr>
            <w:rStyle w:val="a8"/>
            <w:b w:val="0"/>
            <w:noProof/>
          </w:rPr>
          <w:t>Глава 2.  Анализ стран-лидеров, предоставляющих образовательные услуги. Экономическая эффективность экспорта услуг</w:t>
        </w:r>
        <w:r w:rsidR="006D2E60" w:rsidRPr="006D2E60">
          <w:rPr>
            <w:b w:val="0"/>
            <w:noProof/>
            <w:webHidden/>
          </w:rPr>
          <w:tab/>
        </w:r>
        <w:r w:rsidR="006D2E60" w:rsidRPr="006D2E60">
          <w:rPr>
            <w:b w:val="0"/>
            <w:noProof/>
            <w:webHidden/>
          </w:rPr>
          <w:fldChar w:fldCharType="begin"/>
        </w:r>
        <w:r w:rsidR="006D2E60" w:rsidRPr="006D2E60">
          <w:rPr>
            <w:b w:val="0"/>
            <w:noProof/>
            <w:webHidden/>
          </w:rPr>
          <w:instrText xml:space="preserve"> PAGEREF _Toc201309168 \h </w:instrText>
        </w:r>
        <w:r w:rsidR="006D2E60" w:rsidRPr="006D2E60">
          <w:rPr>
            <w:b w:val="0"/>
            <w:noProof/>
            <w:webHidden/>
          </w:rPr>
        </w:r>
        <w:r w:rsidR="006D2E60" w:rsidRPr="006D2E60">
          <w:rPr>
            <w:b w:val="0"/>
            <w:noProof/>
            <w:webHidden/>
          </w:rPr>
          <w:fldChar w:fldCharType="separate"/>
        </w:r>
        <w:r w:rsidR="006D2E60" w:rsidRPr="006D2E60">
          <w:rPr>
            <w:b w:val="0"/>
            <w:noProof/>
            <w:webHidden/>
          </w:rPr>
          <w:t>16</w:t>
        </w:r>
        <w:r w:rsidR="006D2E60" w:rsidRPr="006D2E60">
          <w:rPr>
            <w:b w:val="0"/>
            <w:noProof/>
            <w:webHidden/>
          </w:rPr>
          <w:fldChar w:fldCharType="end"/>
        </w:r>
      </w:hyperlink>
    </w:p>
    <w:p w:rsidR="006D2E60" w:rsidRPr="006D2E60" w:rsidRDefault="00E014DC">
      <w:pPr>
        <w:pStyle w:val="22"/>
        <w:tabs>
          <w:tab w:val="right" w:leader="dot" w:pos="9966"/>
        </w:tabs>
        <w:rPr>
          <w:noProof/>
          <w:szCs w:val="24"/>
        </w:rPr>
      </w:pPr>
      <w:hyperlink w:anchor="_Toc201309169" w:history="1">
        <w:r w:rsidR="006D2E60" w:rsidRPr="006D2E60">
          <w:rPr>
            <w:rStyle w:val="a8"/>
            <w:noProof/>
          </w:rPr>
          <w:t>1. Рейтинг стран, основанный на доле иностранных студентов</w:t>
        </w:r>
        <w:r w:rsidR="006D2E60" w:rsidRPr="006D2E60">
          <w:rPr>
            <w:noProof/>
            <w:webHidden/>
          </w:rPr>
          <w:tab/>
        </w:r>
        <w:r w:rsidR="006D2E60" w:rsidRPr="006D2E60">
          <w:rPr>
            <w:noProof/>
            <w:webHidden/>
          </w:rPr>
          <w:fldChar w:fldCharType="begin"/>
        </w:r>
        <w:r w:rsidR="006D2E60" w:rsidRPr="006D2E60">
          <w:rPr>
            <w:noProof/>
            <w:webHidden/>
          </w:rPr>
          <w:instrText xml:space="preserve"> PAGEREF _Toc201309169 \h </w:instrText>
        </w:r>
        <w:r w:rsidR="006D2E60" w:rsidRPr="006D2E60">
          <w:rPr>
            <w:noProof/>
            <w:webHidden/>
          </w:rPr>
        </w:r>
        <w:r w:rsidR="006D2E60" w:rsidRPr="006D2E60">
          <w:rPr>
            <w:noProof/>
            <w:webHidden/>
          </w:rPr>
          <w:fldChar w:fldCharType="separate"/>
        </w:r>
        <w:r w:rsidR="006D2E60" w:rsidRPr="006D2E60">
          <w:rPr>
            <w:noProof/>
            <w:webHidden/>
          </w:rPr>
          <w:t>16</w:t>
        </w:r>
        <w:r w:rsidR="006D2E60" w:rsidRPr="006D2E60">
          <w:rPr>
            <w:noProof/>
            <w:webHidden/>
          </w:rPr>
          <w:fldChar w:fldCharType="end"/>
        </w:r>
      </w:hyperlink>
    </w:p>
    <w:p w:rsidR="006D2E60" w:rsidRPr="006D2E60" w:rsidRDefault="00E014DC">
      <w:pPr>
        <w:pStyle w:val="22"/>
        <w:tabs>
          <w:tab w:val="right" w:leader="dot" w:pos="9966"/>
        </w:tabs>
        <w:rPr>
          <w:noProof/>
          <w:szCs w:val="24"/>
        </w:rPr>
      </w:pPr>
      <w:hyperlink w:anchor="_Toc201309170" w:history="1">
        <w:r w:rsidR="006D2E60" w:rsidRPr="006D2E60">
          <w:rPr>
            <w:rStyle w:val="a8"/>
            <w:noProof/>
          </w:rPr>
          <w:t>2. Расходы на обучение и источники финансирования иностранных студентов</w:t>
        </w:r>
        <w:r w:rsidR="006D2E60" w:rsidRPr="006D2E60">
          <w:rPr>
            <w:noProof/>
            <w:webHidden/>
          </w:rPr>
          <w:t>.</w:t>
        </w:r>
      </w:hyperlink>
    </w:p>
    <w:p w:rsidR="006D2E60" w:rsidRPr="006D2E60" w:rsidRDefault="00E014DC">
      <w:pPr>
        <w:pStyle w:val="22"/>
        <w:tabs>
          <w:tab w:val="right" w:leader="dot" w:pos="9966"/>
        </w:tabs>
        <w:rPr>
          <w:noProof/>
          <w:szCs w:val="24"/>
        </w:rPr>
      </w:pPr>
      <w:hyperlink w:anchor="_Toc201309171" w:history="1">
        <w:r w:rsidR="006D2E60" w:rsidRPr="006D2E60">
          <w:rPr>
            <w:rStyle w:val="a8"/>
            <w:noProof/>
          </w:rPr>
          <w:t>Экономическая эффективность.</w:t>
        </w:r>
        <w:r w:rsidR="006D2E60" w:rsidRPr="006D2E60">
          <w:rPr>
            <w:noProof/>
            <w:webHidden/>
          </w:rPr>
          <w:tab/>
        </w:r>
        <w:r w:rsidR="006D2E60" w:rsidRPr="006D2E60">
          <w:rPr>
            <w:noProof/>
            <w:webHidden/>
          </w:rPr>
          <w:fldChar w:fldCharType="begin"/>
        </w:r>
        <w:r w:rsidR="006D2E60" w:rsidRPr="006D2E60">
          <w:rPr>
            <w:noProof/>
            <w:webHidden/>
          </w:rPr>
          <w:instrText xml:space="preserve"> PAGEREF _Toc201309171 \h </w:instrText>
        </w:r>
        <w:r w:rsidR="006D2E60" w:rsidRPr="006D2E60">
          <w:rPr>
            <w:noProof/>
            <w:webHidden/>
          </w:rPr>
        </w:r>
        <w:r w:rsidR="006D2E60" w:rsidRPr="006D2E60">
          <w:rPr>
            <w:noProof/>
            <w:webHidden/>
          </w:rPr>
          <w:fldChar w:fldCharType="separate"/>
        </w:r>
        <w:r w:rsidR="006D2E60" w:rsidRPr="006D2E60">
          <w:rPr>
            <w:noProof/>
            <w:webHidden/>
          </w:rPr>
          <w:t>19</w:t>
        </w:r>
        <w:r w:rsidR="006D2E60" w:rsidRPr="006D2E60">
          <w:rPr>
            <w:noProof/>
            <w:webHidden/>
          </w:rPr>
          <w:fldChar w:fldCharType="end"/>
        </w:r>
      </w:hyperlink>
    </w:p>
    <w:p w:rsidR="006D2E60" w:rsidRPr="006D2E60" w:rsidRDefault="00E014DC" w:rsidP="006D2E60">
      <w:pPr>
        <w:pStyle w:val="12"/>
        <w:rPr>
          <w:b w:val="0"/>
          <w:noProof/>
          <w:szCs w:val="24"/>
        </w:rPr>
      </w:pPr>
      <w:hyperlink w:anchor="_Toc201309172" w:history="1">
        <w:r w:rsidR="006D2E60" w:rsidRPr="006D2E60">
          <w:rPr>
            <w:rStyle w:val="a8"/>
            <w:b w:val="0"/>
            <w:noProof/>
          </w:rPr>
          <w:t>Глава 3. Экспортно-импортные механизмы регулирования</w:t>
        </w:r>
        <w:r w:rsidR="006D2E60" w:rsidRPr="006D2E60">
          <w:rPr>
            <w:b w:val="0"/>
            <w:noProof/>
            <w:webHidden/>
          </w:rPr>
          <w:tab/>
        </w:r>
        <w:r w:rsidR="006D2E60" w:rsidRPr="006D2E60">
          <w:rPr>
            <w:b w:val="0"/>
            <w:noProof/>
            <w:webHidden/>
          </w:rPr>
          <w:fldChar w:fldCharType="begin"/>
        </w:r>
        <w:r w:rsidR="006D2E60" w:rsidRPr="006D2E60">
          <w:rPr>
            <w:b w:val="0"/>
            <w:noProof/>
            <w:webHidden/>
          </w:rPr>
          <w:instrText xml:space="preserve"> PAGEREF _Toc201309172 \h </w:instrText>
        </w:r>
        <w:r w:rsidR="006D2E60" w:rsidRPr="006D2E60">
          <w:rPr>
            <w:b w:val="0"/>
            <w:noProof/>
            <w:webHidden/>
          </w:rPr>
        </w:r>
        <w:r w:rsidR="006D2E60" w:rsidRPr="006D2E60">
          <w:rPr>
            <w:b w:val="0"/>
            <w:noProof/>
            <w:webHidden/>
          </w:rPr>
          <w:fldChar w:fldCharType="separate"/>
        </w:r>
        <w:r w:rsidR="006D2E60" w:rsidRPr="006D2E60">
          <w:rPr>
            <w:b w:val="0"/>
            <w:noProof/>
            <w:webHidden/>
          </w:rPr>
          <w:t>24</w:t>
        </w:r>
        <w:r w:rsidR="006D2E60" w:rsidRPr="006D2E60">
          <w:rPr>
            <w:b w:val="0"/>
            <w:noProof/>
            <w:webHidden/>
          </w:rPr>
          <w:fldChar w:fldCharType="end"/>
        </w:r>
      </w:hyperlink>
    </w:p>
    <w:p w:rsidR="006D2E60" w:rsidRPr="006D2E60" w:rsidRDefault="00E014DC">
      <w:pPr>
        <w:pStyle w:val="22"/>
        <w:tabs>
          <w:tab w:val="left" w:pos="720"/>
          <w:tab w:val="right" w:leader="dot" w:pos="9966"/>
        </w:tabs>
        <w:rPr>
          <w:noProof/>
          <w:szCs w:val="24"/>
        </w:rPr>
      </w:pPr>
      <w:hyperlink w:anchor="_Toc201309173" w:history="1">
        <w:r w:rsidR="006D2E60" w:rsidRPr="006D2E60">
          <w:rPr>
            <w:rStyle w:val="a8"/>
            <w:noProof/>
          </w:rPr>
          <w:t>1.</w:t>
        </w:r>
        <w:r w:rsidR="006D2E60" w:rsidRPr="006D2E60">
          <w:rPr>
            <w:noProof/>
            <w:szCs w:val="24"/>
          </w:rPr>
          <w:t xml:space="preserve"> </w:t>
        </w:r>
        <w:r w:rsidR="006D2E60" w:rsidRPr="006D2E60">
          <w:rPr>
            <w:rStyle w:val="a8"/>
            <w:noProof/>
          </w:rPr>
          <w:t>Финансовые и правовые механизмы регулирования</w:t>
        </w:r>
        <w:r w:rsidR="006D2E60" w:rsidRPr="006D2E60">
          <w:rPr>
            <w:noProof/>
            <w:webHidden/>
          </w:rPr>
          <w:tab/>
        </w:r>
        <w:r w:rsidR="006D2E60" w:rsidRPr="006D2E60">
          <w:rPr>
            <w:noProof/>
            <w:webHidden/>
          </w:rPr>
          <w:fldChar w:fldCharType="begin"/>
        </w:r>
        <w:r w:rsidR="006D2E60" w:rsidRPr="006D2E60">
          <w:rPr>
            <w:noProof/>
            <w:webHidden/>
          </w:rPr>
          <w:instrText xml:space="preserve"> PAGEREF _Toc201309173 \h </w:instrText>
        </w:r>
        <w:r w:rsidR="006D2E60" w:rsidRPr="006D2E60">
          <w:rPr>
            <w:noProof/>
            <w:webHidden/>
          </w:rPr>
        </w:r>
        <w:r w:rsidR="006D2E60" w:rsidRPr="006D2E60">
          <w:rPr>
            <w:noProof/>
            <w:webHidden/>
          </w:rPr>
          <w:fldChar w:fldCharType="separate"/>
        </w:r>
        <w:r w:rsidR="006D2E60" w:rsidRPr="006D2E60">
          <w:rPr>
            <w:noProof/>
            <w:webHidden/>
          </w:rPr>
          <w:t>24</w:t>
        </w:r>
        <w:r w:rsidR="006D2E60" w:rsidRPr="006D2E60">
          <w:rPr>
            <w:noProof/>
            <w:webHidden/>
          </w:rPr>
          <w:fldChar w:fldCharType="end"/>
        </w:r>
      </w:hyperlink>
    </w:p>
    <w:p w:rsidR="006D2E60" w:rsidRPr="006D2E60" w:rsidRDefault="00E014DC">
      <w:pPr>
        <w:pStyle w:val="22"/>
        <w:tabs>
          <w:tab w:val="right" w:leader="dot" w:pos="9966"/>
        </w:tabs>
        <w:rPr>
          <w:noProof/>
          <w:szCs w:val="24"/>
        </w:rPr>
      </w:pPr>
      <w:hyperlink w:anchor="_Toc201309174" w:history="1">
        <w:r w:rsidR="006D2E60" w:rsidRPr="006D2E60">
          <w:rPr>
            <w:rStyle w:val="a8"/>
            <w:noProof/>
          </w:rPr>
          <w:t>2. Образовательное законодательство. Болонская конвенция.</w:t>
        </w:r>
        <w:r w:rsidR="006D2E60" w:rsidRPr="006D2E60">
          <w:rPr>
            <w:noProof/>
            <w:webHidden/>
          </w:rPr>
          <w:tab/>
        </w:r>
        <w:r w:rsidR="006D2E60" w:rsidRPr="006D2E60">
          <w:rPr>
            <w:noProof/>
            <w:webHidden/>
          </w:rPr>
          <w:fldChar w:fldCharType="begin"/>
        </w:r>
        <w:r w:rsidR="006D2E60" w:rsidRPr="006D2E60">
          <w:rPr>
            <w:noProof/>
            <w:webHidden/>
          </w:rPr>
          <w:instrText xml:space="preserve"> PAGEREF _Toc201309174 \h </w:instrText>
        </w:r>
        <w:r w:rsidR="006D2E60" w:rsidRPr="006D2E60">
          <w:rPr>
            <w:noProof/>
            <w:webHidden/>
          </w:rPr>
        </w:r>
        <w:r w:rsidR="006D2E60" w:rsidRPr="006D2E60">
          <w:rPr>
            <w:noProof/>
            <w:webHidden/>
          </w:rPr>
          <w:fldChar w:fldCharType="separate"/>
        </w:r>
        <w:r w:rsidR="006D2E60" w:rsidRPr="006D2E60">
          <w:rPr>
            <w:noProof/>
            <w:webHidden/>
          </w:rPr>
          <w:t>28</w:t>
        </w:r>
        <w:r w:rsidR="006D2E60" w:rsidRPr="006D2E60">
          <w:rPr>
            <w:noProof/>
            <w:webHidden/>
          </w:rPr>
          <w:fldChar w:fldCharType="end"/>
        </w:r>
      </w:hyperlink>
    </w:p>
    <w:p w:rsidR="006D2E60" w:rsidRPr="006D2E60" w:rsidRDefault="00E014DC">
      <w:pPr>
        <w:pStyle w:val="22"/>
        <w:tabs>
          <w:tab w:val="right" w:leader="dot" w:pos="9966"/>
        </w:tabs>
        <w:rPr>
          <w:noProof/>
          <w:szCs w:val="24"/>
        </w:rPr>
      </w:pPr>
      <w:hyperlink w:anchor="_Toc201309175" w:history="1">
        <w:r w:rsidR="006D2E60" w:rsidRPr="006D2E60">
          <w:rPr>
            <w:rStyle w:val="a8"/>
            <w:noProof/>
          </w:rPr>
          <w:t>3. Международная оценка качества высшего образования</w:t>
        </w:r>
        <w:r w:rsidR="006D2E60" w:rsidRPr="006D2E60">
          <w:rPr>
            <w:noProof/>
            <w:webHidden/>
          </w:rPr>
          <w:tab/>
        </w:r>
        <w:r w:rsidR="006D2E60" w:rsidRPr="006D2E60">
          <w:rPr>
            <w:noProof/>
            <w:webHidden/>
          </w:rPr>
          <w:fldChar w:fldCharType="begin"/>
        </w:r>
        <w:r w:rsidR="006D2E60" w:rsidRPr="006D2E60">
          <w:rPr>
            <w:noProof/>
            <w:webHidden/>
          </w:rPr>
          <w:instrText xml:space="preserve"> PAGEREF _Toc201309175 \h </w:instrText>
        </w:r>
        <w:r w:rsidR="006D2E60" w:rsidRPr="006D2E60">
          <w:rPr>
            <w:noProof/>
            <w:webHidden/>
          </w:rPr>
        </w:r>
        <w:r w:rsidR="006D2E60" w:rsidRPr="006D2E60">
          <w:rPr>
            <w:noProof/>
            <w:webHidden/>
          </w:rPr>
          <w:fldChar w:fldCharType="separate"/>
        </w:r>
        <w:r w:rsidR="006D2E60" w:rsidRPr="006D2E60">
          <w:rPr>
            <w:noProof/>
            <w:webHidden/>
          </w:rPr>
          <w:t>30</w:t>
        </w:r>
        <w:r w:rsidR="006D2E60" w:rsidRPr="006D2E60">
          <w:rPr>
            <w:noProof/>
            <w:webHidden/>
          </w:rPr>
          <w:fldChar w:fldCharType="end"/>
        </w:r>
      </w:hyperlink>
    </w:p>
    <w:p w:rsidR="006D2E60" w:rsidRDefault="00E014DC" w:rsidP="006D2E60">
      <w:pPr>
        <w:pStyle w:val="12"/>
        <w:rPr>
          <w:noProof/>
          <w:szCs w:val="24"/>
        </w:rPr>
      </w:pPr>
      <w:hyperlink w:anchor="_Toc201309176" w:history="1">
        <w:r w:rsidR="006D2E60" w:rsidRPr="006D2E60">
          <w:rPr>
            <w:rStyle w:val="a8"/>
            <w:b w:val="0"/>
            <w:noProof/>
          </w:rPr>
          <w:t>ЗАКЛЮЧЕНИЕ</w:t>
        </w:r>
        <w:r w:rsidR="006D2E60" w:rsidRPr="006D2E60">
          <w:rPr>
            <w:b w:val="0"/>
            <w:noProof/>
            <w:webHidden/>
          </w:rPr>
          <w:tab/>
        </w:r>
        <w:r w:rsidR="006D2E60" w:rsidRPr="006D2E60">
          <w:rPr>
            <w:b w:val="0"/>
            <w:noProof/>
            <w:webHidden/>
          </w:rPr>
          <w:fldChar w:fldCharType="begin"/>
        </w:r>
        <w:r w:rsidR="006D2E60" w:rsidRPr="006D2E60">
          <w:rPr>
            <w:b w:val="0"/>
            <w:noProof/>
            <w:webHidden/>
          </w:rPr>
          <w:instrText xml:space="preserve"> PAGEREF _Toc201309176 \h </w:instrText>
        </w:r>
        <w:r w:rsidR="006D2E60" w:rsidRPr="006D2E60">
          <w:rPr>
            <w:b w:val="0"/>
            <w:noProof/>
            <w:webHidden/>
          </w:rPr>
        </w:r>
        <w:r w:rsidR="006D2E60" w:rsidRPr="006D2E60">
          <w:rPr>
            <w:b w:val="0"/>
            <w:noProof/>
            <w:webHidden/>
          </w:rPr>
          <w:fldChar w:fldCharType="separate"/>
        </w:r>
        <w:r w:rsidR="006D2E60" w:rsidRPr="006D2E60">
          <w:rPr>
            <w:b w:val="0"/>
            <w:noProof/>
            <w:webHidden/>
          </w:rPr>
          <w:t>33</w:t>
        </w:r>
        <w:r w:rsidR="006D2E60" w:rsidRPr="006D2E60">
          <w:rPr>
            <w:b w:val="0"/>
            <w:noProof/>
            <w:webHidden/>
          </w:rPr>
          <w:fldChar w:fldCharType="end"/>
        </w:r>
      </w:hyperlink>
    </w:p>
    <w:p w:rsidR="00A946A8" w:rsidRPr="00850476" w:rsidRDefault="006D2E60" w:rsidP="00850476">
      <w:pPr>
        <w:pStyle w:val="11"/>
      </w:pPr>
      <w:r>
        <w:fldChar w:fldCharType="end"/>
      </w:r>
      <w:bookmarkStart w:id="7" w:name="_Toc201309164"/>
      <w:r w:rsidR="007F33B8" w:rsidRPr="00850476">
        <w:t>Введение</w:t>
      </w:r>
      <w:bookmarkEnd w:id="0"/>
      <w:bookmarkEnd w:id="3"/>
      <w:bookmarkEnd w:id="4"/>
      <w:bookmarkEnd w:id="5"/>
      <w:bookmarkEnd w:id="6"/>
      <w:bookmarkEnd w:id="7"/>
    </w:p>
    <w:p w:rsidR="007F33B8" w:rsidRPr="00EF35FE" w:rsidRDefault="007F33B8" w:rsidP="00EF35FE">
      <w:pPr>
        <w:pStyle w:val="aa"/>
        <w:rPr>
          <w:rStyle w:val="a6"/>
          <w:i w:val="0"/>
          <w:iCs w:val="0"/>
        </w:rPr>
      </w:pPr>
      <w:r w:rsidRPr="00EF35FE">
        <w:rPr>
          <w:rStyle w:val="a6"/>
          <w:i w:val="0"/>
          <w:iCs w:val="0"/>
        </w:rPr>
        <w:t xml:space="preserve">Услуги, поступающие на внешний рынок, образуют мировой рынок услуг. В основе мирового рынка услуг лежит такая важнейшая часть мирового хозяйства, как сфера услуг, удельный вес которой в экономике ведущих стран Запада превышает удельный вес сферы материального производства. </w:t>
      </w:r>
    </w:p>
    <w:p w:rsidR="00C039E3" w:rsidRPr="00EF35FE" w:rsidRDefault="007F33B8" w:rsidP="00EF35FE">
      <w:pPr>
        <w:pStyle w:val="aa"/>
        <w:rPr>
          <w:rStyle w:val="a6"/>
          <w:i w:val="0"/>
          <w:iCs w:val="0"/>
        </w:rPr>
      </w:pPr>
      <w:r w:rsidRPr="00EF35FE">
        <w:rPr>
          <w:rStyle w:val="a6"/>
          <w:i w:val="0"/>
          <w:iCs w:val="0"/>
        </w:rPr>
        <w:t xml:space="preserve">В услуги на мировом рынке обычно включают транспорт и связь, торговлю, материально-техническое снабжение, бытовые, жилищные и коммунальные услуги, общественное питание, гостиничное хозяйство, туризм, финансовые и страховые услуги, науку, образование, здравоохранение, физкультуру и спорт; культуру и искусство, а также инженерно-консультационные, информационные и вычислительные услуги, операции с недвижимостью, услуги по изучению рынков, организацию маркетинговой деятельности, послепродажный сервис и др. </w:t>
      </w:r>
    </w:p>
    <w:p w:rsidR="005015D4" w:rsidRDefault="007F33B8" w:rsidP="00EF35FE">
      <w:pPr>
        <w:pStyle w:val="aa"/>
      </w:pPr>
      <w:r w:rsidRPr="00EF35FE">
        <w:rPr>
          <w:rStyle w:val="a6"/>
          <w:i w:val="0"/>
          <w:iCs w:val="0"/>
        </w:rPr>
        <w:t xml:space="preserve">Международная статистика дает ограниченный объем сведений о мировой торговле услугами. ВТО, например, разбивает эту торговлю всего лишь на три вида — транспортные услуги, туризм и прочие услуги. Около 1/4 мировой торговли услугами приходится на транспортные услуги, еще около 1/3 — на международный туризм. </w:t>
      </w:r>
      <w:r w:rsidR="006B6A99" w:rsidRPr="00EF35FE">
        <w:rPr>
          <w:rStyle w:val="a6"/>
          <w:i w:val="0"/>
          <w:iCs w:val="0"/>
        </w:rPr>
        <w:t xml:space="preserve">Тем не менее, </w:t>
      </w:r>
      <w:r w:rsidR="006B6A99" w:rsidRPr="00EF35FE">
        <w:t>экономические процессы глобализации и интернационализации, пронизывающие все виды деятельности, затрагивают и образование, о котором речь и пойдет в данной работе. Система профессионального образования - это производство, его продукт - специалисты интеллектуального труда</w:t>
      </w:r>
      <w:r w:rsidR="006B6A99" w:rsidRPr="00EF35FE">
        <w:rPr>
          <w:rStyle w:val="a6"/>
          <w:i w:val="0"/>
          <w:iCs w:val="0"/>
        </w:rPr>
        <w:t>.</w:t>
      </w:r>
      <w:r w:rsidR="00E43EA2" w:rsidRPr="00EF35FE">
        <w:rPr>
          <w:rStyle w:val="a6"/>
          <w:i w:val="0"/>
          <w:iCs w:val="0"/>
        </w:rPr>
        <w:t xml:space="preserve"> </w:t>
      </w:r>
    </w:p>
    <w:p w:rsidR="006B6A99" w:rsidRPr="00EF35FE" w:rsidRDefault="006B6A99" w:rsidP="00EF35FE">
      <w:pPr>
        <w:pStyle w:val="aa"/>
        <w:rPr>
          <w:rStyle w:val="a6"/>
          <w:i w:val="0"/>
          <w:iCs w:val="0"/>
        </w:rPr>
      </w:pPr>
      <w:r w:rsidRPr="00EF35FE">
        <w:t>Современные технологии, бурное развитие дистанционного обучения сделали национальные границы абсолютно прозрачными для образовательных услуг. Группа МВА в известном колледже менеджмента Хенли (Великобритания) объединяет менеджеров среднего и высшего звена, работающих по всему миру - от Гонконга до Южной Африки. Они выполняют групповые проекты, не покидая своего офиса, общаясь с однокашниками и преподавателями через Интернет и специально созданную в Хенли систему электронного образования. Данные примеры можно продолжать, приводя все новые факты, подтверждающие существования единого мирового образовательного рынка, где вузы самых разных стран предлагают свои продукты и услуги всем студентам сразу, не ограничивая себя национальными границами. Учебные заведения все большего числа стран переходят на принцип "академического капитализма", расширяют рынок международных образовательных услуг.</w:t>
      </w:r>
      <w:r w:rsidR="00755277" w:rsidRPr="00EF35FE">
        <w:t xml:space="preserve"> </w:t>
      </w:r>
    </w:p>
    <w:p w:rsidR="00493D77" w:rsidRPr="00EF35FE" w:rsidRDefault="00493D77" w:rsidP="00EF35FE">
      <w:pPr>
        <w:pStyle w:val="aa"/>
        <w:rPr>
          <w:rStyle w:val="a6"/>
          <w:i w:val="0"/>
          <w:iCs w:val="0"/>
        </w:rPr>
      </w:pPr>
      <w:r w:rsidRPr="00EF35FE">
        <w:rPr>
          <w:rStyle w:val="a6"/>
          <w:i w:val="0"/>
          <w:iCs w:val="0"/>
        </w:rPr>
        <w:t>Расширение экспорта образовательных услуг в последние десятилетия вошло в число наиболее важных приоритетов государственной политики многих развитых стран, к которым относятся США, Великобрита</w:t>
      </w:r>
      <w:r w:rsidR="0080724B" w:rsidRPr="00EF35FE">
        <w:rPr>
          <w:rStyle w:val="a6"/>
          <w:i w:val="0"/>
          <w:iCs w:val="0"/>
        </w:rPr>
        <w:t>ния, Франция, Германия и др. страны</w:t>
      </w:r>
      <w:r w:rsidRPr="00EF35FE">
        <w:rPr>
          <w:rStyle w:val="a6"/>
          <w:i w:val="0"/>
          <w:iCs w:val="0"/>
        </w:rPr>
        <w:t xml:space="preserve"> по нескольким причинам:</w:t>
      </w:r>
    </w:p>
    <w:p w:rsidR="00493D77" w:rsidRPr="00A1035B" w:rsidRDefault="00493D77" w:rsidP="00EF35FE">
      <w:pPr>
        <w:pStyle w:val="aa"/>
        <w:numPr>
          <w:ilvl w:val="0"/>
          <w:numId w:val="6"/>
        </w:numPr>
        <w:tabs>
          <w:tab w:val="left" w:pos="993"/>
        </w:tabs>
        <w:ind w:left="0" w:firstLine="720"/>
      </w:pPr>
      <w:r w:rsidRPr="00A1035B">
        <w:t xml:space="preserve">подготовка специалистов для зарубежных стран становится одной из наиболее выгодных статей экспорта, </w:t>
      </w:r>
    </w:p>
    <w:p w:rsidR="00493D77" w:rsidRPr="00A1035B" w:rsidRDefault="00493D77" w:rsidP="00EF35FE">
      <w:pPr>
        <w:pStyle w:val="aa"/>
        <w:numPr>
          <w:ilvl w:val="0"/>
          <w:numId w:val="6"/>
        </w:numPr>
        <w:tabs>
          <w:tab w:val="left" w:pos="993"/>
        </w:tabs>
        <w:ind w:left="0" w:firstLine="720"/>
      </w:pPr>
      <w:r w:rsidRPr="00A1035B">
        <w:t>подготовка специалистов для других стран - это содействие реализации геополитических и экономических интересов страны;</w:t>
      </w:r>
    </w:p>
    <w:p w:rsidR="00493D77" w:rsidRPr="00A1035B" w:rsidRDefault="00493D77" w:rsidP="00EF35FE">
      <w:pPr>
        <w:pStyle w:val="aa"/>
        <w:numPr>
          <w:ilvl w:val="0"/>
          <w:numId w:val="6"/>
        </w:numPr>
        <w:tabs>
          <w:tab w:val="left" w:pos="993"/>
        </w:tabs>
        <w:ind w:left="0" w:firstLine="720"/>
      </w:pPr>
      <w:r w:rsidRPr="00A1035B">
        <w:t>стремление привлечь иностранных студентов подталкивает вузы к реформированию системы подготовки специалистов с учетом требований мирового рынка труда, повышению качества обучения, разработке новых учебных программ и курсов с «включением международных компонент», обеспечивающих подготовленность выпускников к работе в условиях глобальной экономики, и, в конечном счете, - превращению национальных университетов в международные научно-образовательные комплексы.</w:t>
      </w:r>
    </w:p>
    <w:p w:rsidR="00493D77" w:rsidRDefault="00493D77" w:rsidP="00EF35FE">
      <w:pPr>
        <w:pStyle w:val="aa"/>
        <w:numPr>
          <w:ilvl w:val="0"/>
          <w:numId w:val="6"/>
        </w:numPr>
        <w:tabs>
          <w:tab w:val="left" w:pos="993"/>
        </w:tabs>
        <w:ind w:left="0" w:firstLine="720"/>
      </w:pPr>
      <w:r w:rsidRPr="00A1035B">
        <w:t xml:space="preserve">стремление стран-экспортеров образования (особенно США, Германии и ряда других стран) использовать лучших иностранных выпускников для развития экономики и науки своих стран. </w:t>
      </w:r>
    </w:p>
    <w:p w:rsidR="001A5FDF" w:rsidRDefault="0035193C" w:rsidP="0035193C">
      <w:pPr>
        <w:pStyle w:val="aa"/>
      </w:pPr>
      <w:r w:rsidRPr="0035193C">
        <w:rPr>
          <w:szCs w:val="28"/>
        </w:rPr>
        <w:t>Таким</w:t>
      </w:r>
      <w:r>
        <w:rPr>
          <w:szCs w:val="28"/>
        </w:rPr>
        <w:t xml:space="preserve"> </w:t>
      </w:r>
      <w:r w:rsidRPr="0035193C">
        <w:rPr>
          <w:szCs w:val="28"/>
        </w:rPr>
        <w:t xml:space="preserve">образом, </w:t>
      </w:r>
      <w:r>
        <w:rPr>
          <w:szCs w:val="28"/>
          <w:u w:val="single"/>
        </w:rPr>
        <w:t>ц</w:t>
      </w:r>
      <w:r w:rsidRPr="003B2C19">
        <w:rPr>
          <w:szCs w:val="28"/>
          <w:u w:val="single"/>
        </w:rPr>
        <w:t>ель</w:t>
      </w:r>
      <w:r>
        <w:rPr>
          <w:szCs w:val="28"/>
          <w:u w:val="single"/>
        </w:rPr>
        <w:t>ю данного</w:t>
      </w:r>
      <w:r w:rsidRPr="003B2C19">
        <w:rPr>
          <w:szCs w:val="28"/>
          <w:u w:val="single"/>
        </w:rPr>
        <w:t xml:space="preserve"> исследования</w:t>
      </w:r>
      <w:r>
        <w:rPr>
          <w:szCs w:val="28"/>
        </w:rPr>
        <w:t xml:space="preserve"> была попытка показать, что </w:t>
      </w:r>
      <w:r>
        <w:t xml:space="preserve">экспорт образования станет одним из наиболее </w:t>
      </w:r>
      <w:r w:rsidR="003B5346">
        <w:t xml:space="preserve">приоритетных и </w:t>
      </w:r>
      <w:r>
        <w:t>прибыльных отраслей экономики, как в финансовом плане, так и стратегически.</w:t>
      </w:r>
      <w:r w:rsidR="001A5FDF">
        <w:t xml:space="preserve"> В соответствии с поставленной целью решались следующие </w:t>
      </w:r>
      <w:r w:rsidR="001A5FDF" w:rsidRPr="001A5FDF">
        <w:rPr>
          <w:u w:val="single"/>
        </w:rPr>
        <w:t>задачи</w:t>
      </w:r>
      <w:r w:rsidR="001A5FDF">
        <w:t>:</w:t>
      </w:r>
      <w:r>
        <w:t xml:space="preserve"> </w:t>
      </w:r>
    </w:p>
    <w:p w:rsidR="001A5FDF" w:rsidRPr="003B2C19" w:rsidRDefault="001A5FDF" w:rsidP="001A5FDF">
      <w:pPr>
        <w:pStyle w:val="aa"/>
      </w:pPr>
      <w:r>
        <w:t>1) Рассмотреть</w:t>
      </w:r>
      <w:r w:rsidRPr="003B2C19">
        <w:t xml:space="preserve"> теоретические аспекты развития образовательных услуг.</w:t>
      </w:r>
    </w:p>
    <w:p w:rsidR="001A5FDF" w:rsidRDefault="001A5FDF" w:rsidP="001A5FDF">
      <w:pPr>
        <w:pStyle w:val="aa"/>
      </w:pPr>
      <w:r w:rsidRPr="003B2C19">
        <w:t xml:space="preserve">2) </w:t>
      </w:r>
      <w:r>
        <w:t>Проанализировать мировые рынки образовательных услуг, а также национальные политики стран, проводимые в рамках экспорта образовательных услуг.</w:t>
      </w:r>
    </w:p>
    <w:p w:rsidR="001A5FDF" w:rsidRDefault="001A5FDF" w:rsidP="001A5FDF">
      <w:pPr>
        <w:pStyle w:val="aa"/>
      </w:pPr>
      <w:r>
        <w:t>3) Определить лидирующие страны, поставляющие образовательные услуги на международный рынок и провести их сравнительный анализ.</w:t>
      </w:r>
    </w:p>
    <w:p w:rsidR="001A5FDF" w:rsidRDefault="001A5FDF" w:rsidP="001A5FDF">
      <w:pPr>
        <w:pStyle w:val="aa"/>
      </w:pPr>
      <w:r>
        <w:t>4) Выявить вклад</w:t>
      </w:r>
      <w:r w:rsidR="003F3445" w:rsidRPr="003F3445">
        <w:t>,</w:t>
      </w:r>
      <w:r>
        <w:t xml:space="preserve"> </w:t>
      </w:r>
      <w:r w:rsidR="003F3445">
        <w:t>вносимый иностранными студентами</w:t>
      </w:r>
      <w:r w:rsidR="003F3445" w:rsidRPr="003F3445">
        <w:t>,</w:t>
      </w:r>
      <w:r w:rsidR="003F3445">
        <w:t xml:space="preserve"> </w:t>
      </w:r>
      <w:r>
        <w:t>в экон</w:t>
      </w:r>
      <w:r w:rsidR="003F3445">
        <w:t>омическое развитие стран-лидеров</w:t>
      </w:r>
      <w:r>
        <w:t>.</w:t>
      </w:r>
    </w:p>
    <w:p w:rsidR="001A5FDF" w:rsidRDefault="001A5FDF" w:rsidP="001A5FDF">
      <w:pPr>
        <w:pStyle w:val="aa"/>
      </w:pPr>
      <w:r>
        <w:t>5) Показать экспортно-импортные механизмы регулирования.</w:t>
      </w:r>
    </w:p>
    <w:p w:rsidR="002E6C90" w:rsidRPr="0035193C" w:rsidRDefault="0035193C" w:rsidP="0035193C">
      <w:pPr>
        <w:pStyle w:val="aa"/>
        <w:rPr>
          <w:szCs w:val="28"/>
        </w:rPr>
      </w:pPr>
      <w:r w:rsidRPr="003B2C19">
        <w:rPr>
          <w:szCs w:val="28"/>
          <w:u w:val="single"/>
        </w:rPr>
        <w:t>Предмет исследования</w:t>
      </w:r>
      <w:r w:rsidRPr="008F3EFB">
        <w:rPr>
          <w:szCs w:val="28"/>
        </w:rPr>
        <w:t>:</w:t>
      </w:r>
      <w:r>
        <w:rPr>
          <w:szCs w:val="28"/>
        </w:rPr>
        <w:t xml:space="preserve"> </w:t>
      </w:r>
      <w:r w:rsidR="00BC26A8" w:rsidRPr="001A5FDF">
        <w:t>рынок образовательных услуг в международной экономике и его роль</w:t>
      </w:r>
      <w:r w:rsidRPr="001A5FDF">
        <w:t>.</w:t>
      </w:r>
      <w:r>
        <w:rPr>
          <w:szCs w:val="28"/>
        </w:rPr>
        <w:t xml:space="preserve"> </w:t>
      </w:r>
      <w:r>
        <w:rPr>
          <w:szCs w:val="28"/>
          <w:u w:val="single"/>
        </w:rPr>
        <w:t>О</w:t>
      </w:r>
      <w:r w:rsidR="002E6C90" w:rsidRPr="003B2C19">
        <w:rPr>
          <w:szCs w:val="28"/>
          <w:u w:val="single"/>
        </w:rPr>
        <w:t>бъект исследования</w:t>
      </w:r>
      <w:r w:rsidR="002E6C90" w:rsidRPr="008F3EFB">
        <w:rPr>
          <w:szCs w:val="28"/>
        </w:rPr>
        <w:t xml:space="preserve">: </w:t>
      </w:r>
      <w:r w:rsidR="001A5FDF" w:rsidRPr="001A5FDF">
        <w:t>процесс формирования и функционирования рынка образовательных услуг</w:t>
      </w:r>
      <w:r w:rsidR="001A5FDF">
        <w:rPr>
          <w:szCs w:val="28"/>
        </w:rPr>
        <w:t xml:space="preserve"> в странах-лидерах, предоставляющих данные услуги.</w:t>
      </w:r>
    </w:p>
    <w:p w:rsidR="00EC07E6" w:rsidRPr="003B2C19" w:rsidRDefault="00EC07E6" w:rsidP="003B2C19">
      <w:pPr>
        <w:pStyle w:val="aa"/>
      </w:pPr>
    </w:p>
    <w:p w:rsidR="001A5FDF" w:rsidRDefault="001A5FDF" w:rsidP="000B52EA">
      <w:pPr>
        <w:pStyle w:val="23"/>
        <w:ind w:firstLine="0"/>
      </w:pPr>
    </w:p>
    <w:p w:rsidR="001A5FDF" w:rsidRDefault="001A5FDF" w:rsidP="000B52EA">
      <w:pPr>
        <w:pStyle w:val="23"/>
        <w:ind w:firstLine="0"/>
      </w:pPr>
    </w:p>
    <w:p w:rsidR="001A5FDF" w:rsidRDefault="001A5FDF" w:rsidP="000B52EA">
      <w:pPr>
        <w:pStyle w:val="23"/>
        <w:ind w:firstLine="0"/>
      </w:pPr>
    </w:p>
    <w:p w:rsidR="001A5FDF" w:rsidRDefault="001A5FDF" w:rsidP="000B52EA">
      <w:pPr>
        <w:pStyle w:val="23"/>
        <w:ind w:firstLine="0"/>
      </w:pPr>
    </w:p>
    <w:p w:rsidR="001A5FDF" w:rsidRDefault="001A5FDF" w:rsidP="000B52EA">
      <w:pPr>
        <w:pStyle w:val="23"/>
        <w:ind w:firstLine="0"/>
      </w:pPr>
    </w:p>
    <w:p w:rsidR="005654BF" w:rsidRPr="000B52EA" w:rsidRDefault="005654BF" w:rsidP="00850476">
      <w:pPr>
        <w:pStyle w:val="23"/>
        <w:ind w:firstLine="0"/>
        <w:outlineLvl w:val="0"/>
      </w:pPr>
      <w:bookmarkStart w:id="8" w:name="_Toc201309165"/>
      <w:r w:rsidRPr="000B52EA">
        <w:t>Глава 1. Теоретические аспекты развития образовательных услуг</w:t>
      </w:r>
      <w:bookmarkEnd w:id="8"/>
      <w:r w:rsidRPr="000B52EA">
        <w:t xml:space="preserve"> </w:t>
      </w:r>
    </w:p>
    <w:p w:rsidR="00C039E3" w:rsidRPr="005311E9" w:rsidRDefault="00C039E3" w:rsidP="005311E9">
      <w:pPr>
        <w:pStyle w:val="aa"/>
      </w:pPr>
      <w:r w:rsidRPr="005311E9">
        <w:t xml:space="preserve">Если в русском языке не так давно возникшее сочетание «платное образование» до сих пор вызывает дискуссии, то для остального мира это не просто устойчивый речевой оборот, но и давно сложившийся бизнес международного масштаба. С конца 40−х годов XX века ведущие мировые державы начали рассматривать образование как часть своей внешней политики, преследующей геоэкономические и геополитические цели. И к концу прошлого века сформировалась целая отрасль мирового хозяйства — международный рынок образовательных услуг с ежегодным объемом продаж в несколько десятков миллиардов долларов США и объемом потребителей в несколько миллионов человек. </w:t>
      </w:r>
      <w:r w:rsidR="00EF2901">
        <w:t>По данным различных  источников в 2000 году по всему миру студенческие аудитории заполняли 1.8 млн. иностранных студентов.</w:t>
      </w:r>
    </w:p>
    <w:p w:rsidR="00C039E3" w:rsidRPr="005311E9" w:rsidRDefault="00C039E3" w:rsidP="005311E9">
      <w:pPr>
        <w:pStyle w:val="aa"/>
      </w:pPr>
      <w:r w:rsidRPr="005311E9">
        <w:t>Торгуют на этом специфическом рынке многим. Услугами: языковые курсы, дистанционное образование, обучение в школах, повышение квалификации, дополнительное образование. Продуктами: программы, методики, учебные CD-диски, книги. Статусами и именами. Но самый массовый, занимающий львиную долю рынка предмет продаж — услуги по получению высшего образования иностранными студентами.</w:t>
      </w:r>
    </w:p>
    <w:p w:rsidR="00C039E3" w:rsidRPr="005311E9" w:rsidRDefault="00C039E3" w:rsidP="005311E9">
      <w:pPr>
        <w:pStyle w:val="aa"/>
      </w:pPr>
      <w:r w:rsidRPr="005311E9">
        <w:t>На международной шкале студенческих предпочтений выше всего бизнес-образование. Его покупает четверть всех студентов. Это специализации, связанные с экономикой, менеджментом, маркетингом, сист</w:t>
      </w:r>
      <w:r w:rsidR="009D77FA" w:rsidRPr="005311E9">
        <w:t>емами деловой информации и прочее.</w:t>
      </w:r>
      <w:r w:rsidRPr="005311E9">
        <w:t xml:space="preserve"> Почти 20% студентов изучают технические и инженерные науки, самые популярные из них — информационные технологии. Примерно столько же студентов выбирает естественные науки. Причем половина — математику. Замыкают список профессий социальные специализации (7−8%), искусство (5−6%), медицина (4−5%).</w:t>
      </w:r>
    </w:p>
    <w:p w:rsidR="00C039E3" w:rsidRPr="005311E9" w:rsidRDefault="00C039E3" w:rsidP="005311E9">
      <w:pPr>
        <w:pStyle w:val="aa"/>
      </w:pPr>
      <w:r w:rsidRPr="005311E9">
        <w:t>Ярко выраженная страновая образовательная спецификация при этом отсутствует. Лидерам рынка скорее свойственна «учебная всеядность», когда предлагается пакет всех мыслимых специальностей. Но так уж сложилось исторически, что в Америку больше едут получать бизнес-образование, в Германию — инженерно-техническое, во Францию — гуманитарное, а в Италию — медицинское.</w:t>
      </w:r>
    </w:p>
    <w:p w:rsidR="007F33B8" w:rsidRPr="003947F0" w:rsidRDefault="007F33B8" w:rsidP="00493D77">
      <w:pPr>
        <w:jc w:val="both"/>
        <w:rPr>
          <w:color w:val="FF0000"/>
        </w:rPr>
      </w:pPr>
    </w:p>
    <w:p w:rsidR="00BE7ECF" w:rsidRDefault="003F3445" w:rsidP="00850476">
      <w:pPr>
        <w:pStyle w:val="23"/>
      </w:pPr>
      <w:bookmarkStart w:id="9" w:name="_Toc201309166"/>
      <w:r>
        <w:t>1</w:t>
      </w:r>
      <w:r w:rsidR="005654BF">
        <w:t>.</w:t>
      </w:r>
      <w:r w:rsidR="00BE7ECF">
        <w:t xml:space="preserve"> </w:t>
      </w:r>
      <w:r w:rsidR="00BE7ECF" w:rsidRPr="00493D77">
        <w:t>Потребительские потоки</w:t>
      </w:r>
      <w:r w:rsidR="005654BF">
        <w:t xml:space="preserve"> и операторы рынка</w:t>
      </w:r>
      <w:bookmarkEnd w:id="9"/>
    </w:p>
    <w:p w:rsidR="00BE7ECF" w:rsidRPr="005311E9" w:rsidRDefault="00BE7ECF" w:rsidP="005311E9">
      <w:pPr>
        <w:pStyle w:val="aa"/>
      </w:pPr>
      <w:r w:rsidRPr="005311E9">
        <w:t>Международная образовательная карта выглядит сегодня следующим образом. Есть два основных образовательных центра — североамериканский и европейский. США, где учится 600 тыс. студентов, совместно с соседней Канадой держат треть всего студенческого легиона. Суммарный образовательный оборот Европы и по числу студентов, и по деньгам вполне сравним с Америкой.</w:t>
      </w:r>
    </w:p>
    <w:p w:rsidR="00BE7ECF" w:rsidRPr="005311E9" w:rsidRDefault="00BE7ECF" w:rsidP="005311E9">
      <w:pPr>
        <w:pStyle w:val="aa"/>
      </w:pPr>
      <w:r w:rsidRPr="005311E9">
        <w:t>Третий находится в Австралии, и он существенно меньше. Там в сумме с соседней Новой Зеландией обучается около 200 тыс. иностранцев.</w:t>
      </w:r>
    </w:p>
    <w:p w:rsidR="00BE7ECF" w:rsidRPr="005311E9" w:rsidRDefault="00BE7ECF" w:rsidP="005311E9">
      <w:pPr>
        <w:pStyle w:val="aa"/>
      </w:pPr>
      <w:r w:rsidRPr="005311E9">
        <w:t>На протяжении последних тридцати лет половину всех студентов на мировой рынок поставляют страны Азии. В лидерах — Китай, Корея, Малайзия, Индия, Гонконг. Устойчивый рост демонстрируют Таиланд, Индонезия, Сингапур и Пакистан. Второй крупный поставщик — арабские страны Ближнего Востока и Северной Африки: Марокко, Иран, Иордания, Алжир, Палестина.</w:t>
      </w:r>
    </w:p>
    <w:p w:rsidR="00BE7ECF" w:rsidRPr="005311E9" w:rsidRDefault="00BE7ECF" w:rsidP="005311E9">
      <w:pPr>
        <w:pStyle w:val="aa"/>
      </w:pPr>
      <w:r w:rsidRPr="005311E9">
        <w:t>К центрам устремлено три потока образовательной миграции. Основной поток — «Восток-Запад», его основное русло пролегает от Юго-Восточной Азии в североамериканском направлении. Чуть меньший поток — в Европу. Другой трансконтинентальный поток — «Юг-Север», из Юго-Западной Азии и севера Африки. В основном он тоже устремлен на Америку, меньше — на Европу. Наконец, есть поток, соединяющий Европу с Америкой, в отличие от первых двух он — двусторонний. Примерно 200−250 тыс. человек направляется в США, в Европу — раза в два меньше.</w:t>
      </w:r>
    </w:p>
    <w:p w:rsidR="00BE7ECF" w:rsidRPr="005311E9" w:rsidRDefault="00BE7ECF" w:rsidP="005311E9">
      <w:pPr>
        <w:pStyle w:val="aa"/>
      </w:pPr>
      <w:r w:rsidRPr="005311E9">
        <w:t>В Австралию и Новую Зеландию студенты приезжают «по-соседски» — из Индонезии, Сингапура, Гонконга. Вообще-то географическое соседство — не первый фактор учебных перемещений, но и не последний. В ЕС, например, сильна внутренняя образовательная миграция: от трети до половины иностранных студентов, европейцев по происхождению, в пределах Европы же и вращается.</w:t>
      </w:r>
    </w:p>
    <w:p w:rsidR="00BE7ECF" w:rsidRPr="005311E9" w:rsidRDefault="00BE7ECF" w:rsidP="005311E9">
      <w:pPr>
        <w:pStyle w:val="aa"/>
      </w:pPr>
      <w:r w:rsidRPr="005311E9">
        <w:t xml:space="preserve">Вся эта большая миграция происходит на фоне огромного множества мелких студенческих </w:t>
      </w:r>
      <w:r w:rsidR="003B5346">
        <w:t>перетеканий</w:t>
      </w:r>
      <w:r w:rsidRPr="005311E9">
        <w:t xml:space="preserve"> из страны в страну — образовательными экспортными операциями занимаются 70% государств (129 стран по данным ВТО). Фоновое состояние не лидирующих сегодня на рынке стран отнюдь не статично, а посему не безобидно. Многие уже поняли, что обучение иностранцев — выгодный бизнес, и пытаются в него прорваться. Новым экспортерам вполне под силу изменить как состав группы лидеров, так и мировую образовательную карту.</w:t>
      </w:r>
    </w:p>
    <w:p w:rsidR="00BE7ECF" w:rsidRPr="005311E9" w:rsidRDefault="00BE7ECF" w:rsidP="005311E9">
      <w:pPr>
        <w:pStyle w:val="aa"/>
      </w:pPr>
      <w:r w:rsidRPr="005311E9">
        <w:t xml:space="preserve">В «знаниевую» коммерцию активно рвутся даже совсем маленькие страны. Новая Зеландия за пять лет в пять раз увеличила число студентов и сейчас учит более 30 тыс. Столько же обучает и Швеция, за два последних года она удвоила </w:t>
      </w:r>
      <w:r w:rsidR="003B5346" w:rsidRPr="005311E9">
        <w:t>контингент</w:t>
      </w:r>
      <w:r w:rsidRPr="005311E9">
        <w:t xml:space="preserve"> иностранных студентов.</w:t>
      </w:r>
    </w:p>
    <w:p w:rsidR="00BE7ECF" w:rsidRPr="005311E9" w:rsidRDefault="00BE7ECF" w:rsidP="005311E9">
      <w:pPr>
        <w:pStyle w:val="aa"/>
      </w:pPr>
      <w:r w:rsidRPr="005311E9">
        <w:t>Все больший экспортный вес набирают восточные страны, причем их темпы роста существенно выше, чем у старых игроков рынка. Китай с 1990 года на порядок увеличил число обучающихся иностранцев: с 5 до 50 тыс. В Японии сейчас их почти 80 тыс. Многие миллионы долларов, вложенные национальным частным капиталом в экономику образования Сингапур</w:t>
      </w:r>
      <w:r w:rsidR="00142FDD">
        <w:t xml:space="preserve">а, дают основания полагать, что </w:t>
      </w:r>
      <w:r w:rsidRPr="005311E9">
        <w:t>и он в ближайшее время заявит о себе на экспортном направлении. Очень похоже, что в мире формируется четвертый образовательный центр, и, судя по экономическим скоростям азиатов, появление его не за горами.</w:t>
      </w:r>
    </w:p>
    <w:p w:rsidR="00BE7ECF" w:rsidRPr="005311E9" w:rsidRDefault="00BE7ECF" w:rsidP="005311E9">
      <w:pPr>
        <w:pStyle w:val="aa"/>
      </w:pPr>
      <w:r w:rsidRPr="005311E9">
        <w:t>Не почивают на лаврах Франция, Австралия и Великобритания — в ближайшее десятилетие они планируют сравняться по образовательным услугам с лидером отрасли — США. Да и сами американцы совсем не собираются уступать позиции.</w:t>
      </w:r>
    </w:p>
    <w:p w:rsidR="00BE7ECF" w:rsidRPr="005311E9" w:rsidRDefault="00BE7ECF" w:rsidP="005311E9">
      <w:pPr>
        <w:pStyle w:val="aa"/>
      </w:pPr>
      <w:r w:rsidRPr="005311E9">
        <w:t>Так что конкуренция стран — экспортеров образования выходит на новый виток, появляются новые игроки, и в ближайшее десятилетие вполне вероятен образовательный передел мира. А бороться есть за что. К 2025 году общее количество студентов в мире возрастет с сегодняшних 97 до 260 млн. По прогнозу UNESCO, иностранных студентов к тому времени будет 5−7 млн, две трети них составят выходцы из Азии. Лидерство по поставке студентов будет за Индией и Китаем, стало быть, борьба развернется именно за эти регионы.</w:t>
      </w:r>
    </w:p>
    <w:p w:rsidR="00B9364D" w:rsidRPr="005311E9" w:rsidRDefault="00B9364D" w:rsidP="005311E9">
      <w:pPr>
        <w:pStyle w:val="aa"/>
      </w:pPr>
      <w:r w:rsidRPr="005311E9">
        <w:t>Аналогично транснациональным корпорациям, успешно действующим в разных отраслях экономики, страны-лидеры давно уже создали свои образовательные ТНК, которые и являются операторами рынка.</w:t>
      </w:r>
    </w:p>
    <w:p w:rsidR="00B9364D" w:rsidRPr="005311E9" w:rsidRDefault="00B9364D" w:rsidP="005311E9">
      <w:pPr>
        <w:pStyle w:val="aa"/>
      </w:pPr>
      <w:r w:rsidRPr="005311E9">
        <w:t>Поскольку основаниями для роста образовательного экспорта параллельно с государственной политикой отдельных стран являются и рыночные процессы (экономический рост в странах Азии сформировал огромный кадровый запрос), то основными направлениями деятельности ТНК стали международный маркетинг, продвижение национальных образовательных услуг и оптимизация внутристрановых усилий. Для выстраивания рыночной стратегии приходится отслеживать процессы, происходящие в существующих и потенциальных странах — поставщиках студентов: как развивается промышленность и какие технологии внедряются; какова кадровая потребность; как растут государственные и личные доходы; какие демографические изменения происходят; каким образом нормируется правовое пространство; в чем заключается образовательная позиция национальных правительств и т. д. Если не учитывать подобного рода факторы, то можно забыть не только о расширении границ рынка и об увеличении прибыли, но и об экспорте вообще.</w:t>
      </w:r>
    </w:p>
    <w:p w:rsidR="00B9364D" w:rsidRPr="005311E9" w:rsidRDefault="00B9364D" w:rsidP="005311E9">
      <w:pPr>
        <w:pStyle w:val="aa"/>
      </w:pPr>
      <w:r w:rsidRPr="005311E9">
        <w:t>Сегодняшние образовательные ТНК — это в основном неправительственные организации с негосударственным финансированием, но с мощной государственной поддержкой. Таких ТНК немало: DAAD (Германия), British Council (Великобритания), CIMO (Финляндия), IDP Education Australia (Австралия), EduFrance (Франция), NAFSA (США) и другие. Некоторые из них занимаются исключительно образованием, а некоторые захватывают смежные сферы — культуру и искусство.</w:t>
      </w:r>
    </w:p>
    <w:p w:rsidR="00B9364D" w:rsidRPr="005311E9" w:rsidRDefault="00B9364D" w:rsidP="005311E9">
      <w:pPr>
        <w:pStyle w:val="aa"/>
      </w:pPr>
      <w:r w:rsidRPr="005311E9">
        <w:t>Представляя национальные интересы на международном рынке образовательных услуг, они создали свои представительства по всему миру. Сеть British Council, например, раскинулась на 117 государств. Только в России с 1992 года открыто пятнадцать представительств Британского совета — от Санкт-Петербурга до Южно-Сахалинска. У EduFrance в нашей стране шесть представительств и 25 пунктов в вузах. Всего же в 30 странах работает 80 бюро EduFrance.</w:t>
      </w:r>
    </w:p>
    <w:p w:rsidR="00B9364D" w:rsidRPr="005311E9" w:rsidRDefault="00B9364D" w:rsidP="005311E9">
      <w:pPr>
        <w:pStyle w:val="aa"/>
      </w:pPr>
      <w:r w:rsidRPr="005311E9">
        <w:t>Образовательные корпорации строятся масштабно. DAAD (Немецкая служба академических обменов), которая существует с 1925 года, объединяет 233 высших учебных заведения. А в гораздо более молодое, всего шестой год существующее агентство EduFrance входит 175 французских университетов, высших школ и институтов.</w:t>
      </w:r>
    </w:p>
    <w:p w:rsidR="006B6A99" w:rsidRPr="005311E9" w:rsidRDefault="00B9364D" w:rsidP="005311E9">
      <w:pPr>
        <w:pStyle w:val="aa"/>
      </w:pPr>
      <w:r w:rsidRPr="005311E9">
        <w:t>В ежедневную практику ТНК входят сотни проектов. Они поддерживают программы распространения родного языка, организуют обмен студентами и учеными, оказывают информационно-консультативные услуги, пиарят национальное образование, конкретные учебные заведения и программы и много чего другого — вплоть до обслуживающего сервиса групп иностранных студентов. И, как показывает их опыт, формат ТНК оказывается весьма продуктивным.</w:t>
      </w:r>
    </w:p>
    <w:p w:rsidR="00BE7ECF" w:rsidRPr="006B6A99" w:rsidRDefault="003F3445" w:rsidP="00850476">
      <w:pPr>
        <w:pStyle w:val="23"/>
      </w:pPr>
      <w:bookmarkStart w:id="10" w:name="_Toc201309167"/>
      <w:r>
        <w:t>2</w:t>
      </w:r>
      <w:r w:rsidR="005654BF">
        <w:t xml:space="preserve">. Мировые рынки образовательных услуг. </w:t>
      </w:r>
      <w:r w:rsidR="006B6A99" w:rsidRPr="006B6A99">
        <w:t>Тенденции развития и национальные политики в области экспорта образовательных услуг</w:t>
      </w:r>
      <w:bookmarkEnd w:id="10"/>
    </w:p>
    <w:p w:rsidR="00755277" w:rsidRPr="005311E9" w:rsidRDefault="00755277" w:rsidP="005311E9">
      <w:pPr>
        <w:pStyle w:val="aa"/>
      </w:pPr>
      <w:r w:rsidRPr="005311E9">
        <w:t xml:space="preserve">Знаменитые рейтинги Financial Times лучших бизнес школ теперь включают не только вузы США, но и Канады, Испании, Франции, Великобритании. В ведущих вузах Великобритании, США, Канады до 80% студентов составляют иностранные граждане. </w:t>
      </w:r>
    </w:p>
    <w:p w:rsidR="00755277" w:rsidRPr="005311E9" w:rsidRDefault="00755277" w:rsidP="005311E9">
      <w:pPr>
        <w:pStyle w:val="aa"/>
      </w:pPr>
      <w:r w:rsidRPr="005311E9">
        <w:t>Мировой рынок образовательных услуг, по данным ряда экспертов, оценивается в 40 млрд. долл. США: около 14 млрд. долл. ежегодно получают за обучение иностранных студентов Соединенные Штаты Америки; Великобритания - 5,7 млрд. фунтов стерлингов; 3,6 млрд. долл. - Австралия, Россия -70 млн. долл. Возможность получения дополнительных средств особенно актуальна для России, поскольку на образование в 2002 г. выделено 386,5 млрд. рублей (12,6 млрд. долл.), что составляет 3,5 % ВВП, (в то время как ЮНЕСКО рекомендует, чтобы этот показатель в XXI веке был не ниже 6 %); расходы на образование в США - 745,2 млрд. долл. (7,4% ВВП), в Великобритании - 44,1 млрд. фунтов стерлингов (4,6 % ВВП), во Франции - 100,7 млрд. евро (7 % ВВП), в Герма- нии - 70,5 млрд. евро (3,3 % ВВП). В настоящее время всего в мире, по некоторым данным, около 2 млн. иностранных студентов. </w:t>
      </w:r>
    </w:p>
    <w:p w:rsidR="0003723E" w:rsidRPr="005311E9" w:rsidRDefault="00755277" w:rsidP="005311E9">
      <w:pPr>
        <w:pStyle w:val="aa"/>
      </w:pPr>
      <w:r w:rsidRPr="005311E9">
        <w:t> </w:t>
      </w:r>
      <w:r w:rsidR="006A0CCF">
        <w:t xml:space="preserve">Как видно из таблицы </w:t>
      </w:r>
      <w:r w:rsidR="0003723E" w:rsidRPr="005311E9">
        <w:t>1, за эти годы рост числа иностранных студентов в США составил 143%, в Великобритании - 155 %, во Франции - 160 %, наибольший рост в Австралии - 594 %, (где в 2003 г. обучалось уже 174 641 ин. студентов), в Китае - 442 %. В вузах России в 2002 г., по данным Минобразования, обучалось 96 тысяч иностранных студентов, в том числе из стран дальнего зарубежья - 61,5 тыс., из стран СНГ - 34,5 тыс. По мнению зарубежных экспертов, оптимальная доля иностранных студентов в структуре общего контингента студентов вуза составляет 10 %. Именно такую долю составляют иностранные студенты в вузах Франции и Германии, в США - 4 %, хотя во многих университетах этот процент значительно выше, в Калифорнийском - 19,9 % (5,5 тыс.), Нью-йоркском университете - 12,9 % (почти 5 тыс. иностранных студентов), в Австралии - 15,5 % (практически каждый шестой), в России - 2 %.</w:t>
      </w:r>
    </w:p>
    <w:p w:rsidR="0003723E" w:rsidRDefault="0003723E" w:rsidP="0003723E">
      <w:pPr>
        <w:pStyle w:val="aa"/>
      </w:pPr>
    </w:p>
    <w:p w:rsidR="0003723E" w:rsidRPr="00B82EF3" w:rsidRDefault="005311E9" w:rsidP="0003723E">
      <w:pPr>
        <w:pStyle w:val="aa"/>
        <w:rPr>
          <w:sz w:val="22"/>
          <w:szCs w:val="22"/>
        </w:rPr>
      </w:pPr>
      <w:r>
        <w:rPr>
          <w:sz w:val="22"/>
          <w:szCs w:val="22"/>
        </w:rPr>
        <w:t>Таблица</w:t>
      </w:r>
      <w:r w:rsidR="006A0CCF">
        <w:rPr>
          <w:sz w:val="22"/>
          <w:szCs w:val="22"/>
        </w:rPr>
        <w:t xml:space="preserve"> </w:t>
      </w:r>
      <w:r w:rsidR="0003723E" w:rsidRPr="00B82EF3">
        <w:rPr>
          <w:sz w:val="22"/>
          <w:szCs w:val="22"/>
        </w:rPr>
        <w:t>1.</w:t>
      </w:r>
      <w:r>
        <w:rPr>
          <w:sz w:val="22"/>
          <w:szCs w:val="22"/>
        </w:rPr>
        <w:t xml:space="preserve"> – </w:t>
      </w:r>
      <w:r w:rsidR="0003723E" w:rsidRPr="00B82EF3">
        <w:rPr>
          <w:sz w:val="22"/>
          <w:szCs w:val="22"/>
        </w:rPr>
        <w:t xml:space="preserve">Увеличение численности иностранных студентов </w:t>
      </w:r>
      <w:r w:rsidR="00B82EF3" w:rsidRPr="00B82EF3">
        <w:rPr>
          <w:sz w:val="22"/>
          <w:szCs w:val="22"/>
        </w:rPr>
        <w:t>с 1990 по 2002 годы.</w:t>
      </w:r>
    </w:p>
    <w:p w:rsidR="0003723E" w:rsidRDefault="00E014DC" w:rsidP="0003723E">
      <w:pPr>
        <w:pStyle w:val="aa"/>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153pt">
            <v:imagedata r:id="rId7" o:title=""/>
          </v:shape>
        </w:pict>
      </w:r>
    </w:p>
    <w:p w:rsidR="00755277" w:rsidRPr="00104989" w:rsidRDefault="0003723E" w:rsidP="00104989">
      <w:pPr>
        <w:pStyle w:val="aa"/>
      </w:pPr>
      <w:r w:rsidRPr="00104989">
        <w:t xml:space="preserve">Рассмотрим </w:t>
      </w:r>
      <w:r w:rsidR="00B82EF3" w:rsidRPr="00104989">
        <w:t xml:space="preserve">тенденции развития и </w:t>
      </w:r>
      <w:r w:rsidRPr="00104989">
        <w:t>национальные политики в области экспорт</w:t>
      </w:r>
      <w:r w:rsidR="00B82EF3" w:rsidRPr="00104989">
        <w:t>а образовательных услуг по странам.</w:t>
      </w:r>
    </w:p>
    <w:p w:rsidR="00B82EF3" w:rsidRPr="00C87CA2" w:rsidRDefault="00B82EF3" w:rsidP="00850476">
      <w:pPr>
        <w:pStyle w:val="32"/>
        <w:outlineLvl w:val="9"/>
      </w:pPr>
      <w:bookmarkStart w:id="11" w:name="_Toc200529779"/>
      <w:r w:rsidRPr="00C87CA2">
        <w:t>Австралия </w:t>
      </w:r>
      <w:r w:rsidR="00E27570">
        <w:t>и Новая Зеландия</w:t>
      </w:r>
      <w:bookmarkEnd w:id="11"/>
    </w:p>
    <w:p w:rsidR="00B82EF3" w:rsidRPr="00104989" w:rsidRDefault="00B82EF3" w:rsidP="00104989">
      <w:pPr>
        <w:pStyle w:val="aa"/>
      </w:pPr>
      <w:r w:rsidRPr="00104989">
        <w:t xml:space="preserve">Десять лет назад перед высшей школой Австралии стояла такая же задача, как сегодня перед российской вышей школой. </w:t>
      </w:r>
      <w:r w:rsidR="00E27570" w:rsidRPr="00104989">
        <w:t xml:space="preserve">Несмотря на географическую удаленность и малочисленность собственного населения (18 млн. человек), Австралия еще в середине 1990-х годов вошла в пятерку стран </w:t>
      </w:r>
      <w:r w:rsidRPr="00104989">
        <w:t>- ведущих экспортеров образовательных услуг, увеличив за 10 лет число иностранных студентов в 6 раз. Можно говорить, что она в настоящее время на равных конкурирует со странами - лидерами в области предоставления образовательных услуг мирового уровня. Так, в 2001/02 финансовом году объем экспорта австралийского образования составил 4154 млрд. австралийских долл. (3,6 млрд. долл. США), что включает в себя объем доходов за предоставление образовательных услуг иностранным студентам, а также расходы иностранных студентов во время проживания в стране. Наблюдается явная тенденция к росту - так, в первом квартале 2003 года (с января по март) общий объем образовательного экспорта Австралии составил уже около 1846 млрд. австралийских долл. и занял шестое место среди всех экспортных отраслей страны. </w:t>
      </w:r>
    </w:p>
    <w:p w:rsidR="00B82EF3" w:rsidRPr="00104989" w:rsidRDefault="00B82EF3" w:rsidP="00104989">
      <w:pPr>
        <w:pStyle w:val="aa"/>
      </w:pPr>
      <w:r w:rsidRPr="00104989">
        <w:t>В Австралии разработаны и приняты организационные и программные стратегии интернационализации высшего образования и экспорта образовательных услуг. Организационные стратегии включают поддержку вузовских инициатив через политические решения и административные системы страны. Программные стратегии включают в себя следующее: международные студенческие программы; интернационализацию образования посредством интернационализации содержания образовательных программ; международные программы обмена; дистанционное образование и образовательные услуги в зарубежных филиалах; международное научно-техническое сотрудничество и разнообразные курсы профессиональной подготовки, включая краткосрочные и заказные курсы; программы поддержки иностранных студентов. Внедрение этих стратегий, а также финансовая поддержка со стороны как правительства Австралийского содружества в целом (более половины доходной части бюджета вузов Австралии обеспечивается правительством Австралийского содружества (в 2001 г. - 61 %), так и отдельных регионов позволяют постоянно наращивать количество иностранных студентов в австралийских вузах. Кроме того, на основе разработанных критериев эффективности образовательной деятельности университетов правительство через выделение грантов  стимулирует работу по повышению качества предоставляемых образовательных услуг, разработку новых экспорто-направленных образовательных программ. По итогам ежегодной проверки качества подготовки специалистов каждому университету присваивается определенный рейтинг и в соответствии с ними вуз получает дополнительно 60-80 млн. австралийских долл.). Кроме того, предоставляются индивидуальные гранты преподавателям. </w:t>
      </w:r>
    </w:p>
    <w:p w:rsidR="00B82EF3" w:rsidRPr="00104989" w:rsidRDefault="00B82EF3" w:rsidP="00104989">
      <w:pPr>
        <w:pStyle w:val="aa"/>
      </w:pPr>
      <w:r w:rsidRPr="00104989">
        <w:t>Огромное внимание уделяется созданию на зарубежном рынке образовательных услуг позитивного имиджа австралийских университетов, проведению мощных информационно-рекламных кампаний. Созданы общенациональные маркетинговые службы. Австралийские университеты активно участвуют в международных образовательных выставках - ярмарках. Действует общенациональная служба ЮР (International Development Program). </w:t>
      </w:r>
    </w:p>
    <w:p w:rsidR="00E27570" w:rsidRPr="00104989" w:rsidRDefault="00B82EF3" w:rsidP="00104989">
      <w:pPr>
        <w:pStyle w:val="aa"/>
      </w:pPr>
      <w:r w:rsidRPr="00104989">
        <w:t>В 2003 года количество иностранных студентов возросло на 12,5 % (и составило 174 641 иностранный студент), из них около 120 тыс. обучалось в самой Австралии, а более 50 тыс. в филиалах австралийских университетов в зарубежных странах. Это еще одна из особенностей политики Австралии в области экспорта образовательных услуг. Наибольшее количество иностранных студентов прибывают на обучение в Австралию из Малайзии, Индонезии, Сингапура, Китая, Индии и США.</w:t>
      </w:r>
      <w:r w:rsidR="00E27570" w:rsidRPr="00104989">
        <w:t> </w:t>
      </w:r>
    </w:p>
    <w:p w:rsidR="00E27570" w:rsidRPr="00104989" w:rsidRDefault="00E27570" w:rsidP="00104989">
      <w:pPr>
        <w:pStyle w:val="aa"/>
      </w:pPr>
      <w:r w:rsidRPr="00104989">
        <w:t xml:space="preserve">В  крупнейшем в Австралии университете Монэша обучается </w:t>
      </w:r>
      <w:r w:rsidR="0050660E">
        <w:t>12 тысяч</w:t>
      </w:r>
      <w:r w:rsidRPr="00104989">
        <w:t xml:space="preserve"> иностранных</w:t>
      </w:r>
      <w:r w:rsidR="0050660E">
        <w:t xml:space="preserve"> студентов</w:t>
      </w:r>
      <w:r w:rsidRPr="00104989">
        <w:t xml:space="preserve">. К 2020 году университет планирует удвоить количество своих студентов, из которых 50% будут иностранными гражданами. </w:t>
      </w:r>
    </w:p>
    <w:p w:rsidR="00E27570" w:rsidRPr="00104989" w:rsidRDefault="00E27570" w:rsidP="00104989">
      <w:pPr>
        <w:pStyle w:val="aa"/>
      </w:pPr>
      <w:r w:rsidRPr="00104989">
        <w:t xml:space="preserve">Впечатляющих успехов по привлечению иностранных студентов достигла и другая островная страна - Новая Зеландия, увеличившая с 1997 по 2002 год количество иностранных студентов почти в пять раз (30 тысяч человек). </w:t>
      </w:r>
    </w:p>
    <w:p w:rsidR="00C87CA2" w:rsidRPr="00B46D2B" w:rsidRDefault="00C87CA2" w:rsidP="00850476">
      <w:pPr>
        <w:pStyle w:val="32"/>
        <w:outlineLvl w:val="9"/>
      </w:pPr>
      <w:bookmarkStart w:id="12" w:name="_Toc200529780"/>
      <w:r w:rsidRPr="00B46D2B">
        <w:t>Великобритания</w:t>
      </w:r>
      <w:bookmarkEnd w:id="12"/>
    </w:p>
    <w:p w:rsidR="002C0BA5" w:rsidRPr="00104989" w:rsidRDefault="00C87CA2" w:rsidP="00104989">
      <w:pPr>
        <w:pStyle w:val="aa"/>
      </w:pPr>
      <w:r w:rsidRPr="00104989">
        <w:t xml:space="preserve">Британские университеты стабильно занимают второе место по числу обучающихся иностранных студентов, уступая только США. </w:t>
      </w:r>
    </w:p>
    <w:p w:rsidR="00C87CA2" w:rsidRPr="00104989" w:rsidRDefault="002C0BA5" w:rsidP="00104989">
      <w:pPr>
        <w:pStyle w:val="aa"/>
      </w:pPr>
      <w:r w:rsidRPr="00104989">
        <w:t xml:space="preserve"> </w:t>
      </w:r>
      <w:r w:rsidR="00C87CA2" w:rsidRPr="00104989">
        <w:t>В июне 1999 г. премьер-министр Великобритании Э. Блэр объявил о начале широкомасштабной кампании по продвижению британского высшего образования за рубежом и по привлечению большего количества иностранных студентов в университеты и колледжи Соединенного Королевства. Программой была заложена цель - достичь к 2005 году увеличения доли участия Великобритании в рынке образовательных услуг на 25%, путем дополнительного привлечения 50 тыс. иностранных студентов, и соответственно увеличения почти на 500 млн. фунтов ежегодного дохода от экспорта образовательных услуг. Кроме того, к 2005 г. должны были удвоить количество иностранных студентов, обучающихся в рамках постдипломного образования, добившись его прироста еще на 25 тыс. человек, что дало ежегодно еще 200 млн. фунтов дополнительного дохода. На уровне министерств было достигнуто соглашение о проведении совместных мероприятий, которые позволят иностранным студентам облегчить процедуру поступления в британские вузы, а именно: оптимизация процесса получения виз иностранными студентами; улучшение информированности потенциальных студентов; предоставление студентам возможности совмещать учебу и работу, как в период обучения, так и на каникулах. </w:t>
      </w:r>
    </w:p>
    <w:p w:rsidR="00C87CA2" w:rsidRPr="00104989" w:rsidRDefault="00C87CA2" w:rsidP="00104989">
      <w:pPr>
        <w:pStyle w:val="aa"/>
      </w:pPr>
      <w:r w:rsidRPr="00104989">
        <w:t>Важнейшим инструментом реализации государственной политики в области международного образования, науки, культуры Великобритании является Британский Совет, созданный в 1934 г. </w:t>
      </w:r>
    </w:p>
    <w:p w:rsidR="00717F84" w:rsidRPr="00104989" w:rsidRDefault="00C87CA2" w:rsidP="00104989">
      <w:pPr>
        <w:pStyle w:val="aa"/>
      </w:pPr>
      <w:r w:rsidRPr="00104989">
        <w:t>С января 2000 года Британский Совет проводит трехгодичную маркетинговую кампанию в ключевых странах по всему миру, финансируемую правительством страны в размере 5 млн. фунтов стерлингов. В структуре Британского Совета работает Служба образовательного консультирования, основанная в 1984 г., которая разрабатывает стратегию развития маркетинга образования Великобритании, а также мер по привлечению иностранных студентов в британские вузы, проводит исследования и мониторинг в области реализации инициативы Кабинета министров через Британский Совет и другие агентства. Ее приоритетами в области экспорта образовательных услуг определены более 20 стран, в том числа Россия. Наряду с активным участием в международных выставках за рубежом, регулярно проводятся национальные выставки и «образовательные ярмарки». </w:t>
      </w:r>
    </w:p>
    <w:p w:rsidR="00717F84" w:rsidRPr="00104989" w:rsidRDefault="00C87CA2" w:rsidP="00104989">
      <w:pPr>
        <w:pStyle w:val="aa"/>
      </w:pPr>
      <w:r w:rsidRPr="00104989">
        <w:t>Ведется работа по расширению финансирования обучения и научных исследований иностранных студентов в британских вузах через предоставление стипендий, как Британским Советом, так и другими независимыми фондами и отдельными университетами. Наблюдается тенденция к расширению географических рамок и приоритетов в предоставлении стипендий иностранным студентам и исследователям. Основное финансирование Британского Совета осуществляется Министерством иностранных дел Великобритании, а также другими государственными департаментами и агентствами, частными и университетскими фондами и благотворительными организациями, около половины бюджета формируется за счет продажи услуг. Предполагаемый объем бюджета Совета на 2003/04 год - 479 млн. фунтов стерлингов. </w:t>
      </w:r>
    </w:p>
    <w:p w:rsidR="0050660E" w:rsidRDefault="002C0BA5" w:rsidP="00104989">
      <w:pPr>
        <w:pStyle w:val="aa"/>
      </w:pPr>
      <w:r w:rsidRPr="00104989">
        <w:t>Все это способствует постоянному увеличению количества иностранных студентов. В Великобритании наибольшее число иностранных студентов - граждане КНР - более 20 тысяч человек, далее следуют Малайзия (более 10 тысяч), США (10 тысяч), Гонконг (около 9 тысяч), Индия (7600), Япония (более 6 тысяч). Российских студентов в Великобритании обучается более полутора тысяч. Таким образом, численность иностранных студентов приблизилась к четверти миллиона человек, несмотря на то, что эта Великобритания - одна из самых дорогих для учебы и про</w:t>
      </w:r>
      <w:r w:rsidR="0050660E">
        <w:t>живания иностранных студентов. О расходах на обучение и проживание в этой стране речь пойдет ниже.</w:t>
      </w:r>
    </w:p>
    <w:p w:rsidR="00C87CA2" w:rsidRDefault="002C0BA5" w:rsidP="0017782F">
      <w:pPr>
        <w:pStyle w:val="aa"/>
      </w:pPr>
      <w:r w:rsidRPr="00104989">
        <w:t>Следует отметить, что вклад иностранных студентов в экономику Великобритании составляет 5,3 млрд. долларов в год и</w:t>
      </w:r>
      <w:r w:rsidR="0017782F">
        <w:t xml:space="preserve"> имеет тенденцию к увеличению. </w:t>
      </w:r>
    </w:p>
    <w:p w:rsidR="00B46D2B" w:rsidRPr="00B46D2B" w:rsidRDefault="00B46D2B" w:rsidP="00850476">
      <w:pPr>
        <w:pStyle w:val="32"/>
        <w:outlineLvl w:val="9"/>
      </w:pPr>
      <w:bookmarkStart w:id="13" w:name="_Toc200529781"/>
      <w:r w:rsidRPr="00B46D2B">
        <w:t>Германия</w:t>
      </w:r>
      <w:bookmarkEnd w:id="13"/>
    </w:p>
    <w:p w:rsidR="00B46D2B" w:rsidRPr="002B738B" w:rsidRDefault="00B46D2B" w:rsidP="002B738B">
      <w:pPr>
        <w:pStyle w:val="aa"/>
      </w:pPr>
      <w:r w:rsidRPr="002B738B">
        <w:t>Основные цели и задачи развития образовательной системы Германии на ближайшие 15 лет были обозначены в декабре 2002 г. в докладе министра образования Германии Эдельгард Бульман. В числе приоритетных задач были отмечена модернизация структуры образования и обеспечение конкурентоспособности немецкого образования на мировом рынке образовательных услуг. </w:t>
      </w:r>
    </w:p>
    <w:p w:rsidR="00B46D2B" w:rsidRPr="002B738B" w:rsidRDefault="00B46D2B" w:rsidP="002B738B">
      <w:pPr>
        <w:pStyle w:val="aa"/>
      </w:pPr>
      <w:r w:rsidRPr="002B738B">
        <w:t>Федеральным министерством внутренних дел Германии, министерствами федеральных земель разработана специальная программа мер по привлечению в страну иностранных студентов, разработаны мероприятия по усилению международной «привлекательности» немецких вузов; улучшению качества образовательных услуг на всех уровнях; большему учету запросов зарубежных стран. Максимально упрощено получение въездных виз в Германию для иностранных студентов, их срок пребывания в Германии увеличен с 10 до 15 лет. После чего разрешение на жительство можно продлить не на год, как раньше, а на два. В каждом государственном вузе Германии специально резервируется 5 % мест для иностранных студентов. Многие высшие учебные заведения начали обучение иностранных студентов на английском языке. </w:t>
      </w:r>
    </w:p>
    <w:p w:rsidR="00B46D2B" w:rsidRPr="002B738B" w:rsidRDefault="00B46D2B" w:rsidP="002B738B">
      <w:pPr>
        <w:pStyle w:val="aa"/>
      </w:pPr>
      <w:r w:rsidRPr="002B738B">
        <w:t>С 2001 г. осуществляется специальная про- грамма «Международный маркетинг образовательного и исследовательского пространства Германии». Она финансируется Министерством науки и исследований, Федеральным союзом работодателей, Немецким исследовательским обществом, ДААД, фондом Александра Гумбольдта, Конференцией ректоров высших школ и др., ее целью является повышение экспортного потенциала высшей школы Германии и привлечение иностранных студентов и аспирантов. Причем ставится задача не просто привлечь иностранных студентов, но и создать условия для того, чтобы зарубежные высококвалифицированные научные кадры оставались в стране (Германии не хватает 30 тыс. программистов). </w:t>
      </w:r>
    </w:p>
    <w:p w:rsidR="00B46D2B" w:rsidRPr="002B738B" w:rsidRDefault="00B46D2B" w:rsidP="002B738B">
      <w:pPr>
        <w:pStyle w:val="aa"/>
      </w:pPr>
      <w:r w:rsidRPr="002B738B">
        <w:t>Министерство науки и исследований совместно с Немецким студенческим обществом с 2002 г. осуществляют проект «Интернационализация обучения: иностранные студенты в Германии - немецкие студенты за рубежом». </w:t>
      </w:r>
    </w:p>
    <w:p w:rsidR="006B7381" w:rsidRPr="002B738B" w:rsidRDefault="00B46D2B" w:rsidP="002B738B">
      <w:pPr>
        <w:pStyle w:val="aa"/>
      </w:pPr>
      <w:r w:rsidRPr="002B738B">
        <w:t>Важнейшее место в привлечении иностранных студентов в вузы Германии принадлежит Германской службе академических обменов (ДААД). ДААД реализует 380 программ, из которых большинство направлено на предоставление возможности, в том числе финансовой, иностранным студентам обучаться в ФРГ. </w:t>
      </w:r>
    </w:p>
    <w:p w:rsidR="006B7381" w:rsidRPr="002B738B" w:rsidRDefault="00B46D2B" w:rsidP="002B738B">
      <w:pPr>
        <w:pStyle w:val="aa"/>
      </w:pPr>
      <w:r w:rsidRPr="002B738B">
        <w:t>В результате этой политики только за 2002 г. произошло увеличение числа иностранных студентов еще на 15 %. Германия стабильно занимает третье место по экспорту образовательных услуг. По данным Федерального статистического ведомства, в 2002 г. в Германии обучалось 206 757 иностранных студентов (из общего количества студентов в стране -</w:t>
      </w:r>
      <w:r w:rsidR="006B7381" w:rsidRPr="002B738B">
        <w:t xml:space="preserve"> </w:t>
      </w:r>
      <w:r w:rsidRPr="002B738B">
        <w:t xml:space="preserve">1 860 698). По числу иностранных учащихся Германия прочно удерживает третье место в мире, в </w:t>
      </w:r>
      <w:r w:rsidR="006B7381" w:rsidRPr="002B738B">
        <w:t>Германии</w:t>
      </w:r>
      <w:r w:rsidRPr="002B738B">
        <w:t xml:space="preserve"> обучаются 12 % всех иностранных студентов. </w:t>
      </w:r>
      <w:r w:rsidR="006B7381" w:rsidRPr="002B738B">
        <w:t>В Штутгартском универ</w:t>
      </w:r>
      <w:r w:rsidR="0017782F">
        <w:t xml:space="preserve">ситете менеджмента и технологий </w:t>
      </w:r>
      <w:r w:rsidR="006B7381" w:rsidRPr="002B738B">
        <w:t xml:space="preserve">соотношение между немецкими и иностранными студентами составляет 30:70. Для удобства последних преподавание ведется на английском языке, а соотношение преподавателей к студентам составляет 1:5.  В Техническом университете Гамбурга половина учебных мест также зарезервирована для иностранцев, семинары и лекции проводятся как на немецком, так и на английском языках. </w:t>
      </w:r>
    </w:p>
    <w:p w:rsidR="0017782F" w:rsidRDefault="006B7381" w:rsidP="002B738B">
      <w:pPr>
        <w:pStyle w:val="aa"/>
      </w:pPr>
      <w:r w:rsidRPr="002B738B">
        <w:t xml:space="preserve">В 2004 году правительство Германии увеличило численность иностранных учащихся в стране до 300 тысяч человек, при этом темпы роста их численности вдвое превысили рост численности немецких студентов.   </w:t>
      </w:r>
    </w:p>
    <w:p w:rsidR="006B7381" w:rsidRPr="002B738B" w:rsidRDefault="006B7381" w:rsidP="002B738B">
      <w:pPr>
        <w:pStyle w:val="aa"/>
      </w:pPr>
      <w:r w:rsidRPr="002B738B">
        <w:t>В последние годы отмечен значительный прирост студентов из Китая (на 83 %) и из стран Центрально-Восточной Европы - на 204 %. </w:t>
      </w:r>
    </w:p>
    <w:p w:rsidR="00B46D2B" w:rsidRDefault="0010347E" w:rsidP="00850476">
      <w:pPr>
        <w:pStyle w:val="32"/>
        <w:outlineLvl w:val="9"/>
      </w:pPr>
      <w:bookmarkStart w:id="14" w:name="_Toc200529782"/>
      <w:r>
        <w:t>Соединенные Штаты Америки</w:t>
      </w:r>
      <w:bookmarkEnd w:id="14"/>
    </w:p>
    <w:p w:rsidR="0010347E" w:rsidRPr="002B738B" w:rsidRDefault="0010347E" w:rsidP="002B738B">
      <w:pPr>
        <w:pStyle w:val="aa"/>
      </w:pPr>
      <w:r w:rsidRPr="002B738B">
        <w:t>США являются мировым лидером по числу обучающихся в стране иностранных студентов. </w:t>
      </w:r>
    </w:p>
    <w:p w:rsidR="009D5333" w:rsidRPr="002B738B" w:rsidRDefault="0010347E" w:rsidP="002B738B">
      <w:pPr>
        <w:pStyle w:val="aa"/>
      </w:pPr>
      <w:r w:rsidRPr="002B738B">
        <w:t xml:space="preserve">В 2001/2002 уч. г. численность иностранных студентов, обучающихся в университетах и колледжах США, увеличилась на 6,4%. В результате общая численность иностранных студентов в США достигла величины 582 996 человек. Это самый большой рост количества иностранных студентов за последние 20 лет. Более 56% иностранных студентов - выходцы из стран Азии, наибольшее число иностранных студентов прибывает из Индии - около 67 тысяч человек, далее идут КНР, Южная Корея, Япония, из России - 2 тыс. </w:t>
      </w:r>
    </w:p>
    <w:p w:rsidR="009D5333" w:rsidRPr="002B738B" w:rsidRDefault="009D5333" w:rsidP="002B738B">
      <w:pPr>
        <w:pStyle w:val="aa"/>
      </w:pPr>
      <w:r w:rsidRPr="002B738B">
        <w:t>В 2000 году Билл Клинтон в специальном меморандуме заявил основы государственной политики в этой сфере. Основная задача — продвижение на международный рынок образовательных услуг по уже существующим учебным программам. Конкретные меры: объединение усилий всех структур, участвующих в процессе высшего образования, по привлечению иностранных студентов для обучения в США; снятие барьеров, препятствующих студенческой мобильности; оптимизация функционирования фондов и других структур, обеспечивающих существование программ студенческого и академического обмена; использование и развитие современных технологий обучения и т.д. Но такой подход был подвергнут критике, особенно на ежегодных конференциях NAFSA (Ассоциация международного образования). Основной аргумент: мир не стоит на месте и нужно предлагать все новые и новые образовательные продукты.   </w:t>
      </w:r>
    </w:p>
    <w:p w:rsidR="0010347E" w:rsidRPr="002B738B" w:rsidRDefault="0010347E" w:rsidP="002B738B">
      <w:pPr>
        <w:pStyle w:val="aa"/>
      </w:pPr>
      <w:r w:rsidRPr="002B738B">
        <w:t>Политика департамента образования США направлена на: </w:t>
      </w:r>
    </w:p>
    <w:p w:rsidR="0010347E" w:rsidRPr="00D162F1" w:rsidRDefault="0010347E" w:rsidP="002B738B">
      <w:pPr>
        <w:pStyle w:val="aa"/>
        <w:numPr>
          <w:ilvl w:val="0"/>
          <w:numId w:val="8"/>
        </w:numPr>
        <w:tabs>
          <w:tab w:val="left" w:pos="993"/>
        </w:tabs>
        <w:ind w:left="0" w:firstLine="709"/>
      </w:pPr>
      <w:r w:rsidRPr="00D162F1">
        <w:t>распространение информации об образовательной политике и практике США, обеспечении лидирующей роли страны в вопросах экспорта образования, целенаправленную работу с соответствующими партнерами в других; </w:t>
      </w:r>
    </w:p>
    <w:p w:rsidR="0010347E" w:rsidRPr="00D162F1" w:rsidRDefault="0010347E" w:rsidP="002B738B">
      <w:pPr>
        <w:pStyle w:val="aa"/>
        <w:numPr>
          <w:ilvl w:val="0"/>
          <w:numId w:val="8"/>
        </w:numPr>
        <w:tabs>
          <w:tab w:val="left" w:pos="993"/>
        </w:tabs>
        <w:ind w:left="0" w:firstLine="709"/>
      </w:pPr>
      <w:r w:rsidRPr="00D162F1">
        <w:t>изучение эффективной практики других стран в области высшего образования с целью улучшения высшего образования в США; </w:t>
      </w:r>
    </w:p>
    <w:p w:rsidR="0010347E" w:rsidRPr="00D162F1" w:rsidRDefault="0010347E" w:rsidP="002B738B">
      <w:pPr>
        <w:pStyle w:val="aa"/>
        <w:numPr>
          <w:ilvl w:val="0"/>
          <w:numId w:val="8"/>
        </w:numPr>
        <w:tabs>
          <w:tab w:val="left" w:pos="993"/>
        </w:tabs>
        <w:ind w:left="0" w:firstLine="709"/>
      </w:pPr>
      <w:r w:rsidRPr="00D162F1">
        <w:t>поддержку международной и экономической политики США путем укрепления связей с другими странами в области образования и создания благоприятных условий для экспорта образовательных услуг. </w:t>
      </w:r>
    </w:p>
    <w:p w:rsidR="009D5333" w:rsidRDefault="0010347E" w:rsidP="009D5333">
      <w:pPr>
        <w:pStyle w:val="aa"/>
      </w:pPr>
      <w:r w:rsidRPr="00D162F1">
        <w:t>Для осуществления данной политики департамент образования США разрабатывает и принимает участие в различных программах и мероприятиях, в числе которых образовательная информационная сеть США; национальный центр по статистике образования, совместные программы обмена по образованию, ежегодные международные недели образования, проведение встреч, семинаров, участие в международных зарубежных конференциях, форумах, образовательных выставках. </w:t>
      </w:r>
    </w:p>
    <w:p w:rsidR="0010347E" w:rsidRPr="00D162F1" w:rsidRDefault="007652FC" w:rsidP="00D162F1">
      <w:pPr>
        <w:pStyle w:val="aa"/>
      </w:pPr>
      <w:r w:rsidRPr="003947F0">
        <w:t xml:space="preserve">В 2002 году в стране создана федеральная служба, занимающаяся только проблемами иностранных студентов. </w:t>
      </w:r>
      <w:r>
        <w:t> </w:t>
      </w:r>
    </w:p>
    <w:p w:rsidR="0010347E" w:rsidRDefault="0010347E" w:rsidP="007652FC">
      <w:pPr>
        <w:pStyle w:val="aa"/>
      </w:pPr>
      <w:r w:rsidRPr="00D162F1">
        <w:t>Наиболее популярные среди иностранных студентов области обучения - это управление, инженерные дисциплины и компьютерные науки. Ведущим по численности иностранных студентов из всех американских штатов является штат Калифорния, а из всех американских вузов - Калифорнийский университет (каждый пятый студент вуза - иностранец). Второе место занимает Нью-йоркский университет. </w:t>
      </w:r>
    </w:p>
    <w:p w:rsidR="0010347E" w:rsidRPr="00D162F1" w:rsidRDefault="0010347E" w:rsidP="007652FC">
      <w:pPr>
        <w:pStyle w:val="aa"/>
      </w:pPr>
      <w:r w:rsidRPr="00D162F1">
        <w:t xml:space="preserve">Наличие такого большого числа иностранных студентов в этих вузах обусловлено не только эффективными рекламными кампаниями и привлекательными для иностранцев местоположением университетов, а, прежде всего тем, что университеты действительно стали международными и обеспечивают качество подготовки в соответствии с мировыми стандартами. В Нью-йоркском университете действует программа формирования «глобального преподавательского состава», в соответствии с которой ученые из вузов-партнеров по всему миру регулярно приезжают в этот университет для осуществления преподавательской и исследовательской деятельности. На иностранных студентов ныне приходится 4 % общей численности студентов американской высшей школы. </w:t>
      </w:r>
      <w:r w:rsidR="007652FC">
        <w:t>Так,</w:t>
      </w:r>
      <w:r w:rsidR="007652FC" w:rsidRPr="003947F0">
        <w:t xml:space="preserve"> Китай ежегодно платит 1 млрд. долл. США за подготовку за границей своих студентов, стажеров, аспирантов</w:t>
      </w:r>
      <w:r w:rsidR="007652FC">
        <w:t>.</w:t>
      </w:r>
      <w:r w:rsidR="007652FC" w:rsidRPr="00D162F1">
        <w:t xml:space="preserve"> </w:t>
      </w:r>
      <w:r w:rsidRPr="00D162F1">
        <w:t>Вместе с ними поступило более 14 млрд. долл. в виде оплаты обучения, проживания и пр. расходов.</w:t>
      </w:r>
      <w:r w:rsidR="007652FC" w:rsidRPr="003947F0">
        <w:t xml:space="preserve"> </w:t>
      </w:r>
      <w:r w:rsidRPr="00D162F1">
        <w:t>Для сравнения - экспорт вооружений в 2002 г. составил 13,3 млрд. долл. США. </w:t>
      </w:r>
    </w:p>
    <w:p w:rsidR="007652FC" w:rsidRDefault="0010347E" w:rsidP="00D162F1">
      <w:pPr>
        <w:pStyle w:val="aa"/>
      </w:pPr>
      <w:r w:rsidRPr="00D162F1">
        <w:t>По данным департамента торговли, высшее образование в США является пятым по счету из наиболее крупных секторов экспортируемых услуг в стране. </w:t>
      </w:r>
    </w:p>
    <w:p w:rsidR="00B35E09" w:rsidRDefault="00B35E09" w:rsidP="00850476">
      <w:pPr>
        <w:pStyle w:val="32"/>
        <w:outlineLvl w:val="9"/>
      </w:pPr>
      <w:bookmarkStart w:id="15" w:name="_Toc200529783"/>
      <w:r w:rsidRPr="00B35E09">
        <w:t>Страны Азии</w:t>
      </w:r>
      <w:bookmarkEnd w:id="15"/>
    </w:p>
    <w:p w:rsidR="00B35E09" w:rsidRDefault="00B35E09" w:rsidP="00B35E09">
      <w:pPr>
        <w:pStyle w:val="aa"/>
      </w:pPr>
      <w:r w:rsidRPr="003947F0">
        <w:t>Энергично наращивают усилия в области международного образования экономически развитые страны Азии, прежде всего Япония (в настоящее время - более 70 тысяч). Быстро прогрессирует Китай, который за последние 10 лет увеличил количество обучающихся в китайский вузах иностранцев в восемь раз (до 40 тысяч человек). В последние годы в экономику образования вложил многие миллионы долларов Сингапур, также превратившийся в крупный международный образовательный центр, активно использующий различные современные, в том числе дистанционные формы обучения.</w:t>
      </w:r>
      <w:r>
        <w:t>  </w:t>
      </w:r>
    </w:p>
    <w:p w:rsidR="00B35E09" w:rsidRDefault="00B35E09" w:rsidP="00850476">
      <w:pPr>
        <w:pStyle w:val="32"/>
        <w:outlineLvl w:val="9"/>
      </w:pPr>
      <w:bookmarkStart w:id="16" w:name="_Toc200529784"/>
      <w:r w:rsidRPr="00B35E09">
        <w:t>Россия</w:t>
      </w:r>
      <w:bookmarkEnd w:id="16"/>
    </w:p>
    <w:p w:rsidR="00B35E09" w:rsidRPr="00B35E09" w:rsidRDefault="00B35E09" w:rsidP="007C235C">
      <w:pPr>
        <w:pStyle w:val="aa"/>
        <w:rPr>
          <w:b/>
        </w:rPr>
      </w:pPr>
      <w:r w:rsidRPr="003947F0">
        <w:t>Каково место России на международном рынке образовательных услуг? В 1980-е годы СССР фактически занимал второе место в мире после США по количеству студентов-иностранцев. С распадом СССР количество иностранных студентов из дальнего зарубежья сократилось в 2-3 раза, но зато появились новые иностранные студенты - из стран СНГ и Балтии. К 1996/97 учебному году число студентов из стран ближнего зарубежья в российской высшей школе также сократилось в 3,5 раза, и до настоящего времени ситуация не изменилась. По данным ЮНЕСКО, в 1996 году доля иностранных студентов, обучавшихся в России, составляла около 5% от общемировой численности всех иностранных студентов, насчитыва</w:t>
      </w:r>
      <w:r>
        <w:t xml:space="preserve">вшей свыше 1,5 миллиона </w:t>
      </w:r>
      <w:r w:rsidRPr="00B35E09">
        <w:t>чел</w:t>
      </w:r>
      <w:r>
        <w:t>овек, что не соответствует ее образовательному потенциалу.</w:t>
      </w:r>
      <w:r w:rsidR="009E0338">
        <w:t xml:space="preserve"> П</w:t>
      </w:r>
      <w:r w:rsidRPr="00B35E09">
        <w:t>оказатель доли иностранцев в составе российских студентов равен 1,7%, в то время как в Германии он составляет 10%, в США-3,9%.</w:t>
      </w:r>
      <w:r>
        <w:rPr>
          <w:color w:val="FF0000"/>
        </w:rPr>
        <w:t> </w:t>
      </w:r>
      <w:r>
        <w:t>  </w:t>
      </w:r>
      <w:r>
        <w:rPr>
          <w:color w:val="FF0000"/>
        </w:rPr>
        <w:t> </w:t>
      </w:r>
    </w:p>
    <w:p w:rsidR="005654BF" w:rsidRDefault="005654BF" w:rsidP="00E618DA">
      <w:pPr>
        <w:pStyle w:val="23"/>
      </w:pPr>
    </w:p>
    <w:p w:rsidR="0017782F" w:rsidRDefault="0017782F" w:rsidP="0017782F">
      <w:pPr>
        <w:pStyle w:val="32"/>
        <w:ind w:firstLine="0"/>
      </w:pPr>
    </w:p>
    <w:p w:rsidR="005654BF" w:rsidRPr="00751753" w:rsidRDefault="005654BF" w:rsidP="00850476">
      <w:pPr>
        <w:pStyle w:val="32"/>
        <w:ind w:firstLine="0"/>
        <w:outlineLvl w:val="0"/>
      </w:pPr>
      <w:bookmarkStart w:id="17" w:name="_Toc201309168"/>
      <w:r w:rsidRPr="00751753">
        <w:t>Глава 2.  Анализ стран-лидеров, предоставляющих образовательные услуги</w:t>
      </w:r>
      <w:r w:rsidR="003F3445">
        <w:t>. Э</w:t>
      </w:r>
      <w:r w:rsidR="0084152C">
        <w:t>кономическая эффективность</w:t>
      </w:r>
      <w:r w:rsidR="00FA06BD">
        <w:t xml:space="preserve"> экспорта услуг</w:t>
      </w:r>
      <w:bookmarkEnd w:id="17"/>
      <w:r w:rsidRPr="00751753">
        <w:t xml:space="preserve"> </w:t>
      </w:r>
    </w:p>
    <w:p w:rsidR="005015D4" w:rsidRPr="005015D4" w:rsidRDefault="00751753" w:rsidP="00850476">
      <w:pPr>
        <w:pStyle w:val="32"/>
        <w:outlineLvl w:val="1"/>
      </w:pPr>
      <w:bookmarkStart w:id="18" w:name="_Toc201309169"/>
      <w:r>
        <w:t xml:space="preserve">1. </w:t>
      </w:r>
      <w:r w:rsidR="005015D4" w:rsidRPr="005015D4">
        <w:t>Рейтинг стран, основанный на доле иностранных студентов</w:t>
      </w:r>
      <w:bookmarkEnd w:id="18"/>
    </w:p>
    <w:p w:rsidR="00997070" w:rsidRDefault="00997070" w:rsidP="005015D4">
      <w:pPr>
        <w:pStyle w:val="aa"/>
      </w:pPr>
      <w:r>
        <w:t xml:space="preserve">Для высшей школы зарубежных стран характерна многоуровневая (ступенчатая, цикличная) структура организации высшего образования, что предопределяет иерархию уровней и соответствующих им дипломов. Выделяются два основных уровня: </w:t>
      </w:r>
    </w:p>
    <w:p w:rsidR="00997070" w:rsidRDefault="00997070" w:rsidP="00997070">
      <w:pPr>
        <w:pStyle w:val="aa"/>
      </w:pPr>
      <w:r>
        <w:t>- первая университетская степень, присваиваемая после 3-4 лет обучения. В США, Великобритании и многих странах, принявших англо-американскую модель высшего образования Китай, Корея, Япония - это степень бакалавра; во Франции, Испании и странах с аналогичными  моделями высшего образования – это степень (или диплом) лиценциата;</w:t>
      </w:r>
    </w:p>
    <w:p w:rsidR="00997070" w:rsidRDefault="00997070" w:rsidP="00997070">
      <w:pPr>
        <w:pStyle w:val="aa"/>
      </w:pPr>
      <w:r>
        <w:t>- вторая университетская степень, присваиваемая после 1-2 лет дополнительного обучения при условии, что общая продолжительность не менее 5 лет (в Великобритании 4-5 лет). Обычно это степень магистра (мастера) или другая национальная квалификация, признанная эквивалентной степени магистра.</w:t>
      </w:r>
    </w:p>
    <w:p w:rsidR="00997070" w:rsidRDefault="00997070" w:rsidP="00997070">
      <w:pPr>
        <w:pStyle w:val="aa"/>
      </w:pPr>
      <w:r>
        <w:t>Современная тенденция развития высшего образования заключается в придании квалификации бакалавра и частично магистра более профессионально ориентированного характера, что достигается как изменением содержания существующих образовательных программ, так и более радикальным способом - разделением этих квалификаций, в первую очередь, бакалавра, на два типа: с академической ориентацией и профессиональной ориентацией. Подобное разделение квалификаций и следовательно, образовательных программ планируется в ряде европейских стран в рамках Болонского процесса – в ходе мероприятий по созданию Европейского пространства высшего образования (Германия, Франция, Швеция и др.)</w:t>
      </w:r>
    </w:p>
    <w:p w:rsidR="00997070" w:rsidRDefault="00997070" w:rsidP="00284BE7">
      <w:pPr>
        <w:pStyle w:val="aa"/>
      </w:pPr>
      <w:r>
        <w:t>Для стран с развитой двухуровневой структурой высшего образования обучение на уровне второй ступени продолжает меньшая часть выпускников бакалавриата. Так, в США из примерно 13 млн. студентов вузов (в 2003 г.) 23% обучались  по 2-летним образовательным программам, 63% по программам бакалавриата, 12% по программам магистра и приравненных к ним и 2% - в докторантуре (аналог российской аспирантуры). Соответственно среди выпускников вузов на долю бакалавров приходилось 52%, на долю магистров около 20% и на долю докторантов – 2%. Подобное или сопоставимое соотношение между бакалаврами и магистрами наблюдается также во многих других странах.</w:t>
      </w:r>
    </w:p>
    <w:p w:rsidR="00284BE7" w:rsidRDefault="00284BE7" w:rsidP="00284BE7">
      <w:pPr>
        <w:pStyle w:val="aa"/>
      </w:pPr>
      <w:r>
        <w:t>Имеется большое разнообразие организационно-правовых форм учреждений высшего образования. Среди них выделяются две наиболее распространенные:</w:t>
      </w:r>
    </w:p>
    <w:p w:rsidR="00284BE7" w:rsidRDefault="00284BE7" w:rsidP="00284BE7">
      <w:pPr>
        <w:pStyle w:val="aa"/>
      </w:pPr>
      <w:r>
        <w:t>- вуз, имеющий статус государственного образовательного учреждения. Эта форма распространена в странах, в которых высшая школа в основном находится в ведении государства (Германия, Франция, Испания, Италия, страны Северной и Восточной Европы, СНГ и Балтии, Китая и др.);</w:t>
      </w:r>
    </w:p>
    <w:p w:rsidR="00284BE7" w:rsidRDefault="00284BE7" w:rsidP="00284BE7">
      <w:pPr>
        <w:pStyle w:val="aa"/>
      </w:pPr>
      <w:r>
        <w:t>- вуз, имеющий статус негосударственного (частного) образовательного учреждения. Сюда относятся университеты Великобритании и большинство крупнейших университетов США, имеющих статус корпорации, что характерно также для ряда других стран (Канада, частично Япония и др.). Государство не принимает непосредственного участия в регулировании, обеспечении и контроле деятельности вузов, однако использует для этого различные рычаги косвенного влияния и прежде всего, механизмы субсидирования, аккредитации.</w:t>
      </w:r>
    </w:p>
    <w:p w:rsidR="0017782F" w:rsidRDefault="00284BE7" w:rsidP="00284BE7">
      <w:pPr>
        <w:pStyle w:val="aa"/>
      </w:pPr>
      <w:r>
        <w:t>Особое место среди негосударственных вузов занимают вузы, находящиеся в ведении церкви или конфессиональных сообществ (Бельгия, Италия, Испания, Бразилия, Япония и др.). Деятельность этих вузов, частных по своему статусу, в значительной степени обеспечивается при поддержке государства.</w:t>
      </w:r>
    </w:p>
    <w:p w:rsidR="006A0CCF" w:rsidRDefault="00C039E3" w:rsidP="006A0CCF">
      <w:pPr>
        <w:pStyle w:val="aa"/>
      </w:pPr>
      <w:r w:rsidRPr="00E618DA">
        <w:t>По оценкам Всемирной торговой организации (ВТО), емкость мирового рынка образования — 50−60 млрд долларов. Рынок, складывавшийся по</w:t>
      </w:r>
      <w:r w:rsidR="00817BEA" w:rsidRPr="00E618DA">
        <w:t xml:space="preserve">чти шестьдесят лет, на сегодня </w:t>
      </w:r>
      <w:r w:rsidRPr="00E618DA">
        <w:t>поделен</w:t>
      </w:r>
      <w:r w:rsidR="006A0CCF">
        <w:t xml:space="preserve"> (Рис.1)</w:t>
      </w:r>
      <w:r w:rsidRPr="00E618DA">
        <w:t xml:space="preserve">. </w:t>
      </w:r>
    </w:p>
    <w:p w:rsidR="0017782F" w:rsidRPr="006A0CCF" w:rsidRDefault="00E014DC" w:rsidP="006A0CCF">
      <w:pPr>
        <w:pStyle w:val="aa"/>
      </w:pPr>
      <w:r>
        <w:rPr>
          <w:sz w:val="22"/>
          <w:szCs w:val="22"/>
        </w:rPr>
        <w:pict>
          <v:shape id="_x0000_s1026" type="#_x0000_t75" style="position:absolute;left:0;text-align:left;margin-left:0;margin-top:4.55pt;width:441pt;height:216.65pt;z-index:-251658752" wrapcoords="167 438 167 21099 21332 21099 21332 438 167 438">
            <v:imagedata r:id="rId8" o:title=""/>
            <w10:wrap type="tight"/>
          </v:shape>
        </w:pict>
      </w:r>
    </w:p>
    <w:p w:rsidR="0017782F" w:rsidRDefault="0017782F" w:rsidP="00E618DA">
      <w:pPr>
        <w:pStyle w:val="aa"/>
      </w:pPr>
    </w:p>
    <w:p w:rsidR="0017782F" w:rsidRDefault="0017782F" w:rsidP="00E618DA">
      <w:pPr>
        <w:pStyle w:val="aa"/>
      </w:pPr>
    </w:p>
    <w:p w:rsidR="0017782F" w:rsidRDefault="0017782F" w:rsidP="00E618DA">
      <w:pPr>
        <w:pStyle w:val="aa"/>
      </w:pPr>
    </w:p>
    <w:p w:rsidR="0017782F" w:rsidRDefault="0017782F" w:rsidP="00E618DA">
      <w:pPr>
        <w:pStyle w:val="aa"/>
      </w:pPr>
    </w:p>
    <w:p w:rsidR="0017782F" w:rsidRDefault="0017782F" w:rsidP="00E618DA">
      <w:pPr>
        <w:pStyle w:val="aa"/>
      </w:pPr>
    </w:p>
    <w:p w:rsidR="0017782F" w:rsidRDefault="0017782F" w:rsidP="00E618DA">
      <w:pPr>
        <w:pStyle w:val="aa"/>
      </w:pPr>
    </w:p>
    <w:p w:rsidR="0017782F" w:rsidRDefault="0017782F" w:rsidP="00E618DA">
      <w:pPr>
        <w:pStyle w:val="aa"/>
      </w:pPr>
    </w:p>
    <w:p w:rsidR="0017782F" w:rsidRDefault="0017782F" w:rsidP="00E618DA">
      <w:pPr>
        <w:pStyle w:val="aa"/>
      </w:pPr>
    </w:p>
    <w:p w:rsidR="0017782F" w:rsidRDefault="0017782F" w:rsidP="00E618DA">
      <w:pPr>
        <w:pStyle w:val="aa"/>
      </w:pPr>
    </w:p>
    <w:p w:rsidR="0017782F" w:rsidRDefault="0017782F" w:rsidP="00E618DA">
      <w:pPr>
        <w:pStyle w:val="aa"/>
      </w:pPr>
    </w:p>
    <w:p w:rsidR="006A0CCF" w:rsidRDefault="006A0CCF" w:rsidP="006A0CCF">
      <w:pPr>
        <w:pStyle w:val="aa"/>
        <w:rPr>
          <w:sz w:val="22"/>
          <w:szCs w:val="22"/>
        </w:rPr>
      </w:pPr>
      <w:r>
        <w:rPr>
          <w:bCs/>
          <w:sz w:val="22"/>
          <w:szCs w:val="22"/>
        </w:rPr>
        <w:t>Рис.1</w:t>
      </w:r>
      <w:r w:rsidRPr="006A0CCF">
        <w:rPr>
          <w:bCs/>
          <w:sz w:val="22"/>
          <w:szCs w:val="22"/>
        </w:rPr>
        <w:t>. Примерное распределение международного рынка образовательных услуг (по данным журнала «Эксперт»)</w:t>
      </w:r>
      <w:r>
        <w:rPr>
          <w:bCs/>
          <w:sz w:val="22"/>
          <w:szCs w:val="22"/>
        </w:rPr>
        <w:t>.</w:t>
      </w:r>
    </w:p>
    <w:p w:rsidR="006A0CCF" w:rsidRPr="006A0CCF" w:rsidRDefault="006A0CCF" w:rsidP="006A0CCF">
      <w:pPr>
        <w:pStyle w:val="aa"/>
        <w:rPr>
          <w:sz w:val="22"/>
          <w:szCs w:val="22"/>
        </w:rPr>
      </w:pPr>
    </w:p>
    <w:p w:rsidR="001F0BF6" w:rsidRPr="00E618DA" w:rsidRDefault="00817BEA" w:rsidP="00E618DA">
      <w:pPr>
        <w:pStyle w:val="aa"/>
      </w:pPr>
      <w:r w:rsidRPr="00E618DA">
        <w:t>По числу иностранных учащихся первое место в мире занимают США (28 %) – устойчивый лидер, контролирующий почти треть мирового финансового образовательного оборота</w:t>
      </w:r>
      <w:r w:rsidR="001F0BF6" w:rsidRPr="00E618DA">
        <w:t xml:space="preserve">. В 2001 году в США обучались 548 тысяч иностранных студентов. </w:t>
      </w:r>
      <w:r w:rsidRPr="00E618DA">
        <w:t xml:space="preserve">На втором месте по объемам образовательных продаж — Великобритания (14%), </w:t>
      </w:r>
      <w:r w:rsidR="001F0BF6" w:rsidRPr="00E618DA">
        <w:t xml:space="preserve">которая за 1990-е годы почти утроила прием иностранных студентов и где численность последних составляет сейчас около четверти миллиона. </w:t>
      </w:r>
    </w:p>
    <w:p w:rsidR="001F0BF6" w:rsidRPr="00E618DA" w:rsidRDefault="00817BEA" w:rsidP="00E618DA">
      <w:pPr>
        <w:pStyle w:val="aa"/>
      </w:pPr>
      <w:r w:rsidRPr="00E618DA">
        <w:t>Анализ информационных ресурсов Интернет показал, что эффективност</w:t>
      </w:r>
      <w:r w:rsidR="001F0BF6" w:rsidRPr="00E618DA">
        <w:t>ь</w:t>
      </w:r>
      <w:r w:rsidRPr="00E618DA">
        <w:t xml:space="preserve"> функционирования системы высшей школы в США и Великобритании во многом может быть объяснена рыночной моделью образования, главными особенностями которой являются: </w:t>
      </w:r>
    </w:p>
    <w:p w:rsidR="001F0BF6" w:rsidRPr="001F0BF6" w:rsidRDefault="001F0BF6" w:rsidP="00E618DA">
      <w:pPr>
        <w:pStyle w:val="aa"/>
        <w:numPr>
          <w:ilvl w:val="0"/>
          <w:numId w:val="9"/>
        </w:numPr>
        <w:tabs>
          <w:tab w:val="left" w:pos="993"/>
        </w:tabs>
        <w:ind w:left="0" w:firstLine="709"/>
      </w:pPr>
      <w:r w:rsidRPr="001F0BF6">
        <w:t>у</w:t>
      </w:r>
      <w:r w:rsidR="00817BEA" w:rsidRPr="001F0BF6">
        <w:t>ниверситет функционирует как предпринимательская организация, предоставляющая образовательные услуги, и в значительной степени ориентируется на международный рынок</w:t>
      </w:r>
      <w:r w:rsidRPr="001F0BF6">
        <w:t>;</w:t>
      </w:r>
    </w:p>
    <w:p w:rsidR="001F0BF6" w:rsidRPr="001F0BF6" w:rsidRDefault="001F0BF6" w:rsidP="00E618DA">
      <w:pPr>
        <w:pStyle w:val="aa"/>
        <w:numPr>
          <w:ilvl w:val="0"/>
          <w:numId w:val="9"/>
        </w:numPr>
        <w:tabs>
          <w:tab w:val="left" w:pos="993"/>
        </w:tabs>
        <w:ind w:left="0" w:firstLine="709"/>
      </w:pPr>
      <w:r w:rsidRPr="001F0BF6">
        <w:t>к</w:t>
      </w:r>
      <w:r w:rsidR="00817BEA" w:rsidRPr="001F0BF6">
        <w:t>ачество и востребованность образовательных услуг обеспечивается кафедрами университетов</w:t>
      </w:r>
      <w:r w:rsidRPr="001F0BF6">
        <w:t>;</w:t>
      </w:r>
      <w:r w:rsidR="00817BEA" w:rsidRPr="001F0BF6">
        <w:t> </w:t>
      </w:r>
    </w:p>
    <w:p w:rsidR="001F0BF6" w:rsidRPr="001F0BF6" w:rsidRDefault="001F0BF6" w:rsidP="00E618DA">
      <w:pPr>
        <w:pStyle w:val="aa"/>
        <w:numPr>
          <w:ilvl w:val="0"/>
          <w:numId w:val="9"/>
        </w:numPr>
        <w:tabs>
          <w:tab w:val="left" w:pos="993"/>
        </w:tabs>
        <w:ind w:left="0" w:firstLine="709"/>
      </w:pPr>
      <w:r w:rsidRPr="001F0BF6">
        <w:t>б</w:t>
      </w:r>
      <w:r w:rsidR="00817BEA" w:rsidRPr="001F0BF6">
        <w:t>юджет университета ориентирован на удовлетворение спроса на образовательные услуги и поощряет преподавателей кафедр на инновационную деятельность</w:t>
      </w:r>
      <w:r w:rsidRPr="001F0BF6">
        <w:t>;</w:t>
      </w:r>
      <w:r w:rsidR="00817BEA" w:rsidRPr="001F0BF6">
        <w:t xml:space="preserve"> </w:t>
      </w:r>
    </w:p>
    <w:p w:rsidR="00817BEA" w:rsidRPr="001F0BF6" w:rsidRDefault="001F0BF6" w:rsidP="00E618DA">
      <w:pPr>
        <w:pStyle w:val="aa"/>
        <w:numPr>
          <w:ilvl w:val="0"/>
          <w:numId w:val="9"/>
        </w:numPr>
        <w:tabs>
          <w:tab w:val="left" w:pos="993"/>
        </w:tabs>
        <w:ind w:left="0" w:firstLine="709"/>
      </w:pPr>
      <w:r w:rsidRPr="001F0BF6">
        <w:t>к</w:t>
      </w:r>
      <w:r w:rsidR="00817BEA" w:rsidRPr="001F0BF6">
        <w:t>ачество образовательных услуг оценивается независимыми от государства организациями и потребителям доступна достоверная информация о рейтинге этих услуг</w:t>
      </w:r>
      <w:r w:rsidRPr="001F0BF6">
        <w:t>.</w:t>
      </w:r>
      <w:r w:rsidR="00817BEA" w:rsidRPr="001F0BF6">
        <w:t> </w:t>
      </w:r>
    </w:p>
    <w:p w:rsidR="001F0BF6" w:rsidRDefault="001F0BF6" w:rsidP="001F0BF6">
      <w:pPr>
        <w:pStyle w:val="aa"/>
      </w:pPr>
      <w:r w:rsidRPr="001F0BF6">
        <w:t xml:space="preserve">На третьем месте Германия </w:t>
      </w:r>
      <w:r w:rsidR="00817BEA" w:rsidRPr="001F0BF6">
        <w:t>(12 %),</w:t>
      </w:r>
      <w:r w:rsidRPr="001F0BF6">
        <w:t xml:space="preserve"> на четвертом</w:t>
      </w:r>
      <w:r w:rsidR="00817BEA" w:rsidRPr="001F0BF6">
        <w:t xml:space="preserve"> Франция (8 %), </w:t>
      </w:r>
      <w:r w:rsidRPr="001F0BF6">
        <w:t xml:space="preserve">и почти такое же количество иностранных студентов в Австралии (7 %). </w:t>
      </w:r>
      <w:r w:rsidR="00817BEA" w:rsidRPr="001F0BF6">
        <w:t xml:space="preserve"> </w:t>
      </w:r>
    </w:p>
    <w:p w:rsidR="001F0BF6" w:rsidRDefault="001F0BF6" w:rsidP="001F0BF6">
      <w:pPr>
        <w:pStyle w:val="aa"/>
      </w:pPr>
      <w:r w:rsidRPr="001F0BF6">
        <w:t xml:space="preserve">В группу лидеров международных образовательных услуг входят также Канада, куда в 2001 году по студенческой визе приехало 100 тысяч иностранных граждан, не считая еще 100 тысяч человек прибывших в Канаду на краткосрочные языковые курсы, и Испания, которой, удалось за пять последних лет вдвое увеличить число иностранных студентов - с 62 до 124 тысяч человек. </w:t>
      </w:r>
    </w:p>
    <w:p w:rsidR="001F0BF6" w:rsidRDefault="001F0BF6" w:rsidP="001F0BF6">
      <w:pPr>
        <w:pStyle w:val="aa"/>
      </w:pPr>
      <w:r w:rsidRPr="001F0BF6">
        <w:t xml:space="preserve">Россия занимает восьмое место в мире по количеству обучающихся иностранных студентов (если относить к ним и выходцев из стран СНГ) - 5 %. </w:t>
      </w:r>
    </w:p>
    <w:p w:rsidR="001F0BF6" w:rsidRPr="001F0BF6" w:rsidRDefault="001F0BF6" w:rsidP="001F0BF6">
      <w:pPr>
        <w:pStyle w:val="aa"/>
      </w:pPr>
      <w:r w:rsidRPr="001F0BF6">
        <w:t>Далее идет Япония</w:t>
      </w:r>
      <w:r w:rsidR="00817BEA" w:rsidRPr="001F0BF6">
        <w:t xml:space="preserve"> </w:t>
      </w:r>
      <w:r w:rsidRPr="001F0BF6">
        <w:t xml:space="preserve">- 4 %, </w:t>
      </w:r>
      <w:r w:rsidR="00817BEA" w:rsidRPr="001F0BF6">
        <w:t xml:space="preserve">Бельгия, Австрия и Италия (по 2 %). </w:t>
      </w:r>
    </w:p>
    <w:p w:rsidR="00C6069D" w:rsidRDefault="001F0BF6" w:rsidP="001F0BF6">
      <w:pPr>
        <w:pStyle w:val="aa"/>
      </w:pPr>
      <w:r w:rsidRPr="001F0BF6">
        <w:t>Таким образом, в</w:t>
      </w:r>
      <w:r w:rsidR="00817BEA" w:rsidRPr="001F0BF6">
        <w:t xml:space="preserve"> пяти странах: США, Великобритании, Гер-мании, Франции, Австралии обучается - 70 % от общего числа иностранных студентов. Значительное число иностранных студентов в этих странах - результат активной деятельности самих вузов, целенаправленной государственной экономической, политической, информационной поддержки.</w:t>
      </w:r>
      <w:r w:rsidR="006A0CCF">
        <w:t xml:space="preserve"> Также в Таблице 2</w:t>
      </w:r>
      <w:r w:rsidR="00C6069D">
        <w:t xml:space="preserve"> представлены обобщенные данные рейтингов популярности ВУЗов, согласно рейтингу «Таймс» и Шанхайскому рейтингу.</w:t>
      </w:r>
    </w:p>
    <w:p w:rsidR="001F0BF6" w:rsidRPr="006A0CCF" w:rsidRDefault="006A0CCF" w:rsidP="001F0BF6">
      <w:pPr>
        <w:pStyle w:val="aa"/>
        <w:rPr>
          <w:sz w:val="22"/>
          <w:szCs w:val="22"/>
        </w:rPr>
      </w:pPr>
      <w:r w:rsidRPr="006A0CCF">
        <w:rPr>
          <w:sz w:val="22"/>
          <w:szCs w:val="22"/>
        </w:rPr>
        <w:t>Таблица 2</w:t>
      </w:r>
      <w:r w:rsidR="005C3533" w:rsidRPr="006A0CCF">
        <w:rPr>
          <w:sz w:val="22"/>
          <w:szCs w:val="22"/>
        </w:rPr>
        <w:t xml:space="preserve"> </w:t>
      </w:r>
      <w:r w:rsidR="004711E2" w:rsidRPr="006A0CCF">
        <w:rPr>
          <w:sz w:val="22"/>
          <w:szCs w:val="22"/>
        </w:rPr>
        <w:t>–</w:t>
      </w:r>
      <w:r w:rsidR="005C3533" w:rsidRPr="006A0CCF">
        <w:rPr>
          <w:sz w:val="22"/>
          <w:szCs w:val="22"/>
        </w:rPr>
        <w:t xml:space="preserve"> </w:t>
      </w:r>
      <w:r w:rsidR="00C6069D" w:rsidRPr="006A0CCF">
        <w:rPr>
          <w:sz w:val="22"/>
          <w:szCs w:val="22"/>
        </w:rPr>
        <w:t xml:space="preserve">Рейтинги ВУЗов </w:t>
      </w:r>
      <w:r w:rsidR="00817BEA" w:rsidRPr="006A0CCF">
        <w:rPr>
          <w:sz w:val="22"/>
          <w:szCs w:val="22"/>
        </w:rPr>
        <w:t xml:space="preserve"> </w:t>
      </w:r>
    </w:p>
    <w:tbl>
      <w:tblPr>
        <w:tblW w:w="97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0"/>
        <w:gridCol w:w="3975"/>
        <w:gridCol w:w="900"/>
        <w:gridCol w:w="4140"/>
      </w:tblGrid>
      <w:tr w:rsidR="00C6069D" w:rsidRPr="00C6069D">
        <w:trPr>
          <w:trHeight w:val="510"/>
          <w:tblCellSpacing w:w="0" w:type="dxa"/>
        </w:trPr>
        <w:tc>
          <w:tcPr>
            <w:tcW w:w="720" w:type="dxa"/>
            <w:vAlign w:val="center"/>
          </w:tcPr>
          <w:p w:rsidR="00C6069D" w:rsidRPr="00C6069D" w:rsidRDefault="00C6069D" w:rsidP="005C3533">
            <w:pPr>
              <w:pStyle w:val="aa"/>
              <w:ind w:firstLine="0"/>
              <w:jc w:val="center"/>
            </w:pPr>
            <w:r w:rsidRPr="00C6069D">
              <w:rPr>
                <w:rFonts w:hint="eastAsia"/>
                <w:b/>
                <w:bCs/>
              </w:rPr>
              <w:t>Место</w:t>
            </w:r>
          </w:p>
        </w:tc>
        <w:tc>
          <w:tcPr>
            <w:tcW w:w="3975" w:type="dxa"/>
            <w:vAlign w:val="center"/>
          </w:tcPr>
          <w:p w:rsidR="00C6069D" w:rsidRPr="00C6069D" w:rsidRDefault="00C6069D" w:rsidP="005C3533">
            <w:pPr>
              <w:pStyle w:val="aa"/>
              <w:ind w:firstLine="188"/>
              <w:jc w:val="center"/>
            </w:pPr>
            <w:r w:rsidRPr="00C6069D">
              <w:rPr>
                <w:rFonts w:hint="eastAsia"/>
                <w:b/>
                <w:bCs/>
              </w:rPr>
              <w:t>Рейтинг</w:t>
            </w:r>
            <w:r w:rsidRPr="00C6069D">
              <w:rPr>
                <w:b/>
                <w:bCs/>
              </w:rPr>
              <w:t xml:space="preserve"> «</w:t>
            </w:r>
            <w:r w:rsidRPr="00C6069D">
              <w:rPr>
                <w:rFonts w:hint="eastAsia"/>
                <w:b/>
                <w:bCs/>
              </w:rPr>
              <w:t>Таймс</w:t>
            </w:r>
            <w:r w:rsidRPr="00C6069D">
              <w:rPr>
                <w:b/>
                <w:bCs/>
              </w:rPr>
              <w:t>»</w:t>
            </w:r>
          </w:p>
        </w:tc>
        <w:tc>
          <w:tcPr>
            <w:tcW w:w="900" w:type="dxa"/>
            <w:vAlign w:val="center"/>
          </w:tcPr>
          <w:p w:rsidR="00C6069D" w:rsidRPr="00C6069D" w:rsidRDefault="00C6069D" w:rsidP="005C3533">
            <w:pPr>
              <w:pStyle w:val="aa"/>
              <w:ind w:firstLine="165"/>
              <w:jc w:val="center"/>
            </w:pPr>
            <w:r w:rsidRPr="00C6069D">
              <w:rPr>
                <w:rFonts w:hint="eastAsia"/>
                <w:b/>
                <w:bCs/>
              </w:rPr>
              <w:t>Место</w:t>
            </w:r>
          </w:p>
        </w:tc>
        <w:tc>
          <w:tcPr>
            <w:tcW w:w="4140" w:type="dxa"/>
            <w:vAlign w:val="center"/>
          </w:tcPr>
          <w:p w:rsidR="00C6069D" w:rsidRPr="00C6069D" w:rsidRDefault="00C6069D" w:rsidP="005C3533">
            <w:pPr>
              <w:pStyle w:val="aa"/>
              <w:jc w:val="center"/>
            </w:pPr>
            <w:r w:rsidRPr="00C6069D">
              <w:rPr>
                <w:rFonts w:hint="eastAsia"/>
                <w:b/>
                <w:bCs/>
              </w:rPr>
              <w:t>Шанхайский</w:t>
            </w:r>
            <w:r w:rsidRPr="00C6069D">
              <w:rPr>
                <w:b/>
                <w:bCs/>
              </w:rPr>
              <w:t xml:space="preserve"> </w:t>
            </w:r>
            <w:r w:rsidRPr="00C6069D">
              <w:rPr>
                <w:rFonts w:hint="eastAsia"/>
                <w:b/>
                <w:bCs/>
              </w:rPr>
              <w:t>рейтинг</w:t>
            </w:r>
          </w:p>
        </w:tc>
      </w:tr>
      <w:tr w:rsidR="00C6069D" w:rsidRPr="00C6069D">
        <w:trPr>
          <w:trHeight w:val="300"/>
          <w:tblCellSpacing w:w="0" w:type="dxa"/>
        </w:trPr>
        <w:tc>
          <w:tcPr>
            <w:tcW w:w="720" w:type="dxa"/>
            <w:vAlign w:val="center"/>
          </w:tcPr>
          <w:p w:rsidR="00C6069D" w:rsidRPr="00C6069D" w:rsidRDefault="00C6069D" w:rsidP="005C3533">
            <w:pPr>
              <w:pStyle w:val="aa"/>
              <w:ind w:firstLine="0"/>
              <w:jc w:val="center"/>
            </w:pPr>
            <w:r w:rsidRPr="00C6069D">
              <w:rPr>
                <w:bCs/>
              </w:rPr>
              <w:t>1</w:t>
            </w:r>
          </w:p>
        </w:tc>
        <w:tc>
          <w:tcPr>
            <w:tcW w:w="3975" w:type="dxa"/>
            <w:vAlign w:val="center"/>
          </w:tcPr>
          <w:p w:rsidR="00C6069D" w:rsidRPr="00C6069D" w:rsidRDefault="00C6069D" w:rsidP="005C3533">
            <w:pPr>
              <w:pStyle w:val="aa"/>
              <w:ind w:firstLine="188"/>
              <w:jc w:val="center"/>
            </w:pPr>
            <w:r w:rsidRPr="00C6069D">
              <w:rPr>
                <w:rFonts w:hint="eastAsia"/>
                <w:bCs/>
              </w:rPr>
              <w:t>Гарвардский</w:t>
            </w:r>
            <w:r w:rsidRPr="00C6069D">
              <w:rPr>
                <w:bCs/>
              </w:rPr>
              <w:t xml:space="preserve"> </w:t>
            </w:r>
            <w:r w:rsidRPr="00C6069D">
              <w:rPr>
                <w:rFonts w:hint="eastAsia"/>
                <w:bCs/>
              </w:rPr>
              <w:t>университет</w:t>
            </w:r>
          </w:p>
        </w:tc>
        <w:tc>
          <w:tcPr>
            <w:tcW w:w="900" w:type="dxa"/>
            <w:vAlign w:val="center"/>
          </w:tcPr>
          <w:p w:rsidR="00C6069D" w:rsidRPr="00C6069D" w:rsidRDefault="00C6069D" w:rsidP="005C3533">
            <w:pPr>
              <w:pStyle w:val="aa"/>
              <w:ind w:firstLine="165"/>
              <w:jc w:val="center"/>
            </w:pPr>
            <w:r w:rsidRPr="00C6069D">
              <w:rPr>
                <w:bCs/>
              </w:rPr>
              <w:t>1</w:t>
            </w:r>
          </w:p>
        </w:tc>
        <w:tc>
          <w:tcPr>
            <w:tcW w:w="4140" w:type="dxa"/>
            <w:vAlign w:val="center"/>
          </w:tcPr>
          <w:p w:rsidR="00C6069D" w:rsidRPr="00C6069D" w:rsidRDefault="00C6069D" w:rsidP="005C3533">
            <w:pPr>
              <w:pStyle w:val="aa"/>
              <w:jc w:val="center"/>
            </w:pPr>
            <w:r w:rsidRPr="00C6069D">
              <w:rPr>
                <w:rFonts w:hint="eastAsia"/>
                <w:bCs/>
              </w:rPr>
              <w:t>Гарвардский</w:t>
            </w:r>
            <w:r w:rsidRPr="00C6069D">
              <w:rPr>
                <w:bCs/>
              </w:rPr>
              <w:t xml:space="preserve"> </w:t>
            </w:r>
            <w:r w:rsidRPr="00C6069D">
              <w:rPr>
                <w:rFonts w:hint="eastAsia"/>
                <w:bCs/>
              </w:rPr>
              <w:t>университет</w:t>
            </w:r>
          </w:p>
        </w:tc>
      </w:tr>
      <w:tr w:rsidR="00C6069D" w:rsidRPr="00C6069D">
        <w:trPr>
          <w:trHeight w:val="300"/>
          <w:tblCellSpacing w:w="0" w:type="dxa"/>
        </w:trPr>
        <w:tc>
          <w:tcPr>
            <w:tcW w:w="720" w:type="dxa"/>
            <w:vAlign w:val="center"/>
          </w:tcPr>
          <w:p w:rsidR="00C6069D" w:rsidRPr="00C6069D" w:rsidRDefault="00C6069D" w:rsidP="005C3533">
            <w:pPr>
              <w:pStyle w:val="aa"/>
              <w:ind w:firstLine="0"/>
              <w:jc w:val="center"/>
            </w:pPr>
            <w:r w:rsidRPr="00C6069D">
              <w:rPr>
                <w:bCs/>
              </w:rPr>
              <w:t>2</w:t>
            </w:r>
          </w:p>
        </w:tc>
        <w:tc>
          <w:tcPr>
            <w:tcW w:w="3975" w:type="dxa"/>
            <w:vAlign w:val="center"/>
          </w:tcPr>
          <w:p w:rsidR="00C6069D" w:rsidRPr="00C6069D" w:rsidRDefault="00C6069D" w:rsidP="005C3533">
            <w:pPr>
              <w:pStyle w:val="aa"/>
              <w:ind w:firstLine="188"/>
              <w:jc w:val="center"/>
            </w:pPr>
            <w:r w:rsidRPr="00C6069D">
              <w:rPr>
                <w:rFonts w:hint="eastAsia"/>
                <w:bCs/>
              </w:rPr>
              <w:t>Кембриджский</w:t>
            </w:r>
            <w:r w:rsidRPr="00C6069D">
              <w:rPr>
                <w:bCs/>
              </w:rPr>
              <w:t xml:space="preserve"> </w:t>
            </w:r>
            <w:r w:rsidRPr="00C6069D">
              <w:rPr>
                <w:rFonts w:hint="eastAsia"/>
                <w:bCs/>
              </w:rPr>
              <w:t>университет</w:t>
            </w:r>
          </w:p>
        </w:tc>
        <w:tc>
          <w:tcPr>
            <w:tcW w:w="900" w:type="dxa"/>
            <w:vAlign w:val="center"/>
          </w:tcPr>
          <w:p w:rsidR="00C6069D" w:rsidRPr="00C6069D" w:rsidRDefault="00C6069D" w:rsidP="005C3533">
            <w:pPr>
              <w:pStyle w:val="aa"/>
              <w:ind w:firstLine="165"/>
              <w:jc w:val="center"/>
            </w:pPr>
            <w:r w:rsidRPr="00C6069D">
              <w:rPr>
                <w:bCs/>
                <w:lang w:val="en-US"/>
              </w:rPr>
              <w:t>2</w:t>
            </w:r>
          </w:p>
        </w:tc>
        <w:tc>
          <w:tcPr>
            <w:tcW w:w="4140" w:type="dxa"/>
            <w:vAlign w:val="center"/>
          </w:tcPr>
          <w:p w:rsidR="00C6069D" w:rsidRPr="00C6069D" w:rsidRDefault="00C6069D" w:rsidP="005C3533">
            <w:pPr>
              <w:pStyle w:val="aa"/>
              <w:jc w:val="center"/>
            </w:pPr>
            <w:r w:rsidRPr="00C6069D">
              <w:rPr>
                <w:rFonts w:hint="eastAsia"/>
                <w:bCs/>
              </w:rPr>
              <w:t>Кембриджский</w:t>
            </w:r>
            <w:r w:rsidRPr="00C6069D">
              <w:rPr>
                <w:bCs/>
              </w:rPr>
              <w:t xml:space="preserve"> </w:t>
            </w:r>
            <w:r w:rsidRPr="00C6069D">
              <w:rPr>
                <w:rFonts w:hint="eastAsia"/>
                <w:bCs/>
              </w:rPr>
              <w:t>университет</w:t>
            </w:r>
          </w:p>
        </w:tc>
      </w:tr>
      <w:tr w:rsidR="00C6069D" w:rsidRPr="00C6069D">
        <w:trPr>
          <w:trHeight w:val="300"/>
          <w:tblCellSpacing w:w="0" w:type="dxa"/>
        </w:trPr>
        <w:tc>
          <w:tcPr>
            <w:tcW w:w="720" w:type="dxa"/>
            <w:vAlign w:val="center"/>
          </w:tcPr>
          <w:p w:rsidR="00C6069D" w:rsidRPr="00C6069D" w:rsidRDefault="00C6069D" w:rsidP="005C3533">
            <w:pPr>
              <w:pStyle w:val="aa"/>
              <w:ind w:firstLine="0"/>
              <w:jc w:val="center"/>
            </w:pPr>
            <w:r w:rsidRPr="00C6069D">
              <w:rPr>
                <w:bCs/>
                <w:lang w:val="en-US"/>
              </w:rPr>
              <w:t>3</w:t>
            </w:r>
          </w:p>
        </w:tc>
        <w:tc>
          <w:tcPr>
            <w:tcW w:w="3975" w:type="dxa"/>
            <w:vAlign w:val="center"/>
          </w:tcPr>
          <w:p w:rsidR="00C6069D" w:rsidRPr="00C6069D" w:rsidRDefault="00C6069D" w:rsidP="005C3533">
            <w:pPr>
              <w:pStyle w:val="aa"/>
              <w:ind w:firstLine="188"/>
              <w:jc w:val="center"/>
            </w:pPr>
            <w:r w:rsidRPr="00C6069D">
              <w:rPr>
                <w:rFonts w:hint="eastAsia"/>
                <w:bCs/>
              </w:rPr>
              <w:t>Оксфордский</w:t>
            </w:r>
            <w:r w:rsidRPr="00C6069D">
              <w:rPr>
                <w:bCs/>
              </w:rPr>
              <w:t xml:space="preserve"> </w:t>
            </w:r>
            <w:r w:rsidRPr="00C6069D">
              <w:rPr>
                <w:rFonts w:hint="eastAsia"/>
                <w:bCs/>
              </w:rPr>
              <w:t>университет</w:t>
            </w:r>
          </w:p>
        </w:tc>
        <w:tc>
          <w:tcPr>
            <w:tcW w:w="900" w:type="dxa"/>
            <w:vAlign w:val="center"/>
          </w:tcPr>
          <w:p w:rsidR="00C6069D" w:rsidRPr="00C6069D" w:rsidRDefault="00C6069D" w:rsidP="005C3533">
            <w:pPr>
              <w:pStyle w:val="aa"/>
              <w:ind w:firstLine="165"/>
              <w:jc w:val="center"/>
            </w:pPr>
            <w:r w:rsidRPr="00C6069D">
              <w:rPr>
                <w:bCs/>
                <w:lang w:val="en-US"/>
              </w:rPr>
              <w:t>3</w:t>
            </w:r>
          </w:p>
        </w:tc>
        <w:tc>
          <w:tcPr>
            <w:tcW w:w="4140" w:type="dxa"/>
            <w:vAlign w:val="center"/>
          </w:tcPr>
          <w:p w:rsidR="00C6069D" w:rsidRPr="00C6069D" w:rsidRDefault="00C6069D" w:rsidP="005C3533">
            <w:pPr>
              <w:pStyle w:val="aa"/>
              <w:jc w:val="center"/>
            </w:pPr>
            <w:r w:rsidRPr="00C6069D">
              <w:rPr>
                <w:rFonts w:hint="eastAsia"/>
                <w:bCs/>
              </w:rPr>
              <w:t>Стэнфордский</w:t>
            </w:r>
            <w:r w:rsidRPr="00C6069D">
              <w:rPr>
                <w:bCs/>
                <w:lang w:val="en-US"/>
              </w:rPr>
              <w:t xml:space="preserve"> </w:t>
            </w:r>
            <w:r w:rsidRPr="00C6069D">
              <w:rPr>
                <w:bCs/>
              </w:rPr>
              <w:t xml:space="preserve"> </w:t>
            </w:r>
            <w:r w:rsidRPr="00C6069D">
              <w:rPr>
                <w:rFonts w:hint="eastAsia"/>
                <w:bCs/>
              </w:rPr>
              <w:t>университет</w:t>
            </w:r>
          </w:p>
        </w:tc>
      </w:tr>
      <w:tr w:rsidR="00C6069D" w:rsidRPr="00C6069D">
        <w:trPr>
          <w:trHeight w:val="510"/>
          <w:tblCellSpacing w:w="0" w:type="dxa"/>
        </w:trPr>
        <w:tc>
          <w:tcPr>
            <w:tcW w:w="720" w:type="dxa"/>
            <w:vAlign w:val="center"/>
          </w:tcPr>
          <w:p w:rsidR="00C6069D" w:rsidRPr="00C6069D" w:rsidRDefault="00C6069D" w:rsidP="005C3533">
            <w:pPr>
              <w:pStyle w:val="aa"/>
              <w:ind w:firstLine="0"/>
              <w:jc w:val="center"/>
            </w:pPr>
            <w:r w:rsidRPr="00C6069D">
              <w:rPr>
                <w:bCs/>
                <w:lang w:val="en-US"/>
              </w:rPr>
              <w:t>4</w:t>
            </w:r>
          </w:p>
        </w:tc>
        <w:tc>
          <w:tcPr>
            <w:tcW w:w="3975" w:type="dxa"/>
            <w:vAlign w:val="center"/>
          </w:tcPr>
          <w:p w:rsidR="00C6069D" w:rsidRPr="00C6069D" w:rsidRDefault="00C6069D" w:rsidP="005C3533">
            <w:pPr>
              <w:pStyle w:val="aa"/>
              <w:ind w:firstLine="188"/>
              <w:jc w:val="center"/>
            </w:pPr>
            <w:r w:rsidRPr="00C6069D">
              <w:rPr>
                <w:rFonts w:hint="eastAsia"/>
                <w:bCs/>
              </w:rPr>
              <w:t>Массачусетский</w:t>
            </w:r>
            <w:r w:rsidRPr="00C6069D">
              <w:rPr>
                <w:bCs/>
              </w:rPr>
              <w:t xml:space="preserve"> </w:t>
            </w:r>
            <w:r w:rsidRPr="00C6069D">
              <w:rPr>
                <w:rFonts w:hint="eastAsia"/>
                <w:bCs/>
              </w:rPr>
              <w:t>технологический</w:t>
            </w:r>
            <w:r w:rsidRPr="00C6069D">
              <w:rPr>
                <w:bCs/>
              </w:rPr>
              <w:t xml:space="preserve"> </w:t>
            </w:r>
            <w:r w:rsidRPr="00C6069D">
              <w:rPr>
                <w:rFonts w:hint="eastAsia"/>
                <w:bCs/>
              </w:rPr>
              <w:t>институт</w:t>
            </w:r>
          </w:p>
        </w:tc>
        <w:tc>
          <w:tcPr>
            <w:tcW w:w="900" w:type="dxa"/>
            <w:vAlign w:val="center"/>
          </w:tcPr>
          <w:p w:rsidR="00C6069D" w:rsidRPr="00C6069D" w:rsidRDefault="00C6069D" w:rsidP="005C3533">
            <w:pPr>
              <w:pStyle w:val="aa"/>
              <w:ind w:firstLine="165"/>
              <w:jc w:val="center"/>
            </w:pPr>
            <w:r w:rsidRPr="00C6069D">
              <w:rPr>
                <w:bCs/>
                <w:lang w:val="en-US"/>
              </w:rPr>
              <w:t>4</w:t>
            </w:r>
          </w:p>
        </w:tc>
        <w:tc>
          <w:tcPr>
            <w:tcW w:w="4140" w:type="dxa"/>
            <w:vAlign w:val="center"/>
          </w:tcPr>
          <w:p w:rsidR="00C6069D" w:rsidRPr="00C6069D" w:rsidRDefault="00C6069D" w:rsidP="005C3533">
            <w:pPr>
              <w:pStyle w:val="aa"/>
              <w:jc w:val="center"/>
            </w:pPr>
            <w:r w:rsidRPr="00C6069D">
              <w:rPr>
                <w:rFonts w:hint="eastAsia"/>
                <w:bCs/>
              </w:rPr>
              <w:t>Калифорнийский</w:t>
            </w:r>
            <w:r w:rsidRPr="00C6069D">
              <w:rPr>
                <w:bCs/>
              </w:rPr>
              <w:t xml:space="preserve"> </w:t>
            </w:r>
            <w:r w:rsidRPr="00C6069D">
              <w:rPr>
                <w:rFonts w:hint="eastAsia"/>
                <w:bCs/>
              </w:rPr>
              <w:t>университет</w:t>
            </w:r>
            <w:r w:rsidRPr="00C6069D">
              <w:rPr>
                <w:bCs/>
              </w:rPr>
              <w:t xml:space="preserve">, </w:t>
            </w:r>
            <w:r w:rsidRPr="00C6069D">
              <w:rPr>
                <w:rFonts w:hint="eastAsia"/>
                <w:bCs/>
              </w:rPr>
              <w:t>Беркли</w:t>
            </w:r>
          </w:p>
        </w:tc>
      </w:tr>
      <w:tr w:rsidR="00C6069D" w:rsidRPr="00C6069D">
        <w:trPr>
          <w:trHeight w:val="510"/>
          <w:tblCellSpacing w:w="0" w:type="dxa"/>
        </w:trPr>
        <w:tc>
          <w:tcPr>
            <w:tcW w:w="720" w:type="dxa"/>
            <w:vAlign w:val="center"/>
          </w:tcPr>
          <w:p w:rsidR="00C6069D" w:rsidRPr="00C6069D" w:rsidRDefault="00C6069D" w:rsidP="005C3533">
            <w:pPr>
              <w:pStyle w:val="aa"/>
              <w:ind w:firstLine="0"/>
              <w:jc w:val="center"/>
            </w:pPr>
            <w:r w:rsidRPr="00C6069D">
              <w:rPr>
                <w:bCs/>
                <w:lang w:val="en-US"/>
              </w:rPr>
              <w:t>4</w:t>
            </w:r>
          </w:p>
        </w:tc>
        <w:tc>
          <w:tcPr>
            <w:tcW w:w="3975" w:type="dxa"/>
            <w:vAlign w:val="center"/>
          </w:tcPr>
          <w:p w:rsidR="00C6069D" w:rsidRPr="00C6069D" w:rsidRDefault="00C6069D" w:rsidP="005C3533">
            <w:pPr>
              <w:pStyle w:val="aa"/>
              <w:ind w:firstLine="188"/>
              <w:jc w:val="center"/>
            </w:pPr>
            <w:r w:rsidRPr="00C6069D">
              <w:rPr>
                <w:rFonts w:hint="eastAsia"/>
                <w:bCs/>
              </w:rPr>
              <w:t>Йельский</w:t>
            </w:r>
            <w:r w:rsidRPr="00C6069D">
              <w:rPr>
                <w:bCs/>
                <w:lang w:val="en-US"/>
              </w:rPr>
              <w:t xml:space="preserve"> </w:t>
            </w:r>
            <w:r w:rsidRPr="00C6069D">
              <w:rPr>
                <w:bCs/>
              </w:rPr>
              <w:t xml:space="preserve"> </w:t>
            </w:r>
            <w:r w:rsidRPr="00C6069D">
              <w:rPr>
                <w:rFonts w:hint="eastAsia"/>
                <w:bCs/>
              </w:rPr>
              <w:t>университет</w:t>
            </w:r>
          </w:p>
        </w:tc>
        <w:tc>
          <w:tcPr>
            <w:tcW w:w="900" w:type="dxa"/>
            <w:vAlign w:val="center"/>
          </w:tcPr>
          <w:p w:rsidR="00C6069D" w:rsidRPr="00C6069D" w:rsidRDefault="00C6069D" w:rsidP="005C3533">
            <w:pPr>
              <w:pStyle w:val="aa"/>
              <w:ind w:firstLine="165"/>
              <w:jc w:val="center"/>
            </w:pPr>
            <w:r w:rsidRPr="00C6069D">
              <w:rPr>
                <w:bCs/>
                <w:lang w:val="en-US"/>
              </w:rPr>
              <w:t>5</w:t>
            </w:r>
          </w:p>
        </w:tc>
        <w:tc>
          <w:tcPr>
            <w:tcW w:w="4140" w:type="dxa"/>
            <w:vAlign w:val="center"/>
          </w:tcPr>
          <w:p w:rsidR="00C6069D" w:rsidRPr="00C6069D" w:rsidRDefault="00C6069D" w:rsidP="005C3533">
            <w:pPr>
              <w:pStyle w:val="aa"/>
              <w:jc w:val="center"/>
            </w:pPr>
            <w:r w:rsidRPr="00C6069D">
              <w:rPr>
                <w:rFonts w:hint="eastAsia"/>
                <w:bCs/>
              </w:rPr>
              <w:t>Массачусетский</w:t>
            </w:r>
            <w:r w:rsidRPr="00C6069D">
              <w:rPr>
                <w:bCs/>
              </w:rPr>
              <w:t xml:space="preserve"> </w:t>
            </w:r>
            <w:r w:rsidRPr="00C6069D">
              <w:rPr>
                <w:rFonts w:hint="eastAsia"/>
                <w:bCs/>
              </w:rPr>
              <w:t>технологический</w:t>
            </w:r>
            <w:r w:rsidRPr="00C6069D">
              <w:rPr>
                <w:bCs/>
              </w:rPr>
              <w:t xml:space="preserve"> </w:t>
            </w:r>
            <w:r w:rsidRPr="00C6069D">
              <w:rPr>
                <w:rFonts w:hint="eastAsia"/>
                <w:bCs/>
              </w:rPr>
              <w:t>институт</w:t>
            </w:r>
          </w:p>
        </w:tc>
      </w:tr>
      <w:tr w:rsidR="00C6069D" w:rsidRPr="00C6069D">
        <w:trPr>
          <w:trHeight w:val="510"/>
          <w:tblCellSpacing w:w="0" w:type="dxa"/>
        </w:trPr>
        <w:tc>
          <w:tcPr>
            <w:tcW w:w="720" w:type="dxa"/>
            <w:vAlign w:val="center"/>
          </w:tcPr>
          <w:p w:rsidR="00C6069D" w:rsidRPr="00C6069D" w:rsidRDefault="00C6069D" w:rsidP="005C3533">
            <w:pPr>
              <w:pStyle w:val="aa"/>
              <w:ind w:firstLine="0"/>
              <w:jc w:val="center"/>
            </w:pPr>
            <w:r w:rsidRPr="00C6069D">
              <w:rPr>
                <w:bCs/>
                <w:lang w:val="en-US"/>
              </w:rPr>
              <w:t>6</w:t>
            </w:r>
          </w:p>
        </w:tc>
        <w:tc>
          <w:tcPr>
            <w:tcW w:w="3975" w:type="dxa"/>
            <w:vAlign w:val="center"/>
          </w:tcPr>
          <w:p w:rsidR="00C6069D" w:rsidRPr="00C6069D" w:rsidRDefault="00C6069D" w:rsidP="005C3533">
            <w:pPr>
              <w:pStyle w:val="aa"/>
              <w:ind w:firstLine="188"/>
              <w:jc w:val="center"/>
            </w:pPr>
            <w:r w:rsidRPr="00C6069D">
              <w:rPr>
                <w:rFonts w:hint="eastAsia"/>
                <w:bCs/>
              </w:rPr>
              <w:t>Стэнфордский</w:t>
            </w:r>
            <w:r w:rsidRPr="00C6069D">
              <w:rPr>
                <w:bCs/>
                <w:lang w:val="en-US"/>
              </w:rPr>
              <w:t xml:space="preserve"> </w:t>
            </w:r>
            <w:r w:rsidRPr="00C6069D">
              <w:rPr>
                <w:bCs/>
              </w:rPr>
              <w:t xml:space="preserve"> </w:t>
            </w:r>
            <w:r w:rsidRPr="00C6069D">
              <w:rPr>
                <w:rFonts w:hint="eastAsia"/>
                <w:bCs/>
              </w:rPr>
              <w:t>университет</w:t>
            </w:r>
          </w:p>
        </w:tc>
        <w:tc>
          <w:tcPr>
            <w:tcW w:w="900" w:type="dxa"/>
            <w:vAlign w:val="center"/>
          </w:tcPr>
          <w:p w:rsidR="00C6069D" w:rsidRPr="00C6069D" w:rsidRDefault="00C6069D" w:rsidP="005C3533">
            <w:pPr>
              <w:pStyle w:val="aa"/>
              <w:ind w:firstLine="165"/>
              <w:jc w:val="center"/>
            </w:pPr>
            <w:r w:rsidRPr="00C6069D">
              <w:rPr>
                <w:bCs/>
                <w:lang w:val="en-US"/>
              </w:rPr>
              <w:t>6</w:t>
            </w:r>
          </w:p>
        </w:tc>
        <w:tc>
          <w:tcPr>
            <w:tcW w:w="4140" w:type="dxa"/>
            <w:vAlign w:val="center"/>
          </w:tcPr>
          <w:p w:rsidR="00C6069D" w:rsidRPr="00C6069D" w:rsidRDefault="00C6069D" w:rsidP="005C3533">
            <w:pPr>
              <w:pStyle w:val="aa"/>
              <w:jc w:val="center"/>
            </w:pPr>
            <w:r w:rsidRPr="00C6069D">
              <w:rPr>
                <w:rFonts w:hint="eastAsia"/>
                <w:bCs/>
              </w:rPr>
              <w:t>Калифорнийский</w:t>
            </w:r>
            <w:r w:rsidRPr="00C6069D">
              <w:rPr>
                <w:bCs/>
              </w:rPr>
              <w:t xml:space="preserve">  </w:t>
            </w:r>
            <w:r w:rsidRPr="00C6069D">
              <w:rPr>
                <w:rFonts w:hint="eastAsia"/>
                <w:bCs/>
              </w:rPr>
              <w:t>технологический</w:t>
            </w:r>
            <w:r w:rsidRPr="00C6069D">
              <w:rPr>
                <w:bCs/>
              </w:rPr>
              <w:t xml:space="preserve"> </w:t>
            </w:r>
            <w:r w:rsidRPr="00C6069D">
              <w:rPr>
                <w:rFonts w:hint="eastAsia"/>
                <w:bCs/>
              </w:rPr>
              <w:t>институт</w:t>
            </w:r>
          </w:p>
        </w:tc>
      </w:tr>
      <w:tr w:rsidR="00C6069D" w:rsidRPr="00C6069D">
        <w:trPr>
          <w:trHeight w:val="510"/>
          <w:tblCellSpacing w:w="0" w:type="dxa"/>
        </w:trPr>
        <w:tc>
          <w:tcPr>
            <w:tcW w:w="720" w:type="dxa"/>
            <w:vAlign w:val="center"/>
          </w:tcPr>
          <w:p w:rsidR="00C6069D" w:rsidRPr="00C6069D" w:rsidRDefault="00C6069D" w:rsidP="005C3533">
            <w:pPr>
              <w:pStyle w:val="aa"/>
              <w:ind w:firstLine="0"/>
              <w:jc w:val="center"/>
            </w:pPr>
            <w:r w:rsidRPr="00C6069D">
              <w:rPr>
                <w:bCs/>
                <w:lang w:val="en-US"/>
              </w:rPr>
              <w:t>7</w:t>
            </w:r>
          </w:p>
        </w:tc>
        <w:tc>
          <w:tcPr>
            <w:tcW w:w="3975" w:type="dxa"/>
            <w:vAlign w:val="center"/>
          </w:tcPr>
          <w:p w:rsidR="00C6069D" w:rsidRPr="00C6069D" w:rsidRDefault="00C6069D" w:rsidP="005C3533">
            <w:pPr>
              <w:pStyle w:val="aa"/>
              <w:ind w:firstLine="188"/>
              <w:jc w:val="center"/>
            </w:pPr>
            <w:r w:rsidRPr="00C6069D">
              <w:rPr>
                <w:rFonts w:hint="eastAsia"/>
                <w:bCs/>
              </w:rPr>
              <w:t>Калифорнийский</w:t>
            </w:r>
            <w:r w:rsidRPr="00C6069D">
              <w:rPr>
                <w:bCs/>
              </w:rPr>
              <w:t xml:space="preserve"> </w:t>
            </w:r>
            <w:r w:rsidRPr="00C6069D">
              <w:rPr>
                <w:rFonts w:hint="eastAsia"/>
                <w:bCs/>
              </w:rPr>
              <w:t>технологический</w:t>
            </w:r>
            <w:r w:rsidRPr="00C6069D">
              <w:rPr>
                <w:bCs/>
              </w:rPr>
              <w:t xml:space="preserve"> </w:t>
            </w:r>
            <w:r w:rsidRPr="00C6069D">
              <w:rPr>
                <w:rFonts w:hint="eastAsia"/>
                <w:bCs/>
              </w:rPr>
              <w:t>институт</w:t>
            </w:r>
          </w:p>
        </w:tc>
        <w:tc>
          <w:tcPr>
            <w:tcW w:w="900" w:type="dxa"/>
            <w:vAlign w:val="center"/>
          </w:tcPr>
          <w:p w:rsidR="00C6069D" w:rsidRPr="00C6069D" w:rsidRDefault="00C6069D" w:rsidP="005C3533">
            <w:pPr>
              <w:pStyle w:val="aa"/>
              <w:ind w:firstLine="165"/>
              <w:jc w:val="center"/>
            </w:pPr>
            <w:r w:rsidRPr="00C6069D">
              <w:rPr>
                <w:bCs/>
                <w:lang w:val="en-US"/>
              </w:rPr>
              <w:t>7</w:t>
            </w:r>
          </w:p>
        </w:tc>
        <w:tc>
          <w:tcPr>
            <w:tcW w:w="4140" w:type="dxa"/>
            <w:vAlign w:val="center"/>
          </w:tcPr>
          <w:p w:rsidR="00C6069D" w:rsidRPr="00C6069D" w:rsidRDefault="00C6069D" w:rsidP="005C3533">
            <w:pPr>
              <w:pStyle w:val="aa"/>
              <w:jc w:val="center"/>
            </w:pPr>
            <w:r w:rsidRPr="00C6069D">
              <w:rPr>
                <w:rFonts w:hint="eastAsia"/>
                <w:bCs/>
              </w:rPr>
              <w:t>Колумбийский</w:t>
            </w:r>
            <w:r w:rsidRPr="00C6069D">
              <w:rPr>
                <w:bCs/>
                <w:lang w:val="en-US"/>
              </w:rPr>
              <w:t xml:space="preserve"> </w:t>
            </w:r>
            <w:r w:rsidRPr="00C6069D">
              <w:rPr>
                <w:bCs/>
              </w:rPr>
              <w:t xml:space="preserve"> </w:t>
            </w:r>
            <w:r w:rsidRPr="00C6069D">
              <w:rPr>
                <w:rFonts w:hint="eastAsia"/>
                <w:bCs/>
              </w:rPr>
              <w:t>университет</w:t>
            </w:r>
          </w:p>
        </w:tc>
      </w:tr>
      <w:tr w:rsidR="00C6069D" w:rsidRPr="00C6069D">
        <w:trPr>
          <w:trHeight w:val="510"/>
          <w:tblCellSpacing w:w="0" w:type="dxa"/>
        </w:trPr>
        <w:tc>
          <w:tcPr>
            <w:tcW w:w="720" w:type="dxa"/>
            <w:vAlign w:val="center"/>
          </w:tcPr>
          <w:p w:rsidR="00C6069D" w:rsidRPr="00C6069D" w:rsidRDefault="00C6069D" w:rsidP="005C3533">
            <w:pPr>
              <w:pStyle w:val="aa"/>
              <w:ind w:firstLine="0"/>
              <w:jc w:val="center"/>
            </w:pPr>
            <w:r w:rsidRPr="00C6069D">
              <w:rPr>
                <w:bCs/>
                <w:lang w:val="en-US"/>
              </w:rPr>
              <w:t>8</w:t>
            </w:r>
          </w:p>
        </w:tc>
        <w:tc>
          <w:tcPr>
            <w:tcW w:w="3975" w:type="dxa"/>
            <w:vAlign w:val="center"/>
          </w:tcPr>
          <w:p w:rsidR="00C6069D" w:rsidRPr="00C6069D" w:rsidRDefault="00C6069D" w:rsidP="005C3533">
            <w:pPr>
              <w:pStyle w:val="aa"/>
              <w:ind w:firstLine="188"/>
              <w:jc w:val="center"/>
            </w:pPr>
            <w:r w:rsidRPr="00C6069D">
              <w:rPr>
                <w:rFonts w:hint="eastAsia"/>
                <w:bCs/>
              </w:rPr>
              <w:t>Калифорнийский</w:t>
            </w:r>
            <w:r w:rsidRPr="00C6069D">
              <w:rPr>
                <w:bCs/>
              </w:rPr>
              <w:t xml:space="preserve"> </w:t>
            </w:r>
            <w:r w:rsidRPr="00C6069D">
              <w:rPr>
                <w:rFonts w:hint="eastAsia"/>
                <w:bCs/>
              </w:rPr>
              <w:t>университет</w:t>
            </w:r>
            <w:r w:rsidRPr="00C6069D">
              <w:rPr>
                <w:bCs/>
              </w:rPr>
              <w:t xml:space="preserve">, </w:t>
            </w:r>
            <w:r w:rsidRPr="00C6069D">
              <w:rPr>
                <w:rFonts w:hint="eastAsia"/>
                <w:bCs/>
              </w:rPr>
              <w:t>Беркли</w:t>
            </w:r>
          </w:p>
        </w:tc>
        <w:tc>
          <w:tcPr>
            <w:tcW w:w="900" w:type="dxa"/>
            <w:vAlign w:val="center"/>
          </w:tcPr>
          <w:p w:rsidR="00C6069D" w:rsidRPr="00C6069D" w:rsidRDefault="00C6069D" w:rsidP="005C3533">
            <w:pPr>
              <w:pStyle w:val="aa"/>
              <w:ind w:firstLine="165"/>
              <w:jc w:val="center"/>
            </w:pPr>
            <w:r w:rsidRPr="00C6069D">
              <w:rPr>
                <w:bCs/>
                <w:lang w:val="en-US"/>
              </w:rPr>
              <w:t>8</w:t>
            </w:r>
          </w:p>
        </w:tc>
        <w:tc>
          <w:tcPr>
            <w:tcW w:w="4140" w:type="dxa"/>
            <w:vAlign w:val="center"/>
          </w:tcPr>
          <w:p w:rsidR="00C6069D" w:rsidRPr="00C6069D" w:rsidRDefault="00C6069D" w:rsidP="005C3533">
            <w:pPr>
              <w:pStyle w:val="aa"/>
              <w:jc w:val="center"/>
            </w:pPr>
            <w:r w:rsidRPr="00C6069D">
              <w:rPr>
                <w:rFonts w:hint="eastAsia"/>
                <w:bCs/>
              </w:rPr>
              <w:t>Принстонский</w:t>
            </w:r>
            <w:r w:rsidRPr="00C6069D">
              <w:rPr>
                <w:bCs/>
              </w:rPr>
              <w:t xml:space="preserve"> </w:t>
            </w:r>
            <w:r w:rsidRPr="00C6069D">
              <w:rPr>
                <w:rFonts w:hint="eastAsia"/>
                <w:bCs/>
              </w:rPr>
              <w:t>университет</w:t>
            </w:r>
          </w:p>
        </w:tc>
      </w:tr>
      <w:tr w:rsidR="00C6069D" w:rsidRPr="00C6069D">
        <w:trPr>
          <w:trHeight w:val="300"/>
          <w:tblCellSpacing w:w="0" w:type="dxa"/>
        </w:trPr>
        <w:tc>
          <w:tcPr>
            <w:tcW w:w="720" w:type="dxa"/>
            <w:vAlign w:val="center"/>
          </w:tcPr>
          <w:p w:rsidR="00C6069D" w:rsidRPr="00C6069D" w:rsidRDefault="00C6069D" w:rsidP="005C3533">
            <w:pPr>
              <w:pStyle w:val="aa"/>
              <w:ind w:firstLine="0"/>
              <w:jc w:val="center"/>
            </w:pPr>
            <w:r w:rsidRPr="00C6069D">
              <w:rPr>
                <w:bCs/>
                <w:lang w:val="en-US"/>
              </w:rPr>
              <w:t>9</w:t>
            </w:r>
          </w:p>
        </w:tc>
        <w:tc>
          <w:tcPr>
            <w:tcW w:w="3975" w:type="dxa"/>
            <w:vAlign w:val="center"/>
          </w:tcPr>
          <w:p w:rsidR="00C6069D" w:rsidRPr="00C6069D" w:rsidRDefault="00C6069D" w:rsidP="005C3533">
            <w:pPr>
              <w:pStyle w:val="aa"/>
              <w:ind w:firstLine="188"/>
              <w:jc w:val="center"/>
            </w:pPr>
            <w:r w:rsidRPr="00C6069D">
              <w:rPr>
                <w:rFonts w:hint="eastAsia"/>
                <w:bCs/>
              </w:rPr>
              <w:t>Лондонский</w:t>
            </w:r>
            <w:r w:rsidRPr="00C6069D">
              <w:rPr>
                <w:bCs/>
              </w:rPr>
              <w:t xml:space="preserve"> </w:t>
            </w:r>
            <w:r w:rsidRPr="00C6069D">
              <w:rPr>
                <w:rFonts w:hint="eastAsia"/>
                <w:bCs/>
              </w:rPr>
              <w:t>Империал</w:t>
            </w:r>
            <w:r w:rsidRPr="00C6069D">
              <w:rPr>
                <w:bCs/>
              </w:rPr>
              <w:t>-</w:t>
            </w:r>
            <w:r w:rsidRPr="00C6069D">
              <w:rPr>
                <w:rFonts w:hint="eastAsia"/>
                <w:bCs/>
              </w:rPr>
              <w:t>колледж</w:t>
            </w:r>
          </w:p>
        </w:tc>
        <w:tc>
          <w:tcPr>
            <w:tcW w:w="900" w:type="dxa"/>
            <w:vAlign w:val="center"/>
          </w:tcPr>
          <w:p w:rsidR="00C6069D" w:rsidRPr="00C6069D" w:rsidRDefault="00C6069D" w:rsidP="005C3533">
            <w:pPr>
              <w:pStyle w:val="aa"/>
              <w:ind w:firstLine="165"/>
              <w:jc w:val="center"/>
            </w:pPr>
            <w:r w:rsidRPr="00C6069D">
              <w:rPr>
                <w:bCs/>
                <w:lang w:val="en-US"/>
              </w:rPr>
              <w:t>9</w:t>
            </w:r>
          </w:p>
        </w:tc>
        <w:tc>
          <w:tcPr>
            <w:tcW w:w="4140" w:type="dxa"/>
            <w:vAlign w:val="center"/>
          </w:tcPr>
          <w:p w:rsidR="00C6069D" w:rsidRPr="00C6069D" w:rsidRDefault="00C6069D" w:rsidP="005C3533">
            <w:pPr>
              <w:pStyle w:val="aa"/>
              <w:jc w:val="center"/>
            </w:pPr>
            <w:r w:rsidRPr="00C6069D">
              <w:rPr>
                <w:rFonts w:hint="eastAsia"/>
                <w:bCs/>
              </w:rPr>
              <w:t>Чикагский</w:t>
            </w:r>
            <w:r w:rsidRPr="00C6069D">
              <w:rPr>
                <w:bCs/>
              </w:rPr>
              <w:t xml:space="preserve"> </w:t>
            </w:r>
            <w:r w:rsidRPr="00C6069D">
              <w:rPr>
                <w:rFonts w:hint="eastAsia"/>
                <w:bCs/>
              </w:rPr>
              <w:t>университет</w:t>
            </w:r>
          </w:p>
        </w:tc>
      </w:tr>
      <w:tr w:rsidR="00C6069D" w:rsidRPr="00C6069D">
        <w:trPr>
          <w:trHeight w:val="300"/>
          <w:tblCellSpacing w:w="0" w:type="dxa"/>
        </w:trPr>
        <w:tc>
          <w:tcPr>
            <w:tcW w:w="720" w:type="dxa"/>
            <w:vAlign w:val="center"/>
          </w:tcPr>
          <w:p w:rsidR="00C6069D" w:rsidRPr="00C6069D" w:rsidRDefault="00C6069D" w:rsidP="005C3533">
            <w:pPr>
              <w:pStyle w:val="aa"/>
              <w:ind w:firstLine="0"/>
              <w:jc w:val="center"/>
            </w:pPr>
            <w:r w:rsidRPr="00C6069D">
              <w:rPr>
                <w:bCs/>
                <w:lang w:val="en-US"/>
              </w:rPr>
              <w:t>10</w:t>
            </w:r>
          </w:p>
        </w:tc>
        <w:tc>
          <w:tcPr>
            <w:tcW w:w="3975" w:type="dxa"/>
            <w:vAlign w:val="center"/>
          </w:tcPr>
          <w:p w:rsidR="00C6069D" w:rsidRPr="00C6069D" w:rsidRDefault="00C6069D" w:rsidP="005C3533">
            <w:pPr>
              <w:pStyle w:val="aa"/>
              <w:ind w:firstLine="188"/>
              <w:jc w:val="center"/>
            </w:pPr>
            <w:r w:rsidRPr="00C6069D">
              <w:rPr>
                <w:rFonts w:hint="eastAsia"/>
                <w:bCs/>
              </w:rPr>
              <w:t>Принстонский</w:t>
            </w:r>
            <w:r w:rsidRPr="00C6069D">
              <w:rPr>
                <w:bCs/>
              </w:rPr>
              <w:t xml:space="preserve"> </w:t>
            </w:r>
            <w:r w:rsidRPr="00C6069D">
              <w:rPr>
                <w:rFonts w:hint="eastAsia"/>
                <w:bCs/>
              </w:rPr>
              <w:t>университет</w:t>
            </w:r>
          </w:p>
        </w:tc>
        <w:tc>
          <w:tcPr>
            <w:tcW w:w="900" w:type="dxa"/>
            <w:vAlign w:val="center"/>
          </w:tcPr>
          <w:p w:rsidR="00C6069D" w:rsidRPr="00C6069D" w:rsidRDefault="00C6069D" w:rsidP="005C3533">
            <w:pPr>
              <w:pStyle w:val="aa"/>
              <w:ind w:firstLine="165"/>
              <w:jc w:val="center"/>
            </w:pPr>
            <w:r w:rsidRPr="00C6069D">
              <w:rPr>
                <w:bCs/>
                <w:lang w:val="en-US"/>
              </w:rPr>
              <w:t>10</w:t>
            </w:r>
          </w:p>
        </w:tc>
        <w:tc>
          <w:tcPr>
            <w:tcW w:w="4140" w:type="dxa"/>
            <w:vAlign w:val="center"/>
          </w:tcPr>
          <w:p w:rsidR="00C6069D" w:rsidRPr="00C6069D" w:rsidRDefault="00C6069D" w:rsidP="005C3533">
            <w:pPr>
              <w:pStyle w:val="aa"/>
              <w:jc w:val="center"/>
            </w:pPr>
            <w:r w:rsidRPr="00C6069D">
              <w:rPr>
                <w:rFonts w:hint="eastAsia"/>
                <w:bCs/>
              </w:rPr>
              <w:t>Оксфордский</w:t>
            </w:r>
            <w:r w:rsidRPr="00C6069D">
              <w:rPr>
                <w:bCs/>
              </w:rPr>
              <w:t xml:space="preserve"> </w:t>
            </w:r>
            <w:r w:rsidRPr="00C6069D">
              <w:rPr>
                <w:rFonts w:hint="eastAsia"/>
                <w:bCs/>
              </w:rPr>
              <w:t>университет</w:t>
            </w:r>
          </w:p>
        </w:tc>
      </w:tr>
    </w:tbl>
    <w:p w:rsidR="00F9070E" w:rsidRDefault="00F9070E" w:rsidP="00AD1FA4">
      <w:pPr>
        <w:pStyle w:val="aa"/>
        <w:ind w:firstLine="0"/>
      </w:pPr>
    </w:p>
    <w:p w:rsidR="00850476" w:rsidRDefault="00751753" w:rsidP="00850476">
      <w:pPr>
        <w:pStyle w:val="32"/>
        <w:ind w:firstLine="0"/>
        <w:outlineLvl w:val="1"/>
      </w:pPr>
      <w:bookmarkStart w:id="19" w:name="_Toc201309170"/>
      <w:r>
        <w:t>2</w:t>
      </w:r>
      <w:r w:rsidR="005654BF">
        <w:t>.</w:t>
      </w:r>
      <w:r w:rsidR="00C94916" w:rsidRPr="00C53E1F">
        <w:t xml:space="preserve"> Расходы на обучение</w:t>
      </w:r>
      <w:r w:rsidR="005654BF">
        <w:t xml:space="preserve"> и источники финансирования иностранных студентов</w:t>
      </w:r>
      <w:r w:rsidR="00850476">
        <w:t>.</w:t>
      </w:r>
      <w:bookmarkEnd w:id="19"/>
    </w:p>
    <w:p w:rsidR="00C53E1F" w:rsidRDefault="003F3445" w:rsidP="00850476">
      <w:pPr>
        <w:pStyle w:val="32"/>
        <w:ind w:firstLine="0"/>
        <w:outlineLvl w:val="1"/>
      </w:pPr>
      <w:bookmarkStart w:id="20" w:name="_Toc201309171"/>
      <w:r>
        <w:t>Экономическая эффективность.</w:t>
      </w:r>
      <w:bookmarkEnd w:id="20"/>
    </w:p>
    <w:p w:rsidR="00AD1FA4" w:rsidRDefault="00C53E1F" w:rsidP="00AD1FA4">
      <w:pPr>
        <w:pStyle w:val="aa"/>
      </w:pPr>
      <w:r w:rsidRPr="003947F0">
        <w:t xml:space="preserve">Ценовая политика четко коррелирует с рейтинговой позицией: самое дорогое обучение — в США, далее — по нисходящей согласно лидерскому списку. </w:t>
      </w:r>
    </w:p>
    <w:p w:rsidR="00AD1FA4" w:rsidRDefault="00AD1FA4" w:rsidP="00AD1FA4">
      <w:pPr>
        <w:pStyle w:val="aa"/>
      </w:pPr>
      <w:r w:rsidRPr="003947F0">
        <w:t xml:space="preserve">Международные цены годичного обучения иностранного студента в </w:t>
      </w:r>
      <w:r>
        <w:t>США в среднем составляют 15-25</w:t>
      </w:r>
      <w:r w:rsidRPr="003947F0">
        <w:t xml:space="preserve"> тысяч долларов США (в том числе на медицинских факультетах - 20 тысяч долларов).</w:t>
      </w:r>
      <w:r>
        <w:t> </w:t>
      </w:r>
      <w:r w:rsidRPr="003947F0">
        <w:t xml:space="preserve"> </w:t>
      </w:r>
      <w:r>
        <w:t>О</w:t>
      </w:r>
      <w:r w:rsidRPr="003947F0">
        <w:t>бучение по популярной сегодня специальности магистра делового администрирования ("Master of Business Administration", сокращенно MBA) в университетах Нью-Йорка, Чикаго, Пенсильвании, Филадельфии (США) обходится в 30-35 тысяч долларов в год, а в менее известном Университете Стрэтклайд (Глазго, Великобритания) - 22 тысячи долларов.</w:t>
      </w:r>
      <w:r>
        <w:t xml:space="preserve"> </w:t>
      </w:r>
    </w:p>
    <w:p w:rsidR="00AD1FA4" w:rsidRDefault="00C53E1F" w:rsidP="00C53E1F">
      <w:pPr>
        <w:pStyle w:val="aa"/>
      </w:pPr>
      <w:r w:rsidRPr="003947F0">
        <w:t xml:space="preserve">В Англии цены чуть ниже — 12−20 тыс. долларов. </w:t>
      </w:r>
      <w:r w:rsidR="00AD1FA4" w:rsidRPr="003947F0">
        <w:t xml:space="preserve">В провинциальных английских университетах программу </w:t>
      </w:r>
      <w:r w:rsidR="00AD1FA4">
        <w:t xml:space="preserve"> МВА </w:t>
      </w:r>
      <w:r w:rsidR="00AD1FA4" w:rsidRPr="003947F0">
        <w:t>можно освоить за 9-10 тысяч долларов в год</w:t>
      </w:r>
      <w:r w:rsidR="00AD1FA4">
        <w:t>.</w:t>
      </w:r>
    </w:p>
    <w:p w:rsidR="00AD1FA4" w:rsidRPr="00104989" w:rsidRDefault="00142FDD" w:rsidP="00AD1FA4">
      <w:pPr>
        <w:pStyle w:val="aa"/>
      </w:pPr>
      <w:r>
        <w:t>По другим подсчетам</w:t>
      </w:r>
      <w:r w:rsidR="00AD1FA4" w:rsidRPr="00104989">
        <w:t xml:space="preserve">, академический курс </w:t>
      </w:r>
      <w:r>
        <w:t xml:space="preserve">в Англии </w:t>
      </w:r>
      <w:r w:rsidR="00AD1FA4" w:rsidRPr="00104989">
        <w:t>на базе среднего образования на соискание степени бакалавра стоил для иностранцев в 2000 году от 40 000 до 50 000 долларов США. Проживание и питание в Лондоне стоит иностранным студентам до 14 500 долларов в год. В итоге, один год жизни и учебы на степень бакалавра в Англии обходится иностранному студенту в сумму от 50 до 65 тысяч долларов.  Годичный постдипломный теоретический курс в британских университетах, завершающийся степенью магистра права, естественных или гуманитарных наук стоит иностранцам в среднем от 32 до 50 тысяч долларов. Еще дороже обходится двухгодичное обучение в аспирантуре от 64 до 100 тысяч долларов, без учета расходов на про</w:t>
      </w:r>
      <w:r w:rsidR="006A0CCF">
        <w:t>живание, питание и т.д.  В Таблице 3</w:t>
      </w:r>
      <w:r w:rsidR="00AD1FA4" w:rsidRPr="00104989">
        <w:t xml:space="preserve"> представлен каталог самых популярных учебных заведений Великобритании, а также соответствующая стоимость обучения.</w:t>
      </w:r>
    </w:p>
    <w:p w:rsidR="00AD1FA4" w:rsidRPr="002C0BA5" w:rsidRDefault="00AD1FA4" w:rsidP="00AD1FA4">
      <w:pPr>
        <w:pStyle w:val="aa"/>
      </w:pPr>
      <w:r w:rsidRPr="006A0CCF">
        <w:rPr>
          <w:sz w:val="22"/>
          <w:szCs w:val="22"/>
        </w:rPr>
        <w:t>Табл</w:t>
      </w:r>
      <w:r w:rsidR="006A0CCF" w:rsidRPr="006A0CCF">
        <w:rPr>
          <w:sz w:val="22"/>
          <w:szCs w:val="22"/>
        </w:rPr>
        <w:t>ица 3</w:t>
      </w:r>
      <w:r w:rsidRPr="006A0CCF">
        <w:rPr>
          <w:sz w:val="22"/>
          <w:szCs w:val="22"/>
        </w:rPr>
        <w:t xml:space="preserve"> - Каталог университетов</w:t>
      </w:r>
      <w:r w:rsidRPr="002C0BA5">
        <w:t>. </w:t>
      </w:r>
    </w:p>
    <w:tbl>
      <w:tblPr>
        <w:tblW w:w="9584" w:type="dxa"/>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934"/>
        <w:gridCol w:w="1530"/>
        <w:gridCol w:w="3330"/>
        <w:gridCol w:w="2790"/>
      </w:tblGrid>
      <w:tr w:rsidR="00AD1FA4" w:rsidRPr="003947F0">
        <w:trPr>
          <w:trHeight w:val="769"/>
          <w:tblCellSpacing w:w="7" w:type="dxa"/>
        </w:trPr>
        <w:tc>
          <w:tcPr>
            <w:tcW w:w="1913"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rPr>
                <w:b/>
              </w:rPr>
            </w:pPr>
            <w:r w:rsidRPr="003947F0">
              <w:rPr>
                <w:b/>
              </w:rPr>
              <w:t>Название</w:t>
            </w:r>
          </w:p>
        </w:tc>
        <w:tc>
          <w:tcPr>
            <w:tcW w:w="15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ind w:left="53"/>
              <w:jc w:val="center"/>
              <w:rPr>
                <w:b/>
              </w:rPr>
            </w:pPr>
            <w:r w:rsidRPr="003947F0">
              <w:rPr>
                <w:b/>
              </w:rPr>
              <w:t>Месторасположение</w:t>
            </w:r>
          </w:p>
        </w:tc>
        <w:tc>
          <w:tcPr>
            <w:tcW w:w="33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rPr>
                <w:b/>
              </w:rPr>
            </w:pPr>
            <w:r w:rsidRPr="003947F0">
              <w:rPr>
                <w:b/>
              </w:rPr>
              <w:t>Профилирующие факультеты</w:t>
            </w:r>
          </w:p>
        </w:tc>
        <w:tc>
          <w:tcPr>
            <w:tcW w:w="2769"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rPr>
                <w:b/>
              </w:rPr>
            </w:pPr>
            <w:r w:rsidRPr="003947F0">
              <w:rPr>
                <w:b/>
              </w:rPr>
              <w:t>Стоимость обучения  в год в фунтах</w:t>
            </w:r>
          </w:p>
        </w:tc>
      </w:tr>
      <w:tr w:rsidR="00AD1FA4" w:rsidRPr="003947F0">
        <w:trPr>
          <w:tblCellSpacing w:w="7" w:type="dxa"/>
        </w:trPr>
        <w:tc>
          <w:tcPr>
            <w:tcW w:w="1913"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Cambridge  University</w:t>
            </w:r>
          </w:p>
        </w:tc>
        <w:tc>
          <w:tcPr>
            <w:tcW w:w="15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Кэмбирдж</w:t>
            </w:r>
          </w:p>
        </w:tc>
        <w:tc>
          <w:tcPr>
            <w:tcW w:w="33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Экономика, право,медицина, естественные науки, инженерные науки,</w:t>
            </w:r>
          </w:p>
        </w:tc>
        <w:tc>
          <w:tcPr>
            <w:tcW w:w="2769"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12 500</w:t>
            </w:r>
          </w:p>
        </w:tc>
      </w:tr>
      <w:tr w:rsidR="00AD1FA4" w:rsidRPr="003947F0">
        <w:trPr>
          <w:tblCellSpacing w:w="7" w:type="dxa"/>
        </w:trPr>
        <w:tc>
          <w:tcPr>
            <w:tcW w:w="1913" w:type="dxa"/>
            <w:tcBorders>
              <w:top w:val="outset" w:sz="6" w:space="0" w:color="auto"/>
              <w:left w:val="outset" w:sz="6" w:space="0" w:color="auto"/>
              <w:bottom w:val="outset" w:sz="6" w:space="0" w:color="auto"/>
              <w:right w:val="outset" w:sz="6" w:space="0" w:color="auto"/>
            </w:tcBorders>
            <w:vAlign w:val="center"/>
          </w:tcPr>
          <w:p w:rsidR="00AD1FA4" w:rsidRPr="003947F0" w:rsidRDefault="00E014DC" w:rsidP="00AD1FA4">
            <w:pPr>
              <w:jc w:val="center"/>
            </w:pPr>
            <w:hyperlink r:id="rId9" w:history="1">
              <w:r w:rsidR="00AD1FA4" w:rsidRPr="003947F0">
                <w:rPr>
                  <w:u w:val="single"/>
                </w:rPr>
                <w:t>Central Saint Martins College</w:t>
              </w:r>
            </w:hyperlink>
          </w:p>
        </w:tc>
        <w:tc>
          <w:tcPr>
            <w:tcW w:w="15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Лондон</w:t>
            </w:r>
          </w:p>
        </w:tc>
        <w:tc>
          <w:tcPr>
            <w:tcW w:w="33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Мода и текстиль, изящные искусства,  живопись, драма</w:t>
            </w:r>
          </w:p>
        </w:tc>
        <w:tc>
          <w:tcPr>
            <w:tcW w:w="2769"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12 000</w:t>
            </w:r>
          </w:p>
        </w:tc>
      </w:tr>
      <w:tr w:rsidR="00AD1FA4" w:rsidRPr="003947F0">
        <w:trPr>
          <w:tblCellSpacing w:w="7" w:type="dxa"/>
        </w:trPr>
        <w:tc>
          <w:tcPr>
            <w:tcW w:w="1913"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Edinburgh University</w:t>
            </w:r>
          </w:p>
        </w:tc>
        <w:tc>
          <w:tcPr>
            <w:tcW w:w="15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Эдинбург</w:t>
            </w:r>
          </w:p>
        </w:tc>
        <w:tc>
          <w:tcPr>
            <w:tcW w:w="33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Экономика, право, медицина</w:t>
            </w:r>
          </w:p>
        </w:tc>
        <w:tc>
          <w:tcPr>
            <w:tcW w:w="2769"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12 000</w:t>
            </w:r>
          </w:p>
        </w:tc>
      </w:tr>
      <w:tr w:rsidR="00AD1FA4" w:rsidRPr="003947F0">
        <w:trPr>
          <w:tblCellSpacing w:w="7" w:type="dxa"/>
        </w:trPr>
        <w:tc>
          <w:tcPr>
            <w:tcW w:w="1913"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Imperial College</w:t>
            </w:r>
          </w:p>
        </w:tc>
        <w:tc>
          <w:tcPr>
            <w:tcW w:w="15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Лондон</w:t>
            </w:r>
          </w:p>
        </w:tc>
        <w:tc>
          <w:tcPr>
            <w:tcW w:w="33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Медицина, естественные науки, инженерные науки</w:t>
            </w:r>
          </w:p>
        </w:tc>
        <w:tc>
          <w:tcPr>
            <w:tcW w:w="2769"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12 500</w:t>
            </w:r>
          </w:p>
        </w:tc>
      </w:tr>
      <w:tr w:rsidR="00AD1FA4" w:rsidRPr="003947F0">
        <w:trPr>
          <w:tblCellSpacing w:w="7" w:type="dxa"/>
        </w:trPr>
        <w:tc>
          <w:tcPr>
            <w:tcW w:w="1913" w:type="dxa"/>
            <w:tcBorders>
              <w:top w:val="outset" w:sz="6" w:space="0" w:color="auto"/>
              <w:left w:val="outset" w:sz="6" w:space="0" w:color="auto"/>
              <w:bottom w:val="outset" w:sz="6" w:space="0" w:color="auto"/>
              <w:right w:val="outset" w:sz="6" w:space="0" w:color="auto"/>
            </w:tcBorders>
            <w:vAlign w:val="center"/>
          </w:tcPr>
          <w:p w:rsidR="00AD1FA4" w:rsidRPr="003947F0" w:rsidRDefault="00E014DC" w:rsidP="00AD1FA4">
            <w:pPr>
              <w:jc w:val="center"/>
            </w:pPr>
            <w:hyperlink r:id="rId10" w:history="1">
              <w:r w:rsidR="00AD1FA4" w:rsidRPr="003947F0">
                <w:rPr>
                  <w:u w:val="single"/>
                </w:rPr>
                <w:t>London School of Economics</w:t>
              </w:r>
            </w:hyperlink>
          </w:p>
        </w:tc>
        <w:tc>
          <w:tcPr>
            <w:tcW w:w="15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Лондон</w:t>
            </w:r>
          </w:p>
        </w:tc>
        <w:tc>
          <w:tcPr>
            <w:tcW w:w="33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Экономика, бизнес и менеджемент, право, социология</w:t>
            </w:r>
          </w:p>
        </w:tc>
        <w:tc>
          <w:tcPr>
            <w:tcW w:w="2769"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12 500</w:t>
            </w:r>
          </w:p>
        </w:tc>
      </w:tr>
      <w:tr w:rsidR="00AD1FA4" w:rsidRPr="003947F0">
        <w:trPr>
          <w:tblCellSpacing w:w="7" w:type="dxa"/>
        </w:trPr>
        <w:tc>
          <w:tcPr>
            <w:tcW w:w="1913"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Manchester University</w:t>
            </w:r>
          </w:p>
        </w:tc>
        <w:tc>
          <w:tcPr>
            <w:tcW w:w="15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Манчестер</w:t>
            </w:r>
          </w:p>
        </w:tc>
        <w:tc>
          <w:tcPr>
            <w:tcW w:w="33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Экономика, Mедицина</w:t>
            </w:r>
          </w:p>
        </w:tc>
        <w:tc>
          <w:tcPr>
            <w:tcW w:w="2769"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9 500</w:t>
            </w:r>
          </w:p>
        </w:tc>
      </w:tr>
      <w:tr w:rsidR="00AD1FA4" w:rsidRPr="003947F0">
        <w:trPr>
          <w:tblCellSpacing w:w="7" w:type="dxa"/>
        </w:trPr>
        <w:tc>
          <w:tcPr>
            <w:tcW w:w="1913" w:type="dxa"/>
            <w:tcBorders>
              <w:top w:val="outset" w:sz="6" w:space="0" w:color="auto"/>
              <w:left w:val="outset" w:sz="6" w:space="0" w:color="auto"/>
              <w:bottom w:val="outset" w:sz="6" w:space="0" w:color="auto"/>
              <w:right w:val="outset" w:sz="6" w:space="0" w:color="auto"/>
            </w:tcBorders>
            <w:vAlign w:val="center"/>
          </w:tcPr>
          <w:p w:rsidR="00AD1FA4" w:rsidRPr="003947F0" w:rsidRDefault="00E014DC" w:rsidP="00AD1FA4">
            <w:pPr>
              <w:jc w:val="center"/>
            </w:pPr>
            <w:hyperlink r:id="rId11" w:history="1">
              <w:r w:rsidR="00AD1FA4" w:rsidRPr="003947F0">
                <w:rPr>
                  <w:u w:val="single"/>
                </w:rPr>
                <w:t>Oxford Brooks University</w:t>
              </w:r>
            </w:hyperlink>
          </w:p>
        </w:tc>
        <w:tc>
          <w:tcPr>
            <w:tcW w:w="15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Охфорд</w:t>
            </w:r>
          </w:p>
        </w:tc>
        <w:tc>
          <w:tcPr>
            <w:tcW w:w="33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Бизнес, общественные науки, право, гостиничный менеджемент, мтроительство, педагогика, спорт и др.</w:t>
            </w:r>
          </w:p>
        </w:tc>
        <w:tc>
          <w:tcPr>
            <w:tcW w:w="2769"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8 600</w:t>
            </w:r>
          </w:p>
        </w:tc>
      </w:tr>
      <w:tr w:rsidR="00AD1FA4" w:rsidRPr="003947F0">
        <w:trPr>
          <w:tblCellSpacing w:w="7" w:type="dxa"/>
        </w:trPr>
        <w:tc>
          <w:tcPr>
            <w:tcW w:w="1913"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Oxford University</w:t>
            </w:r>
          </w:p>
        </w:tc>
        <w:tc>
          <w:tcPr>
            <w:tcW w:w="15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Оксфорд</w:t>
            </w:r>
          </w:p>
        </w:tc>
        <w:tc>
          <w:tcPr>
            <w:tcW w:w="33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Экономика, право, инженерные науки, медицина, архитектура, искусство и дизайн</w:t>
            </w:r>
          </w:p>
        </w:tc>
        <w:tc>
          <w:tcPr>
            <w:tcW w:w="2769"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t>12 000</w:t>
            </w:r>
          </w:p>
        </w:tc>
      </w:tr>
      <w:tr w:rsidR="00AD1FA4" w:rsidRPr="003947F0">
        <w:trPr>
          <w:tblCellSpacing w:w="7" w:type="dxa"/>
        </w:trPr>
        <w:tc>
          <w:tcPr>
            <w:tcW w:w="1913"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br/>
            </w:r>
            <w:r w:rsidRPr="003947F0">
              <w:rPr>
                <w:bCs/>
              </w:rPr>
              <w:t>Birmingham University</w:t>
            </w:r>
          </w:p>
        </w:tc>
        <w:tc>
          <w:tcPr>
            <w:tcW w:w="15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rPr>
                <w:bCs/>
              </w:rPr>
              <w:t>Бирмингем</w:t>
            </w:r>
          </w:p>
        </w:tc>
        <w:tc>
          <w:tcPr>
            <w:tcW w:w="33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rPr>
                <w:bCs/>
              </w:rPr>
              <w:t>Экономика, естественные науки, гуманитарные науки</w:t>
            </w:r>
          </w:p>
        </w:tc>
        <w:tc>
          <w:tcPr>
            <w:tcW w:w="2769"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rPr>
                <w:bCs/>
              </w:rPr>
              <w:t>9 600</w:t>
            </w:r>
          </w:p>
        </w:tc>
      </w:tr>
      <w:tr w:rsidR="00AD1FA4" w:rsidRPr="003947F0">
        <w:trPr>
          <w:tblCellSpacing w:w="7" w:type="dxa"/>
        </w:trPr>
        <w:tc>
          <w:tcPr>
            <w:tcW w:w="1913"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rPr>
                <w:bCs/>
              </w:rPr>
              <w:t>University College London</w:t>
            </w:r>
          </w:p>
        </w:tc>
        <w:tc>
          <w:tcPr>
            <w:tcW w:w="15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rPr>
                <w:bCs/>
              </w:rPr>
              <w:t>Лондон</w:t>
            </w:r>
          </w:p>
        </w:tc>
        <w:tc>
          <w:tcPr>
            <w:tcW w:w="3316"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rPr>
                <w:bCs/>
              </w:rPr>
              <w:t>Экономика, право, архитектура,  искусство и дизайн</w:t>
            </w:r>
          </w:p>
        </w:tc>
        <w:tc>
          <w:tcPr>
            <w:tcW w:w="2769" w:type="dxa"/>
            <w:tcBorders>
              <w:top w:val="outset" w:sz="6" w:space="0" w:color="auto"/>
              <w:left w:val="outset" w:sz="6" w:space="0" w:color="auto"/>
              <w:bottom w:val="outset" w:sz="6" w:space="0" w:color="auto"/>
              <w:right w:val="outset" w:sz="6" w:space="0" w:color="auto"/>
            </w:tcBorders>
            <w:vAlign w:val="center"/>
          </w:tcPr>
          <w:p w:rsidR="00AD1FA4" w:rsidRPr="003947F0" w:rsidRDefault="00AD1FA4" w:rsidP="00AD1FA4">
            <w:pPr>
              <w:jc w:val="center"/>
            </w:pPr>
            <w:r w:rsidRPr="003947F0">
              <w:rPr>
                <w:bCs/>
              </w:rPr>
              <w:t>12 000</w:t>
            </w:r>
          </w:p>
        </w:tc>
      </w:tr>
    </w:tbl>
    <w:p w:rsidR="00142FDD" w:rsidRDefault="00142FDD" w:rsidP="00AD1FA4">
      <w:pPr>
        <w:pStyle w:val="aa"/>
        <w:ind w:firstLine="540"/>
      </w:pPr>
    </w:p>
    <w:p w:rsidR="00AD1FA4" w:rsidRDefault="00AD1FA4" w:rsidP="00AD1FA4">
      <w:pPr>
        <w:pStyle w:val="aa"/>
        <w:ind w:firstLine="540"/>
      </w:pPr>
      <w:r>
        <w:t>Средняя стоимость в Новой Зеландии –</w:t>
      </w:r>
      <w:r w:rsidRPr="00104989">
        <w:t xml:space="preserve"> 10</w:t>
      </w:r>
      <w:r>
        <w:t xml:space="preserve"> </w:t>
      </w:r>
      <w:r w:rsidRPr="00104989">
        <w:t>000 новозеландских долларов за год обучения в высшей школе этой страны</w:t>
      </w:r>
      <w:r>
        <w:t xml:space="preserve">, </w:t>
      </w:r>
      <w:r w:rsidRPr="00104989">
        <w:t>проживание в семьях, обходится от 560 до 780 новозеландских долларов в месяц</w:t>
      </w:r>
      <w:r>
        <w:t>.</w:t>
      </w:r>
    </w:p>
    <w:p w:rsidR="00AD1FA4" w:rsidRDefault="00AD1FA4" w:rsidP="00AD1FA4">
      <w:pPr>
        <w:pStyle w:val="aa"/>
      </w:pPr>
      <w:r w:rsidRPr="00104989">
        <w:t>В  крупнейшем в</w:t>
      </w:r>
      <w:r>
        <w:t xml:space="preserve"> Австралии университете Монэша - </w:t>
      </w:r>
      <w:r w:rsidRPr="00104989">
        <w:t>стоимость обучен</w:t>
      </w:r>
      <w:r>
        <w:t>ия - около 5 000 долларов в год.</w:t>
      </w:r>
    </w:p>
    <w:p w:rsidR="00383747" w:rsidRDefault="00AD1FA4" w:rsidP="00931C6E">
      <w:pPr>
        <w:pStyle w:val="aa"/>
      </w:pPr>
      <w:r w:rsidRPr="002B738B">
        <w:t>В</w:t>
      </w:r>
      <w:r>
        <w:t xml:space="preserve"> Гкрмании в</w:t>
      </w:r>
      <w:r w:rsidRPr="002B738B">
        <w:t xml:space="preserve"> Штутгартском универс</w:t>
      </w:r>
      <w:r w:rsidR="00142FDD">
        <w:t xml:space="preserve">итете менеджмента и технологий </w:t>
      </w:r>
      <w:r w:rsidRPr="002B738B">
        <w:t>годичная плата за обучение достигает 20 тысяч е</w:t>
      </w:r>
      <w:r w:rsidR="00142FDD">
        <w:t>вро</w:t>
      </w:r>
      <w:r>
        <w:t>.</w:t>
      </w:r>
    </w:p>
    <w:p w:rsidR="00B3441B" w:rsidRDefault="00E229C6" w:rsidP="00E229C6">
      <w:pPr>
        <w:pStyle w:val="aa"/>
      </w:pPr>
      <w:r w:rsidRPr="00B3441B">
        <w:t xml:space="preserve">В национальные экономики стран вслед за иностранными студентами приходит 100−120 млрд долларов, половина этих денег напрямую идет в образовательные заведения. Откуда берутся </w:t>
      </w:r>
      <w:r w:rsidR="00B3441B" w:rsidRPr="00B3441B">
        <w:t>данные средства</w:t>
      </w:r>
      <w:r w:rsidRPr="00B3441B">
        <w:t xml:space="preserve">? </w:t>
      </w:r>
    </w:p>
    <w:p w:rsidR="00E229C6" w:rsidRPr="00B3441B" w:rsidRDefault="00E229C6" w:rsidP="00E229C6">
      <w:pPr>
        <w:pStyle w:val="aa"/>
      </w:pPr>
      <w:r w:rsidRPr="00B3441B">
        <w:t xml:space="preserve">По большей части это — семейные средства: 75−80% студентов оплачивают обучение из своего кошелька, но чаще — из родительского. За 8−10% студентов платят сами колледжи, университеты или правительства принимающих стран. Доля национальных правительств или университетов отправляющих сторон совсем невелика — 4−5%. Примерно столько же вносят частные спонсоры. А средства международных организаций не превышают </w:t>
      </w:r>
      <w:r w:rsidR="00B3441B" w:rsidRPr="00B3441B">
        <w:t>1%</w:t>
      </w:r>
      <w:r w:rsidRPr="00B3441B">
        <w:t>. </w:t>
      </w:r>
    </w:p>
    <w:p w:rsidR="0084152C" w:rsidRDefault="00E229C6" w:rsidP="0084152C">
      <w:pPr>
        <w:pStyle w:val="aa"/>
      </w:pPr>
      <w:r w:rsidRPr="00B3441B">
        <w:t xml:space="preserve">При получении магистерской степени картина меняется: доля семейных средств уменьшается, а доля средств учебных заведений растет. </w:t>
      </w:r>
    </w:p>
    <w:p w:rsidR="00AD1FA4" w:rsidRPr="00B3441B" w:rsidRDefault="00AD1FA4" w:rsidP="00AD1FA4">
      <w:pPr>
        <w:pStyle w:val="aa"/>
      </w:pPr>
      <w:r w:rsidRPr="003947F0">
        <w:t xml:space="preserve">Согласно данным Института международного образования, на сегодняшний день более 80% иностранных студентов - соискателей степени бакалавра сами оплачивают свое обучение в США, и лишь 8,8% получают средства на свою учебу от американских колледжей, университетов или правительства США. </w:t>
      </w:r>
      <w:r>
        <w:t> </w:t>
      </w:r>
    </w:p>
    <w:p w:rsidR="00511221" w:rsidRDefault="00AD1FA4" w:rsidP="00511221">
      <w:pPr>
        <w:pStyle w:val="aa"/>
        <w:rPr>
          <w:lang w:val="en-US"/>
        </w:rPr>
      </w:pPr>
      <w:r>
        <w:t>Р</w:t>
      </w:r>
      <w:r w:rsidR="00E229C6" w:rsidRPr="00B3441B">
        <w:t xml:space="preserve">асходы </w:t>
      </w:r>
      <w:r>
        <w:t xml:space="preserve">же </w:t>
      </w:r>
      <w:r w:rsidR="00E229C6" w:rsidRPr="00B3441B">
        <w:t>американских университетов на магистерское обучение иностранных студентов вырастают в пять раз (до 40% всех приходящих средств). Соответственно, почти в два раза снижаются семейные траты. Причины вполне понятны: это уже не только образовательный бизнес, но и вклады в собственные трудовые ресурсы — до половины выпускников с магистерской степенью из числа иностранных студентов остаются работать в США, удовлетворяя запрос американской экономики в инженерных, компьютерных,</w:t>
      </w:r>
      <w:r w:rsidR="00511221">
        <w:t xml:space="preserve"> математических специальностях.</w:t>
      </w:r>
    </w:p>
    <w:p w:rsidR="00511221" w:rsidRPr="00511221" w:rsidRDefault="00511221" w:rsidP="00511221">
      <w:pPr>
        <w:pStyle w:val="aa"/>
      </w:pPr>
      <w:r>
        <w:t>Представляет интерес тенденция уменьшения на протяжении последних 20 лет доли средств национальных правительств и университетов в финансировании учебы своих студентов в США - с 13% в 1980 году до 4% в 2000 году, и одновременно - рост доли американских колледжей и университетов в финансировании учебы иностранцев (прежде всего обучающихся в магистратурах) - соответст</w:t>
      </w:r>
      <w:r w:rsidR="006A0CCF">
        <w:t>венно с 9,2% до 19,8% (таблица 4</w:t>
      </w:r>
      <w:r w:rsidR="00142FDD">
        <w:t xml:space="preserve">). Причина данного явления </w:t>
      </w:r>
      <w:r>
        <w:t>в нежелании правительств многих стран продолжать финансировать подготовку кадров для нужд американской экономики, ибо все возрастающее число иностранных студентов после завершения учебы остается работать в США</w:t>
      </w:r>
    </w:p>
    <w:p w:rsidR="00511221" w:rsidRPr="00511221" w:rsidRDefault="006A0CCF" w:rsidP="00511221">
      <w:pPr>
        <w:pStyle w:val="aa"/>
        <w:rPr>
          <w:sz w:val="22"/>
          <w:szCs w:val="22"/>
          <w:lang w:val="en-US"/>
        </w:rPr>
      </w:pPr>
      <w:r>
        <w:rPr>
          <w:sz w:val="22"/>
          <w:szCs w:val="22"/>
        </w:rPr>
        <w:t>Таблица 4</w:t>
      </w:r>
      <w:r w:rsidR="00511221" w:rsidRPr="00511221">
        <w:rPr>
          <w:sz w:val="22"/>
          <w:szCs w:val="22"/>
        </w:rPr>
        <w:t>. Изменение соотношения источников финансирования учебы иностранных студентов в США в 1980-2001 годах, %</w:t>
      </w:r>
    </w:p>
    <w:tbl>
      <w:tblPr>
        <w:tblW w:w="5000"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4A0" w:firstRow="1" w:lastRow="0" w:firstColumn="1" w:lastColumn="0" w:noHBand="0" w:noVBand="1"/>
      </w:tblPr>
      <w:tblGrid>
        <w:gridCol w:w="3083"/>
        <w:gridCol w:w="699"/>
        <w:gridCol w:w="699"/>
        <w:gridCol w:w="699"/>
        <w:gridCol w:w="698"/>
        <w:gridCol w:w="698"/>
        <w:gridCol w:w="698"/>
        <w:gridCol w:w="698"/>
        <w:gridCol w:w="698"/>
        <w:gridCol w:w="698"/>
        <w:gridCol w:w="698"/>
      </w:tblGrid>
      <w:tr w:rsidR="00511221"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pPr>
            <w:r w:rsidRPr="00511221">
              <w:rPr>
                <w:b/>
                <w:bCs/>
              </w:rPr>
              <w:t>Источники финансирования</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rPr>
                <w:b/>
                <w:bCs/>
              </w:rPr>
              <w:t>1979/ 1980</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rPr>
                <w:b/>
                <w:bCs/>
              </w:rPr>
              <w:t>1984/ 1985</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rPr>
                <w:b/>
                <w:bCs/>
              </w:rPr>
              <w:t>1989/ 1990</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rPr>
                <w:b/>
                <w:bCs/>
              </w:rPr>
              <w:t>1994/ 1995</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rPr>
                <w:b/>
                <w:bCs/>
              </w:rPr>
              <w:t>1995/ 1996</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rPr>
                <w:b/>
                <w:bCs/>
              </w:rPr>
              <w:t>1996/ 1997</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rPr>
                <w:b/>
                <w:bCs/>
              </w:rPr>
              <w:t>1997/ 1998</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rPr>
                <w:b/>
                <w:bCs/>
              </w:rPr>
              <w:t>1998/ 1999</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rPr>
                <w:b/>
                <w:bCs/>
              </w:rPr>
              <w:t>1999/ 2000</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rPr>
                <w:b/>
                <w:bCs/>
              </w:rPr>
              <w:t>2000/ 2001</w:t>
            </w:r>
          </w:p>
        </w:tc>
      </w:tr>
      <w:tr w:rsidR="00511221"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pPr>
            <w:r w:rsidRPr="00511221">
              <w:t>Личные и семейные средства</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65,4</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66,2</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63,7</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68,4</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67,8</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67,2</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67,9</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67,1</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67,1</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66,9</w:t>
            </w:r>
          </w:p>
        </w:tc>
      </w:tr>
      <w:tr w:rsidR="00511221"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pPr>
            <w:r w:rsidRPr="00511221">
              <w:t>Колледж или университет США</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9,2</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11,6</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18,2</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16,5</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16,5</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16,9</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18</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18,3</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18,9</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19,8</w:t>
            </w:r>
          </w:p>
        </w:tc>
      </w:tr>
      <w:tr w:rsidR="00511221"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pPr>
            <w:r w:rsidRPr="00511221">
              <w:t>Национальное правительство/университет</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13</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12</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6,7</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5,3</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5,2</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5,5</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5,9</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5,4</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4,5</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4</w:t>
            </w:r>
          </w:p>
        </w:tc>
      </w:tr>
      <w:tr w:rsidR="00511221"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pPr>
            <w:r w:rsidRPr="00511221">
              <w:t>Частный спонсор из США</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1,9</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1,9</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3,1</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2,2</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2,1</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2,3</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2,3</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1,9</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2,7</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2,5</w:t>
            </w:r>
          </w:p>
        </w:tc>
      </w:tr>
      <w:tr w:rsidR="00511221"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pPr>
            <w:r w:rsidRPr="00511221">
              <w:t>Иностранный спонсор</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3</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3</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2,2</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2,5</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2,9</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3,5</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2,5</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2,8</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2,7</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2,4</w:t>
            </w:r>
          </w:p>
        </w:tc>
      </w:tr>
      <w:tr w:rsidR="00511221"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pPr>
            <w:r w:rsidRPr="00511221">
              <w:t>Доход от текущей работы</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2,7</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2,1</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2,1</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2,2</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2,3</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2,3</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2,3</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2,3</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2,4</w:t>
            </w:r>
          </w:p>
        </w:tc>
      </w:tr>
      <w:tr w:rsidR="00511221"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pPr>
            <w:r w:rsidRPr="00511221">
              <w:t>Другие источники</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2,8</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1,1</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1,2</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1,3</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1,4</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1,2</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0,2</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1,1</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0,8</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1,9</w:t>
            </w:r>
          </w:p>
        </w:tc>
      </w:tr>
      <w:tr w:rsidR="00511221"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pPr>
            <w:r w:rsidRPr="00511221">
              <w:t>Правительство США</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2,1</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2,2</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1,2</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0,9</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0,8</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0,7</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0,6</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0,6</w:t>
            </w:r>
          </w:p>
        </w:tc>
      </w:tr>
      <w:tr w:rsidR="00511221"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pPr>
            <w:r w:rsidRPr="00511221">
              <w:t>Международная организация</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0,6</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0,5</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0,6</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0,5</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0,5</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0,4</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0,5</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0,4</w:t>
            </w:r>
          </w:p>
        </w:tc>
      </w:tr>
      <w:tr w:rsidR="00511221"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pPr>
            <w:r w:rsidRPr="00511221">
              <w:t>Всего</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100</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100</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100</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100</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100</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100</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100</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100</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100</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511221" w:rsidP="00511221">
            <w:pPr>
              <w:spacing w:before="100" w:beforeAutospacing="1" w:after="100" w:afterAutospacing="1"/>
              <w:jc w:val="center"/>
            </w:pPr>
            <w:r w:rsidRPr="00511221">
              <w:t>100</w:t>
            </w:r>
          </w:p>
        </w:tc>
      </w:tr>
    </w:tbl>
    <w:p w:rsidR="006A0CCF" w:rsidRDefault="006A0CCF" w:rsidP="00FA06BD">
      <w:pPr>
        <w:pStyle w:val="aa"/>
      </w:pPr>
    </w:p>
    <w:p w:rsidR="0084152C" w:rsidRDefault="003F3445" w:rsidP="00FA06BD">
      <w:pPr>
        <w:pStyle w:val="aa"/>
      </w:pPr>
      <w:r>
        <w:t>Как видно и вышеизложенного, о</w:t>
      </w:r>
      <w:r w:rsidR="002F1B3E">
        <w:t xml:space="preserve">бразование - один из основных источников увеличения доходов. </w:t>
      </w:r>
      <w:r w:rsidR="0084152C" w:rsidRPr="00786F9A">
        <w:t xml:space="preserve">В общей сложности иностранные граждане ежегодно платят за свое обучение, а также проживание в различных странах мира десятки миллиардов долларов. Совокупный экономический эффект от учебы от одного иностранного студента колеблется от 50−65 тыс. долларов (студент Кембриджа или Гарварда) до 15−20 тыс. (провинциальные вузы Канады и Австралии). </w:t>
      </w:r>
    </w:p>
    <w:p w:rsidR="004A2419" w:rsidRDefault="0084152C" w:rsidP="00FA06BD">
      <w:pPr>
        <w:pStyle w:val="aa"/>
      </w:pPr>
      <w:r>
        <w:t>Исходя из данных исследования, экспорт образования станет одним из наиболее прибыльных отраслей экономики, как в финансовом плане, так и стратегически. Это продиктовано тем, что студенческая мобильность отражается не только на цифрах финансовых показателей, связанных с затратами на обучение и необхо</w:t>
      </w:r>
      <w:r w:rsidR="004A2419">
        <w:t>димыми расходами на проживание.</w:t>
      </w:r>
    </w:p>
    <w:p w:rsidR="0084152C" w:rsidRPr="00786F9A" w:rsidRDefault="0084152C" w:rsidP="00FA06BD">
      <w:pPr>
        <w:pStyle w:val="aa"/>
      </w:pPr>
      <w:r>
        <w:t xml:space="preserve">Трудоустройство по окончании вуза и возможная натурализация в стране обучения являются не менее важными факторами, влияющими на получение высшего образования за рубежом. </w:t>
      </w:r>
      <w:r w:rsidR="004A2419">
        <w:t>То есть страны-экспортеры оптимизируют затраты на подготовку собственных национальных кадров, ибо иностранцы учатся у тех же преподавателей, пользуются тем же учебным оборудованием, теми же библиотекам живут в тех же общежитиях, что и местные студенты.</w:t>
      </w:r>
    </w:p>
    <w:p w:rsidR="0084152C" w:rsidRDefault="0084152C" w:rsidP="0084152C">
      <w:pPr>
        <w:pStyle w:val="aa"/>
      </w:pPr>
      <w:r w:rsidRPr="00786F9A">
        <w:t>Дополнительный доход учебным заведениям стран-реципиентов приносит и то, что иностранные студенты за дополнительную плату учатся на языковых курсах той страны, куда они приехали осваивать выбранную ими специальность. Обучение языку занимает от 6 месяцев до года, а стоимость занятий, например, в частной языковой школе в Англии составляет до 300 долларов в неделю.   Плюс подготовительные курсы для поступления. Плюс траты на учебники и книги, плюс одежда, досуг, транспорт. </w:t>
      </w:r>
    </w:p>
    <w:p w:rsidR="0084152C" w:rsidRDefault="0084152C" w:rsidP="00D225DD">
      <w:pPr>
        <w:pStyle w:val="aa"/>
      </w:pPr>
      <w:r>
        <w:t>Следует отметить, что иностранные студенты являются не только источником дополнительных доходов и пополнением дефицита квалифицированной рабочей силы. Студенты-иностранцы также очень сильно влияют на сохранение конкурентоспособности национальных вузов, подталкивая их к улучшению качества преподавания и бытовых условий, расширению научно-исследовательской базы, разработке принципиально новых курсов обучения при унификации измерения успеваемости студентов (кредитов) и обеспечению возможности перехода из одного высшего учебного заведения в другое без затрат на дополнительное обучение. Таким образом, наличие определенного процента студентов-иностранцев свидетельствует о том, что данное высшее учебное заведение стремится к активному развитию и заботится о поддержании своего</w:t>
      </w:r>
      <w:r w:rsidR="00D225DD">
        <w:t xml:space="preserve"> реноме на международной арене.</w:t>
      </w:r>
    </w:p>
    <w:p w:rsidR="008903E8" w:rsidRPr="008903E8" w:rsidRDefault="008903E8" w:rsidP="008903E8">
      <w:pPr>
        <w:pStyle w:val="aa"/>
      </w:pPr>
      <w:r w:rsidRPr="008903E8">
        <w:t>Обучение иностранных студентов влияет также на развитие их стран и способствует глобальной экономической и политической стабильности.</w:t>
      </w:r>
    </w:p>
    <w:p w:rsidR="00FA06BD" w:rsidRDefault="00FA06BD" w:rsidP="00FA06BD">
      <w:pPr>
        <w:pStyle w:val="aa"/>
      </w:pPr>
      <w:r w:rsidRPr="00786F9A">
        <w:t>Таким образом, образовательные учреждения все активнее включаются в конкурентную борьбу за привлечение к себе на учебу иностранных граждан. Обучение иностранцев становится действенным фактором стимулирования экономического роста. Сегодня, по данным ЮНЕСКО, свои образовательные услуги для иностранцев предлагают многие тысячи высших учебных заведений из 129 государств, хотя основная конкуренция происходит, как правило, между наиболее развитыми странами Западной Европы и Северной Америки, а также Австралией и Японией. Характерно, что на эту же группу стран приходится и 4/5 общемировых расчетных государственных расходов на образование (в абсолютных цифрах - 1098,4 из 1386,8 млрд. долларов за 1997 год, причем это соотношение остается устойчивым на протяжении последних 20 лет).  Поэтому закономерно, что большинство иностранных студентов учатся в промышленно развитых странах, имеющих соответствующую образовательную инфраструктуру и педагогические кадры</w:t>
      </w:r>
      <w:r>
        <w:t>.</w:t>
      </w:r>
    </w:p>
    <w:p w:rsidR="00FA06BD" w:rsidRDefault="00FA06BD" w:rsidP="0084152C">
      <w:pPr>
        <w:pStyle w:val="aa"/>
        <w:rPr>
          <w:rStyle w:val="a6"/>
          <w:i w:val="0"/>
        </w:rPr>
      </w:pPr>
    </w:p>
    <w:p w:rsidR="00931C6E" w:rsidRPr="00786F9A" w:rsidRDefault="00931C6E" w:rsidP="00931C6E">
      <w:pPr>
        <w:pStyle w:val="aa"/>
      </w:pPr>
    </w:p>
    <w:p w:rsidR="00511221" w:rsidRDefault="00511221" w:rsidP="00511221">
      <w:pPr>
        <w:pStyle w:val="23"/>
        <w:ind w:firstLine="0"/>
      </w:pPr>
    </w:p>
    <w:p w:rsidR="00E2786F" w:rsidRDefault="00E2786F" w:rsidP="00511221">
      <w:pPr>
        <w:pStyle w:val="23"/>
        <w:ind w:firstLine="0"/>
      </w:pPr>
    </w:p>
    <w:p w:rsidR="00E2786F" w:rsidRDefault="00E2786F" w:rsidP="00511221">
      <w:pPr>
        <w:pStyle w:val="23"/>
        <w:ind w:firstLine="0"/>
      </w:pPr>
    </w:p>
    <w:p w:rsidR="00E2786F" w:rsidRDefault="00E2786F" w:rsidP="00511221">
      <w:pPr>
        <w:pStyle w:val="23"/>
        <w:ind w:firstLine="0"/>
      </w:pPr>
    </w:p>
    <w:p w:rsidR="00E2786F" w:rsidRDefault="00E2786F" w:rsidP="00511221">
      <w:pPr>
        <w:pStyle w:val="23"/>
        <w:ind w:firstLine="0"/>
      </w:pPr>
    </w:p>
    <w:p w:rsidR="00E2786F" w:rsidRDefault="00E2786F" w:rsidP="00511221">
      <w:pPr>
        <w:pStyle w:val="23"/>
        <w:ind w:firstLine="0"/>
      </w:pPr>
    </w:p>
    <w:p w:rsidR="002E6C90" w:rsidRDefault="002E6C90" w:rsidP="00511221">
      <w:pPr>
        <w:pStyle w:val="23"/>
        <w:ind w:firstLine="0"/>
        <w:rPr>
          <w:color w:val="FF0000"/>
        </w:rPr>
      </w:pPr>
    </w:p>
    <w:p w:rsidR="002E6C90" w:rsidRDefault="002E6C90" w:rsidP="00511221">
      <w:pPr>
        <w:pStyle w:val="23"/>
        <w:ind w:firstLine="0"/>
        <w:rPr>
          <w:color w:val="FF0000"/>
        </w:rPr>
      </w:pPr>
    </w:p>
    <w:p w:rsidR="002E6C90" w:rsidRDefault="002E6C90" w:rsidP="00511221">
      <w:pPr>
        <w:pStyle w:val="23"/>
        <w:ind w:firstLine="0"/>
        <w:rPr>
          <w:color w:val="FF0000"/>
        </w:rPr>
      </w:pPr>
    </w:p>
    <w:p w:rsidR="0084152C" w:rsidRDefault="0084152C" w:rsidP="00511221">
      <w:pPr>
        <w:pStyle w:val="23"/>
        <w:ind w:firstLine="0"/>
        <w:rPr>
          <w:color w:val="FF0000"/>
        </w:rPr>
      </w:pPr>
    </w:p>
    <w:p w:rsidR="00FA06BD" w:rsidRDefault="00FA06BD" w:rsidP="00511221">
      <w:pPr>
        <w:pStyle w:val="23"/>
        <w:ind w:firstLine="0"/>
      </w:pPr>
    </w:p>
    <w:p w:rsidR="00FA06BD" w:rsidRDefault="00FA06BD" w:rsidP="00511221">
      <w:pPr>
        <w:pStyle w:val="23"/>
        <w:ind w:firstLine="0"/>
      </w:pPr>
    </w:p>
    <w:p w:rsidR="00FA06BD" w:rsidRDefault="00FA06BD" w:rsidP="00511221">
      <w:pPr>
        <w:pStyle w:val="23"/>
        <w:ind w:firstLine="0"/>
      </w:pPr>
    </w:p>
    <w:p w:rsidR="00C53E1F" w:rsidRPr="00751753" w:rsidRDefault="005654BF" w:rsidP="00850476">
      <w:pPr>
        <w:pStyle w:val="23"/>
        <w:ind w:firstLine="0"/>
        <w:outlineLvl w:val="0"/>
      </w:pPr>
      <w:bookmarkStart w:id="21" w:name="_Toc201309172"/>
      <w:r w:rsidRPr="00751753">
        <w:t>Глава 3.</w:t>
      </w:r>
      <w:r w:rsidR="00C53E1F" w:rsidRPr="00751753">
        <w:t xml:space="preserve"> </w:t>
      </w:r>
      <w:r w:rsidR="00703917" w:rsidRPr="00751753">
        <w:t>Экспортно-импортные м</w:t>
      </w:r>
      <w:r w:rsidR="00C53E1F" w:rsidRPr="00751753">
        <w:t>еханизмы регулирования</w:t>
      </w:r>
      <w:bookmarkEnd w:id="21"/>
      <w:r w:rsidR="00C53E1F" w:rsidRPr="00751753">
        <w:t> </w:t>
      </w:r>
    </w:p>
    <w:p w:rsidR="00BF74D8" w:rsidRDefault="00C53E1F" w:rsidP="00751753">
      <w:pPr>
        <w:pStyle w:val="aa"/>
      </w:pPr>
      <w:r w:rsidRPr="003947F0">
        <w:t>Экспортно-импортные операции регулируются двумя типами механизмов: финансовыми и правовыми.</w:t>
      </w:r>
      <w:r>
        <w:t> </w:t>
      </w:r>
      <w:r w:rsidR="00751753">
        <w:t xml:space="preserve">Кроме того, образовательное законодательство и </w:t>
      </w:r>
      <w:r w:rsidR="00BF74D8">
        <w:t xml:space="preserve">оценка </w:t>
      </w:r>
      <w:r w:rsidR="00751753">
        <w:t>каче</w:t>
      </w:r>
      <w:r w:rsidR="00BF74D8">
        <w:t>ства</w:t>
      </w:r>
      <w:r w:rsidR="00751753">
        <w:t xml:space="preserve"> </w:t>
      </w:r>
      <w:r w:rsidR="00BF74D8">
        <w:t xml:space="preserve">предоставляемого ВУЗом </w:t>
      </w:r>
      <w:r w:rsidR="00751753">
        <w:t>высшего образования также являются ключевыми параметрами, определяющими общественно-экономическую значимость сферы образования</w:t>
      </w:r>
      <w:r w:rsidR="00BF74D8">
        <w:t xml:space="preserve"> и эффективность экспорта образования.</w:t>
      </w:r>
    </w:p>
    <w:p w:rsidR="0040650F" w:rsidRDefault="00751753" w:rsidP="00BF74D8">
      <w:pPr>
        <w:pStyle w:val="aa"/>
      </w:pPr>
      <w:r w:rsidRPr="003947F0">
        <w:t>Отсу</w:t>
      </w:r>
      <w:r w:rsidR="00BF74D8">
        <w:t xml:space="preserve">тствие международного признания или соответствующего международного сертификата качества, конечно, </w:t>
      </w:r>
      <w:r w:rsidRPr="003947F0">
        <w:t>не исключает вуз из систе</w:t>
      </w:r>
      <w:r w:rsidR="00BF74D8">
        <w:t>мы продаж, но делает его менее конкурентоспособным и менее привлекательным для иностранного потребителя.</w:t>
      </w:r>
      <w:r w:rsidRPr="003947F0">
        <w:t xml:space="preserve"> К примеру, всего лишь 200 из 3500 американских вузов имеют международное признание, что не мешает всем остальным заниматься экспортом образования. Но такое признание само по себе дает сильнейшее конкурентное преимущество.</w:t>
      </w:r>
    </w:p>
    <w:p w:rsidR="00751753" w:rsidRDefault="00751753" w:rsidP="00850476">
      <w:pPr>
        <w:pStyle w:val="aa"/>
        <w:numPr>
          <w:ilvl w:val="0"/>
          <w:numId w:val="12"/>
        </w:numPr>
        <w:ind w:left="1066" w:hanging="357"/>
        <w:outlineLvl w:val="1"/>
        <w:rPr>
          <w:b/>
        </w:rPr>
      </w:pPr>
      <w:bookmarkStart w:id="22" w:name="_Toc201309173"/>
      <w:r>
        <w:rPr>
          <w:b/>
        </w:rPr>
        <w:t>Финансовые и правовые механизмы регулирования</w:t>
      </w:r>
      <w:bookmarkEnd w:id="22"/>
    </w:p>
    <w:p w:rsidR="00C53E1F" w:rsidRDefault="00C53E1F" w:rsidP="00751753">
      <w:pPr>
        <w:pStyle w:val="aa"/>
      </w:pPr>
      <w:r w:rsidRPr="003947F0">
        <w:t xml:space="preserve">Про стоимость услуг уже сказано, а что касается </w:t>
      </w:r>
      <w:r w:rsidRPr="0040650F">
        <w:rPr>
          <w:b/>
          <w:u w:val="single"/>
        </w:rPr>
        <w:t>финансовой политики</w:t>
      </w:r>
      <w:r w:rsidRPr="003947F0">
        <w:t>, то все страны можно условно поделить на две группы — на </w:t>
      </w:r>
      <w:r>
        <w:t>«</w:t>
      </w:r>
      <w:r w:rsidRPr="003947F0">
        <w:t>жестких</w:t>
      </w:r>
      <w:r>
        <w:t>»</w:t>
      </w:r>
      <w:r w:rsidRPr="003947F0">
        <w:t xml:space="preserve"> и </w:t>
      </w:r>
      <w:r>
        <w:t>«</w:t>
      </w:r>
      <w:r w:rsidRPr="003947F0">
        <w:t>мягких</w:t>
      </w:r>
      <w:r>
        <w:t>»</w:t>
      </w:r>
      <w:r w:rsidRPr="003947F0">
        <w:t xml:space="preserve"> продавцов. </w:t>
      </w:r>
    </w:p>
    <w:p w:rsidR="004F1ADA" w:rsidRDefault="00C53E1F" w:rsidP="0050660E">
      <w:pPr>
        <w:pStyle w:val="aa"/>
      </w:pPr>
      <w:r w:rsidRPr="003947F0">
        <w:t xml:space="preserve">Для </w:t>
      </w:r>
      <w:r>
        <w:t>«</w:t>
      </w:r>
      <w:r w:rsidRPr="003947F0">
        <w:t>жестких</w:t>
      </w:r>
      <w:r>
        <w:t>»</w:t>
      </w:r>
      <w:r w:rsidRPr="003947F0">
        <w:t>, к которым относятся США, Канада, Великобритания, Австралия, Новая Зеландия, оплата услуг покупателем </w:t>
      </w:r>
      <w:r>
        <w:t>максимальна, а</w:t>
      </w:r>
      <w:r w:rsidRPr="003947F0">
        <w:t> роль бонусов (стипендии, гранты, льготы и проч.) незначительна. И, как правило, весьма существенна разница стоимос</w:t>
      </w:r>
      <w:r>
        <w:t xml:space="preserve">ти обучения для своих студентов </w:t>
      </w:r>
      <w:r w:rsidRPr="003947F0">
        <w:t>и иностран</w:t>
      </w:r>
      <w:r w:rsidR="0050660E">
        <w:t xml:space="preserve">цев (в среднем в три-пять раз). </w:t>
      </w:r>
      <w:r w:rsidR="0050660E" w:rsidRPr="003947F0">
        <w:t>Например, в Калифорнийском университете (США) академический год учебы по МВА местному жителю обходится в 10 000 долларов, а "чужаку" - уже в 20 000.</w:t>
      </w:r>
      <w:r w:rsidR="0050660E">
        <w:t> </w:t>
      </w:r>
    </w:p>
    <w:p w:rsidR="004F1ADA" w:rsidRPr="004F1ADA" w:rsidRDefault="004F1ADA" w:rsidP="004F1ADA">
      <w:pPr>
        <w:pStyle w:val="aa"/>
      </w:pPr>
      <w:r>
        <w:t xml:space="preserve">Например, в рамках стратегии  США образовательные услуги иностранным студентам предоставляются только на платной основе и не предусматривают предоставление государственных субсидий. Вместе с тем, во многих случаях хорошо успевающие иностранные студенты, особенно на уровне магистратуры и докторантуры, пользуются различными льготами и грантами, как университетских, так и  частных фондов. </w:t>
      </w:r>
    </w:p>
    <w:p w:rsidR="00E2786F" w:rsidRPr="004F1ADA" w:rsidRDefault="00E2786F" w:rsidP="004F1ADA">
      <w:pPr>
        <w:pStyle w:val="aa"/>
      </w:pPr>
      <w:r>
        <w:t xml:space="preserve">Согласно </w:t>
      </w:r>
      <w:r w:rsidR="004F1ADA">
        <w:t>данным Института международного образования</w:t>
      </w:r>
      <w:r>
        <w:t xml:space="preserve"> данным, сегодня более 80% иностранных студентов - соискателей степени бакалавра сами оплачивают свое обучение в США, и лишь 8,8% получают средства на свою учебу от американских колледжей, университетов или правительства США. В то же время доля получающих средства из американских источников среди обучающихся по магистерским программам в 5 раз выше (таблица </w:t>
      </w:r>
      <w:r w:rsidR="006A0CCF">
        <w:t>5</w:t>
      </w:r>
      <w:r>
        <w:t>). Кроме того, иностранные студенты постдипломных курсов ряда престижных американских вузов имеют возможность получить долгосрочный (на 15 лет) кредит для покрытия затрат на свое обучение и проживание в США.</w:t>
      </w:r>
    </w:p>
    <w:p w:rsidR="006A0CCF" w:rsidRDefault="006A0CCF" w:rsidP="00E2786F">
      <w:pPr>
        <w:pStyle w:val="aa"/>
        <w:rPr>
          <w:sz w:val="20"/>
          <w:szCs w:val="20"/>
        </w:rPr>
      </w:pPr>
    </w:p>
    <w:p w:rsidR="00E2786F" w:rsidRPr="006A0CCF" w:rsidRDefault="006A0CCF" w:rsidP="00E2786F">
      <w:pPr>
        <w:pStyle w:val="aa"/>
        <w:rPr>
          <w:sz w:val="22"/>
          <w:szCs w:val="22"/>
        </w:rPr>
      </w:pPr>
      <w:r w:rsidRPr="006A0CCF">
        <w:rPr>
          <w:sz w:val="22"/>
          <w:szCs w:val="22"/>
        </w:rPr>
        <w:t>Таблица 5</w:t>
      </w:r>
      <w:r w:rsidR="00E2786F" w:rsidRPr="006A0CCF">
        <w:rPr>
          <w:sz w:val="22"/>
          <w:szCs w:val="22"/>
        </w:rPr>
        <w:t>. Источники финансирования учебы иностранных студентов в США в 2000-2001 учебном году, %</w:t>
      </w:r>
    </w:p>
    <w:tbl>
      <w:tblPr>
        <w:tblW w:w="5000"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4A0" w:firstRow="1" w:lastRow="0" w:firstColumn="1" w:lastColumn="0" w:noHBand="0" w:noVBand="1"/>
      </w:tblPr>
      <w:tblGrid>
        <w:gridCol w:w="2152"/>
        <w:gridCol w:w="1533"/>
        <w:gridCol w:w="2077"/>
        <w:gridCol w:w="2057"/>
        <w:gridCol w:w="2247"/>
      </w:tblGrid>
      <w:tr w:rsidR="00E2786F"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rPr>
                <w:sz w:val="20"/>
                <w:szCs w:val="20"/>
              </w:rPr>
            </w:pPr>
            <w:r w:rsidRPr="00511221">
              <w:rPr>
                <w:b/>
                <w:bCs/>
                <w:sz w:val="20"/>
                <w:szCs w:val="20"/>
              </w:rPr>
              <w:t>Источники финансирования</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b/>
                <w:bCs/>
                <w:sz w:val="20"/>
                <w:szCs w:val="20"/>
              </w:rPr>
              <w:t>Все иностранные студенты</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b/>
                <w:bCs/>
                <w:sz w:val="20"/>
                <w:szCs w:val="20"/>
              </w:rPr>
              <w:t>Получающие средства среди обучающихся на бакалавра</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b/>
                <w:bCs/>
                <w:sz w:val="20"/>
                <w:szCs w:val="20"/>
              </w:rPr>
              <w:t>Получающие средства среди обучающихся на магистра</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b/>
                <w:bCs/>
                <w:sz w:val="20"/>
                <w:szCs w:val="20"/>
              </w:rPr>
              <w:t>Получающие средства среди обучающихся по другим программам</w:t>
            </w:r>
          </w:p>
        </w:tc>
      </w:tr>
      <w:tr w:rsidR="00E2786F"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rPr>
                <w:sz w:val="20"/>
                <w:szCs w:val="20"/>
              </w:rPr>
            </w:pPr>
            <w:r w:rsidRPr="00511221">
              <w:rPr>
                <w:sz w:val="20"/>
                <w:szCs w:val="20"/>
              </w:rPr>
              <w:t>Личные и семейные средства</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66,9</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80,7</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46,9</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65,2</w:t>
            </w:r>
          </w:p>
        </w:tc>
      </w:tr>
      <w:tr w:rsidR="00E2786F"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rPr>
                <w:sz w:val="20"/>
                <w:szCs w:val="20"/>
              </w:rPr>
            </w:pPr>
            <w:r w:rsidRPr="00511221">
              <w:rPr>
                <w:sz w:val="20"/>
                <w:szCs w:val="20"/>
              </w:rPr>
              <w:t>Колледж или университет США</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19,8</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8,4</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39,9</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6,1</w:t>
            </w:r>
          </w:p>
        </w:tc>
      </w:tr>
      <w:tr w:rsidR="00E2786F"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rPr>
                <w:sz w:val="20"/>
                <w:szCs w:val="20"/>
              </w:rPr>
            </w:pPr>
            <w:r w:rsidRPr="00511221">
              <w:rPr>
                <w:sz w:val="20"/>
                <w:szCs w:val="20"/>
              </w:rPr>
              <w:t>Национальное правительство/ университет</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4</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3,6</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4,5</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3,9</w:t>
            </w:r>
          </w:p>
        </w:tc>
      </w:tr>
      <w:tr w:rsidR="00E2786F"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rPr>
                <w:sz w:val="20"/>
                <w:szCs w:val="20"/>
              </w:rPr>
            </w:pPr>
            <w:r w:rsidRPr="00511221">
              <w:rPr>
                <w:sz w:val="20"/>
                <w:szCs w:val="20"/>
              </w:rPr>
              <w:t>Частные спонсоры из США</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2,5</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2,8</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2,3</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1</w:t>
            </w:r>
          </w:p>
        </w:tc>
      </w:tr>
      <w:tr w:rsidR="00E2786F"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rPr>
                <w:sz w:val="20"/>
                <w:szCs w:val="20"/>
              </w:rPr>
            </w:pPr>
            <w:r w:rsidRPr="00511221">
              <w:rPr>
                <w:sz w:val="20"/>
                <w:szCs w:val="20"/>
              </w:rPr>
              <w:t>Иностранные спонсоры</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2,4</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2,7</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2,1</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2,1</w:t>
            </w:r>
          </w:p>
        </w:tc>
      </w:tr>
      <w:tr w:rsidR="00E2786F"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rPr>
                <w:sz w:val="20"/>
                <w:szCs w:val="20"/>
              </w:rPr>
            </w:pPr>
            <w:r w:rsidRPr="00511221">
              <w:rPr>
                <w:sz w:val="20"/>
                <w:szCs w:val="20"/>
              </w:rPr>
              <w:t>Доходы от текущей работы</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2,4</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0,4</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1,4</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18,9</w:t>
            </w:r>
          </w:p>
        </w:tc>
      </w:tr>
      <w:tr w:rsidR="00E2786F"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rPr>
                <w:sz w:val="20"/>
                <w:szCs w:val="20"/>
              </w:rPr>
            </w:pPr>
            <w:r w:rsidRPr="00511221">
              <w:rPr>
                <w:sz w:val="20"/>
                <w:szCs w:val="20"/>
              </w:rPr>
              <w:t>Другие источники</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1,9</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0,6</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1,4</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1,3</w:t>
            </w:r>
          </w:p>
        </w:tc>
      </w:tr>
      <w:tr w:rsidR="00E2786F"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rPr>
                <w:sz w:val="20"/>
                <w:szCs w:val="20"/>
              </w:rPr>
            </w:pPr>
            <w:r w:rsidRPr="00511221">
              <w:rPr>
                <w:sz w:val="20"/>
                <w:szCs w:val="20"/>
              </w:rPr>
              <w:t>Правительство США</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0,6</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0,4</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0,9</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0,8</w:t>
            </w:r>
          </w:p>
        </w:tc>
      </w:tr>
      <w:tr w:rsidR="00E2786F"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rPr>
                <w:sz w:val="20"/>
                <w:szCs w:val="20"/>
              </w:rPr>
            </w:pPr>
            <w:r w:rsidRPr="00511221">
              <w:rPr>
                <w:sz w:val="20"/>
                <w:szCs w:val="20"/>
              </w:rPr>
              <w:t>Международные организации</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0,4</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0,3</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0,5</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0,8</w:t>
            </w:r>
          </w:p>
        </w:tc>
      </w:tr>
      <w:tr w:rsidR="00E2786F" w:rsidRPr="00511221">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rPr>
                <w:sz w:val="20"/>
                <w:szCs w:val="20"/>
              </w:rPr>
            </w:pPr>
            <w:r w:rsidRPr="00511221">
              <w:rPr>
                <w:sz w:val="20"/>
                <w:szCs w:val="20"/>
              </w:rPr>
              <w:t>Общее количество иностранных студентов, число</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547867</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254429</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238497</w:t>
            </w:r>
          </w:p>
        </w:tc>
        <w:tc>
          <w:tcPr>
            <w:tcW w:w="0" w:type="auto"/>
            <w:tcBorders>
              <w:top w:val="outset" w:sz="6" w:space="0" w:color="006666"/>
              <w:left w:val="outset" w:sz="6" w:space="0" w:color="006666"/>
              <w:bottom w:val="outset" w:sz="6" w:space="0" w:color="006666"/>
              <w:right w:val="outset" w:sz="6" w:space="0" w:color="006666"/>
            </w:tcBorders>
            <w:vAlign w:val="center"/>
          </w:tcPr>
          <w:p w:rsidR="00511221" w:rsidRPr="00511221" w:rsidRDefault="00E2786F" w:rsidP="006777AD">
            <w:pPr>
              <w:spacing w:before="100" w:beforeAutospacing="1" w:after="100" w:afterAutospacing="1"/>
              <w:jc w:val="center"/>
              <w:rPr>
                <w:sz w:val="20"/>
                <w:szCs w:val="20"/>
              </w:rPr>
            </w:pPr>
            <w:r w:rsidRPr="00511221">
              <w:rPr>
                <w:sz w:val="20"/>
                <w:szCs w:val="20"/>
              </w:rPr>
              <w:t>54941</w:t>
            </w:r>
          </w:p>
        </w:tc>
      </w:tr>
    </w:tbl>
    <w:p w:rsidR="006A0CCF" w:rsidRDefault="006A0CCF" w:rsidP="004F1ADA">
      <w:pPr>
        <w:pStyle w:val="aa"/>
      </w:pPr>
    </w:p>
    <w:p w:rsidR="004F1ADA" w:rsidRPr="004F1ADA" w:rsidRDefault="004F1ADA" w:rsidP="004F1ADA">
      <w:pPr>
        <w:pStyle w:val="aa"/>
      </w:pPr>
      <w:r>
        <w:t>Иностранные студенты дают дополнительный доход вузам США, стимулируя университеты реализовывать предпринимательскую стратегию на международном образовательном рынке. Правительства штатов в свою очередь предоставляют вузам значительную автономию, поддерживая высокую репутацию своей системы высшего образования и высокую степень защиты иностранных студентов.</w:t>
      </w:r>
    </w:p>
    <w:p w:rsidR="00E2786F" w:rsidRDefault="00C53E1F" w:rsidP="0017782F">
      <w:pPr>
        <w:pStyle w:val="aa"/>
      </w:pPr>
      <w:r w:rsidRPr="003947F0">
        <w:t>У </w:t>
      </w:r>
      <w:r>
        <w:t>«</w:t>
      </w:r>
      <w:r w:rsidRPr="003947F0">
        <w:t>мягких</w:t>
      </w:r>
      <w:r>
        <w:t>»</w:t>
      </w:r>
      <w:r w:rsidRPr="003947F0">
        <w:t xml:space="preserve"> продавцов затраты на обучение иностранцев во многом компенсируются за счет внутренних источников, как правило, бюджетных. Так, в Германии, Франции, Финляндии, Швеции в государственных вузах иностранные студенты учатся бесплатно. А экономический эффект от этих студентов заключается в деньгах, при</w:t>
      </w:r>
      <w:r w:rsidR="00931C6E">
        <w:t>ходящих от их жизнеобеспечения. Ведь</w:t>
      </w:r>
      <w:r w:rsidR="00931C6E" w:rsidRPr="00786F9A">
        <w:t xml:space="preserve"> обучение дает еще одну очень солидную статью доходов в национальную экономику — это проживание и питание студентов. </w:t>
      </w:r>
      <w:r w:rsidR="00E2786F">
        <w:t>Например, финансовые поступления лишь от одного проживания учащихся-иностранцев в Германии (коммунально-бытовые платежи и повседневные расходы), без оплаты самой учебы (в государственных учебных заведениях, в отличие от частных, образование бесплатное), могут составить до 1/4 миллиона евро в месяц.</w:t>
      </w:r>
      <w:r w:rsidR="0017782F">
        <w:t xml:space="preserve"> </w:t>
      </w:r>
      <w:r w:rsidR="0017782F" w:rsidRPr="002B738B">
        <w:t>Ежемесячные бытовые расходы одного иностранного студента в Германии могут составлять до 1000 евро. При этом лица, самостоятельно приехавшие на учебу (т.е. не в рамках академического обмена), должны положить в немецкий банк персональный финансовый залог в 5600 евро</w:t>
      </w:r>
      <w:r w:rsidR="00931C6E">
        <w:t xml:space="preserve">. </w:t>
      </w:r>
    </w:p>
    <w:p w:rsidR="00C53E1F" w:rsidRPr="00E2786F" w:rsidRDefault="00C53E1F" w:rsidP="00C53E1F">
      <w:pPr>
        <w:pStyle w:val="aa"/>
      </w:pPr>
      <w:r w:rsidRPr="003947F0">
        <w:t>Кроме того, страны, предоставляющие льготы на образование, как правило, более заинтересованы в привлечении на свои рынки труда образованных эмигрантов.</w:t>
      </w:r>
    </w:p>
    <w:p w:rsidR="00751753" w:rsidRDefault="00C53E1F" w:rsidP="00751753">
      <w:pPr>
        <w:pStyle w:val="aa"/>
      </w:pPr>
      <w:r w:rsidRPr="003947F0">
        <w:t>При помощи финансовых механизмов страны-экспортеры регулируют еще и состав своих потребителей. В Великобритании, например, стоимость обучения для студентов из стран ЕС и для студентов из других стран различается, и весьма существенно — в пять-восемь раз (в зависимости от университета).</w:t>
      </w:r>
      <w:r w:rsidR="00751753">
        <w:t> </w:t>
      </w:r>
    </w:p>
    <w:p w:rsidR="00CB5E86" w:rsidRPr="00223F80" w:rsidRDefault="00C53E1F" w:rsidP="00751753">
      <w:pPr>
        <w:pStyle w:val="aa"/>
      </w:pPr>
      <w:r w:rsidRPr="003947F0">
        <w:t xml:space="preserve">Что касается </w:t>
      </w:r>
      <w:r w:rsidRPr="0040650F">
        <w:rPr>
          <w:b/>
          <w:u w:val="single"/>
        </w:rPr>
        <w:t>правового пространства</w:t>
      </w:r>
      <w:r w:rsidRPr="003947F0">
        <w:t>, то там многое определяется иммиграционными законами — за счет смягчения или ужесточения ограничений на въезд и пребывание студентов, на получение вида на жительство или гражданства меняется и число учащихся.</w:t>
      </w:r>
      <w:r>
        <w:t> </w:t>
      </w:r>
    </w:p>
    <w:p w:rsidR="00CB5E86" w:rsidRDefault="00CB5E86" w:rsidP="00CB5E86">
      <w:pPr>
        <w:pStyle w:val="aa"/>
      </w:pPr>
      <w:r>
        <w:t>Важнейшими мероприятиями, направленными на увеличение количества иностранных студентов, во всех странах большой восьмерки являются следующие: принятие более дружелюбного визового законодательства, снятие ограничений в получении работы для иностранных студентов, поддержка миграции квалифицированных сотрудников и преподавателей.</w:t>
      </w:r>
    </w:p>
    <w:p w:rsidR="00383747" w:rsidRPr="00CB5E86" w:rsidRDefault="00383747" w:rsidP="00383747">
      <w:pPr>
        <w:pStyle w:val="aa"/>
      </w:pPr>
      <w:r w:rsidRPr="00786F9A">
        <w:t>Проводя активную иммиграционную политику, США, Канада, Австралия и ряд государств Европы получают за год примерно 1 миллион высококвалифицированных специалистов из числа иностранных граждан, обучавшихся в вузах этих государств. Это - не менее ценная прибыль от хорошо организованного рынка образовательных услуг, нежели плата иностранных учащихся за свое проживание и обучение. Так, от 30% до 50% всех иностранных студентов, получающих степень магистра в американских учебных заведениях, остаются работать в Америке. При этом их стараются набирать преимущественно на те специальности, в которых в наибольшей мере испытывает потребность американская экономика, например, инженерные, компьютерные, математические. Как следствие - из иностранцев состоит сегодня значительная часть постоянного профессорско-преподавательского состава американских университетов, в том числе от 1/4 до 2/5 профессоров естественных и компьютерных наук, математики; четверть всех докторов наук и инженеров</w:t>
      </w:r>
      <w:r>
        <w:t>. </w:t>
      </w:r>
    </w:p>
    <w:p w:rsidR="0047258D" w:rsidRPr="00B706FA" w:rsidRDefault="00580FAE" w:rsidP="00B706FA">
      <w:pPr>
        <w:pStyle w:val="aa"/>
      </w:pPr>
      <w:r>
        <w:t>В  Австралии</w:t>
      </w:r>
      <w:r w:rsidR="00B706FA" w:rsidRPr="00B706FA">
        <w:t xml:space="preserve">, в которой по состоянию на начало 2006 г. </w:t>
      </w:r>
      <w:r w:rsidR="00B706FA" w:rsidRPr="00B706FA">
        <w:rPr>
          <w:rStyle w:val="a7"/>
          <w:b w:val="0"/>
          <w:bCs w:val="0"/>
          <w:szCs w:val="18"/>
        </w:rPr>
        <w:t>проходит обучение</w:t>
      </w:r>
      <w:r w:rsidR="00B706FA" w:rsidRPr="00B706FA">
        <w:t xml:space="preserve"> около 242000 студентов из 84 стран мира -</w:t>
      </w:r>
      <w:r w:rsidR="0047258D" w:rsidRPr="00B706FA">
        <w:t xml:space="preserve"> </w:t>
      </w:r>
      <w:r w:rsidR="0047258D" w:rsidRPr="00B706FA">
        <w:rPr>
          <w:rStyle w:val="a7"/>
          <w:b w:val="0"/>
          <w:bCs w:val="0"/>
          <w:szCs w:val="18"/>
        </w:rPr>
        <w:t>студенческая виза</w:t>
      </w:r>
      <w:r w:rsidR="0047258D" w:rsidRPr="00B706FA">
        <w:t xml:space="preserve"> является одним из наиболее верных и практичных путей </w:t>
      </w:r>
      <w:r w:rsidR="0047258D" w:rsidRPr="00B706FA">
        <w:rPr>
          <w:rStyle w:val="a7"/>
          <w:b w:val="0"/>
          <w:bCs w:val="0"/>
          <w:szCs w:val="18"/>
        </w:rPr>
        <w:t>получения статуса "Постоянный житель Австралии"</w:t>
      </w:r>
      <w:r w:rsidR="0047258D" w:rsidRPr="00B706FA">
        <w:t xml:space="preserve"> и, соответственно, гражданства впоследствии. Австралийские власти всемерно поощряют приток иностранных студентов в страну. Почти каждый третий студент в учебных заведениях Австралии - иностранец. </w:t>
      </w:r>
    </w:p>
    <w:p w:rsidR="00B66167" w:rsidRDefault="0047258D" w:rsidP="00B66167">
      <w:pPr>
        <w:pStyle w:val="aa"/>
      </w:pPr>
      <w:r w:rsidRPr="0047258D">
        <w:t xml:space="preserve">Несколько лет назад в </w:t>
      </w:r>
      <w:r w:rsidRPr="0047258D">
        <w:rPr>
          <w:rStyle w:val="a7"/>
          <w:b w:val="0"/>
          <w:bCs w:val="0"/>
          <w:szCs w:val="18"/>
        </w:rPr>
        <w:t>иммиграционное законодательство Австралии</w:t>
      </w:r>
      <w:r w:rsidRPr="0047258D">
        <w:t xml:space="preserve"> были введены поправки, согласно которым иностранным студентам, окончившим полный курс очного отделения любого австралийского ВУЗа не ниже степени Бакалавра, разрешается подавать свои документы в Департамент по иммиграции на </w:t>
      </w:r>
      <w:r w:rsidRPr="0047258D">
        <w:rPr>
          <w:rStyle w:val="a7"/>
          <w:b w:val="0"/>
          <w:bCs w:val="0"/>
          <w:szCs w:val="18"/>
        </w:rPr>
        <w:t>оформление статуса "Постоянный житель Австралии"</w:t>
      </w:r>
      <w:r w:rsidRPr="0047258D">
        <w:t xml:space="preserve">, а также трудоустраиваться на полную рабочую занятость в Австралии без ограничений прав. Австралийским властям крайне выгодно удерживать в своей стране </w:t>
      </w:r>
      <w:r w:rsidRPr="0047258D">
        <w:rPr>
          <w:rStyle w:val="a7"/>
          <w:b w:val="0"/>
          <w:bCs w:val="0"/>
          <w:szCs w:val="18"/>
        </w:rPr>
        <w:t>квалифицированных специалистов</w:t>
      </w:r>
      <w:r w:rsidRPr="0047258D">
        <w:t xml:space="preserve">, неважно, откуда они прибыли изначально. Главное, что они прошли подготовку в Австралии и за время учебы полностью адаптировались к этой </w:t>
      </w:r>
      <w:r w:rsidR="00B66167">
        <w:t>стране.</w:t>
      </w:r>
    </w:p>
    <w:p w:rsidR="00B66167" w:rsidRPr="00B66167" w:rsidRDefault="00B66167" w:rsidP="00B66167">
      <w:pPr>
        <w:pStyle w:val="aa"/>
        <w:rPr>
          <w:szCs w:val="22"/>
        </w:rPr>
      </w:pPr>
      <w:r w:rsidRPr="00B66167">
        <w:t xml:space="preserve">В Германии </w:t>
      </w:r>
      <w:r w:rsidRPr="00B66167">
        <w:rPr>
          <w:szCs w:val="22"/>
        </w:rPr>
        <w:t xml:space="preserve">разрешение для пребывания в целях обучения может быть выдано для учебы в государственном или признанном государственным высшем учебном заведении. Это разрешение действительно максимум два года и при необходимости продлевается до времени окончания обучения. Кроме того, обладатели подобного разрешения автоматически получают право на работу согласно с действующим трудовым законодательством. </w:t>
      </w:r>
    </w:p>
    <w:p w:rsidR="004F1ADA" w:rsidRDefault="00B66167" w:rsidP="004F1ADA">
      <w:pPr>
        <w:pStyle w:val="aa"/>
      </w:pPr>
      <w:r w:rsidRPr="00B66167">
        <w:t>Дело в том, что в отличие от прежнего законодательства после окончания обучения теперь необязательно сразу покидать Германию. Новый закон об иммиграции, принятый 1-го  января 2005 года</w:t>
      </w:r>
      <w:r>
        <w:t>,</w:t>
      </w:r>
      <w:r w:rsidRPr="00B66167">
        <w:t xml:space="preserve"> предусматривает упрощение трудового законодательства и приведение иммиграционной политики в соответствие с европейским законодательством.</w:t>
      </w:r>
      <w:r>
        <w:t xml:space="preserve"> Он </w:t>
      </w:r>
      <w:r w:rsidRPr="00B66167">
        <w:t xml:space="preserve">дает возможность продлить пребывание в стране еще на год, чтобы подыскать здесь подходящее рабочее место. Кроме того, чтобы поменять статус, например по семейным причинам, теперь не обязательно возвращаться для этого на родину. </w:t>
      </w:r>
    </w:p>
    <w:p w:rsidR="004F1ADA" w:rsidRDefault="004F1ADA" w:rsidP="004F1ADA">
      <w:pPr>
        <w:pStyle w:val="aa"/>
      </w:pPr>
      <w:r>
        <w:t>В основополагающих докладах Национального комитета по реформе образования в Японии в 90-е годы, меры по интернационализации образования были внесены в список приоритетных. Рекомендации комитета включали следующие предложения: упрощение процедуры принятия иностранных студентов, пересмотр преподавания иностранных языков, улучшение преподавания японского языка для иностранных студентов, перестройку японской системы высшего образования с учетом международных перспектив развития. Однако реализовать эти предложения  удалось далеко не в полной мере, по видимому, во многом из-за сложности изучения японского языка, на котором в основном ведется преподавание иностранным студентам.. За двадцать лет количество иностранных студентов выросло до 60 000 чел. Из них 10% обучается за счет японской стороны.  На сегодняшний день около 43 000 японских студентов обучаются в США. Вместе с тем, в японском правительстве существует мнение, что интернационализация высшего образования может разрушить традиционную японскую систему высшего  образования. Эти опасения выливаются в требования «закрытия границ» и проведения «протекционистской» политики по отношению к японским вузам.</w:t>
      </w:r>
    </w:p>
    <w:p w:rsidR="00BF74D8" w:rsidRPr="00BF74D8" w:rsidRDefault="00BF74D8" w:rsidP="00BF74D8">
      <w:pPr>
        <w:pStyle w:val="aa"/>
      </w:pPr>
      <w:r w:rsidRPr="003947F0">
        <w:t>В образовательном экспорте есть и обратная форма организации продаж — открытие филиалов и представительств вузов в разных странах. Мотивация покупателя прозрачна: получение «весомого» диплома без затрат на жизнь в другой стране. Мотивация продавца тоже ясна — тиражировать всегда выгодно. Но открыть филиал весьма непросто — требуется целый пакет межправительственных согласований. И здесь тоже есть правовые возможности изменять объемы потребления.</w:t>
      </w:r>
    </w:p>
    <w:p w:rsidR="00BA0DBC" w:rsidRPr="00BA0DBC" w:rsidRDefault="00751753" w:rsidP="00850476">
      <w:pPr>
        <w:pStyle w:val="aa"/>
        <w:outlineLvl w:val="1"/>
        <w:rPr>
          <w:b/>
        </w:rPr>
      </w:pPr>
      <w:bookmarkStart w:id="23" w:name="_Toc201309174"/>
      <w:r>
        <w:rPr>
          <w:b/>
        </w:rPr>
        <w:t>2</w:t>
      </w:r>
      <w:r w:rsidR="00223F80">
        <w:rPr>
          <w:b/>
        </w:rPr>
        <w:t xml:space="preserve">. </w:t>
      </w:r>
      <w:r w:rsidR="00BA0DBC" w:rsidRPr="00BA0DBC">
        <w:rPr>
          <w:b/>
        </w:rPr>
        <w:t>Образовательно</w:t>
      </w:r>
      <w:r w:rsidR="00BA0DBC">
        <w:rPr>
          <w:b/>
        </w:rPr>
        <w:t>е</w:t>
      </w:r>
      <w:r w:rsidR="00BA0DBC" w:rsidRPr="00BA0DBC">
        <w:rPr>
          <w:b/>
        </w:rPr>
        <w:t xml:space="preserve"> законодательство</w:t>
      </w:r>
      <w:r w:rsidR="00BA0DBC">
        <w:rPr>
          <w:b/>
        </w:rPr>
        <w:t>. Болонская конвенция.</w:t>
      </w:r>
      <w:bookmarkEnd w:id="23"/>
    </w:p>
    <w:p w:rsidR="004D3BC8" w:rsidRDefault="00C53E1F" w:rsidP="00C53E1F">
      <w:pPr>
        <w:pStyle w:val="aa"/>
      </w:pPr>
      <w:r w:rsidRPr="003947F0">
        <w:t>Особая тема — собственно образовательное законодательство. Речь идет в первую очередь о признании странами дипломов друг друга. Международные соглашения: Лиссабонская конвенция «О признании квалификаций, относящихся к высшему образованию в европейском регионе» (1997 год), «Всемирная декларация о высшем образовании для XХI века» (1998 год), Болонская конвенция (1999 год) и множество других — регулируют этот вопрос, но нерешенных проблем очень много. Международное образовательное право само находится в стадии становления.</w:t>
      </w:r>
      <w:r>
        <w:t> </w:t>
      </w:r>
    </w:p>
    <w:p w:rsidR="00BA0DBC" w:rsidRDefault="00BA0DBC" w:rsidP="00BA0DBC">
      <w:pPr>
        <w:pStyle w:val="aa"/>
      </w:pPr>
      <w:r>
        <w:t>Остановимся подробнее на Болонской конвенции, поскольку решение задач, связанных с формированием общеевропейского пространства высшего образования и закреплением за европейской высшей школой ведущих позиций в мире, во многом связывают с Болонским процессом (Совместное заявление министров образования 29 европейских стран «Пространство европейского высшего образования», Болонья, 19 июня 1999 г.), который в содержательном плане представляет собой основные направления деятельности по созданию общеевропейского пространства высшего образования.</w:t>
      </w:r>
    </w:p>
    <w:p w:rsidR="00BA0DBC" w:rsidRDefault="00BA0DBC" w:rsidP="00BA0DBC">
      <w:pPr>
        <w:pStyle w:val="aa"/>
      </w:pPr>
      <w:r>
        <w:t xml:space="preserve">Болонский процесс был инициирован не для начала новых реформ, а для приведения к общему знаменателю существующих систем высшего образования в условиях общеполитического и экономического формирования единой Европы. При этом предусматривалась не унификация существующих систем образования, а координированное взаимодействие по сближению существующих образовательных стандартов и параметров при условии сохранения высокого уровня качества. </w:t>
      </w:r>
    </w:p>
    <w:p w:rsidR="00BA0DBC" w:rsidRDefault="00BA0DBC" w:rsidP="00BA0DBC">
      <w:pPr>
        <w:pStyle w:val="aa"/>
      </w:pPr>
      <w:r>
        <w:t>В качестве основным задач, сформулированных в Болонской декларации, особое значение придается введению в действие следующих механизмов осуществления заявленных целей:</w:t>
      </w:r>
    </w:p>
    <w:p w:rsidR="00BA0DBC" w:rsidRDefault="00BA0DBC" w:rsidP="00BA0DBC">
      <w:pPr>
        <w:pStyle w:val="aa"/>
        <w:ind w:firstLine="0"/>
      </w:pPr>
      <w:r>
        <w:t xml:space="preserve">- принятие системы легко понимаемых и сопоставимых академических квалификаций; внедрение Общеевропейского Приложения к диплому о высшем образовании для обеспечения возможности трудоустройства европейских граждан и повышения международной конкурентоспособности европейской системы высшего образования. </w:t>
      </w:r>
    </w:p>
    <w:p w:rsidR="00BA0DBC" w:rsidRDefault="00BA0DBC" w:rsidP="00BA0DBC">
      <w:pPr>
        <w:pStyle w:val="aa"/>
        <w:ind w:firstLine="0"/>
      </w:pPr>
      <w:r>
        <w:t>- переход на  двухуровневую систему подготовки – бакалавр (undergraduate) и магистр (graduate). Доступ ко второму  уровню требует успешного завершения первого уровня обучения, продолжительность которого не менее 3 лет. Степень, присуждаемая по окончании первого уровня, должна отвечать требованиям европейского рынка труда как квалификация соответствующего уровня. Второй уровень завершается получением магистерской и /или докторской степени, как это принято во многих европейских странах.</w:t>
      </w:r>
    </w:p>
    <w:p w:rsidR="00BA0DBC" w:rsidRDefault="00BA0DBC" w:rsidP="00BA0DBC">
      <w:pPr>
        <w:pStyle w:val="aa"/>
        <w:ind w:firstLine="0"/>
      </w:pPr>
      <w:r>
        <w:t>- введение системы кредитов по типу ECTS (европейская система зачетных единиц), рассматриваемой в качестве средства поддержки крупномасштабной студенческой мобильности. Кредиты могут быть получены также и в рамках образования, не являющегося высшим, включая обучение в течение всей жизни, при условии признания университетами соответствующих образовательных программ.</w:t>
      </w:r>
    </w:p>
    <w:p w:rsidR="00BA0DBC" w:rsidRDefault="00BA0DBC" w:rsidP="00BA0DBC">
      <w:pPr>
        <w:pStyle w:val="aa"/>
        <w:ind w:firstLine="0"/>
      </w:pPr>
      <w:r>
        <w:t xml:space="preserve">- содействие мобильности студентов путем преодоления препятствий эффективному осуществлению свободного передвижения. </w:t>
      </w:r>
    </w:p>
    <w:p w:rsidR="00BA0DBC" w:rsidRDefault="00BA0DBC" w:rsidP="00BA0DBC">
      <w:pPr>
        <w:pStyle w:val="aa"/>
        <w:ind w:firstLine="0"/>
      </w:pPr>
      <w:r>
        <w:t>- содействие европейскому сотрудничеству в обеспечении качества образования с целью разработки сопоставимых критериев и методологий.</w:t>
      </w:r>
    </w:p>
    <w:p w:rsidR="00BA0DBC" w:rsidRDefault="00BA0DBC" w:rsidP="00BA0DBC">
      <w:pPr>
        <w:pStyle w:val="aa"/>
        <w:ind w:firstLine="0"/>
      </w:pPr>
      <w:r>
        <w:t xml:space="preserve">- содействие европейским воззрениям в области высшего образования в части разработки учебных планов межуниверситетского сотрудничества, построение схем мобильности совместных программ обучения и проведения научных исследований. </w:t>
      </w:r>
    </w:p>
    <w:p w:rsidR="00BA0DBC" w:rsidRDefault="00BA0DBC" w:rsidP="00BA0DBC">
      <w:pPr>
        <w:pStyle w:val="aa"/>
        <w:ind w:firstLine="720"/>
      </w:pPr>
      <w:r>
        <w:t>На пражской конференции Министров образования стран, подписавших Болонскую декларацию (Прага, 18-19 мая 2001 г.), при обсуждении вопроса основной повестки дня «Дальнейшее развитие Болонского процесса» были выделены еще 3 новых направления в рамках интеграции национальных систем высшего образования в единое европейское образовательное пространство:</w:t>
      </w:r>
    </w:p>
    <w:p w:rsidR="00BA0DBC" w:rsidRDefault="00BA0DBC" w:rsidP="00BA0DBC">
      <w:pPr>
        <w:pStyle w:val="aa"/>
        <w:ind w:firstLine="720"/>
      </w:pPr>
      <w:r>
        <w:t xml:space="preserve">- </w:t>
      </w:r>
      <w:r>
        <w:rPr>
          <w:rStyle w:val="rvts706642"/>
        </w:rPr>
        <w:t xml:space="preserve">Обучение в течение всей жизни, </w:t>
      </w:r>
      <w:r>
        <w:t>необходимое для придания конкурентоспособности европейской системы образования, использования новых технологий, преодоления социального неравенства, предоставления равных возможностей и поддержания высокого уровня жизни.</w:t>
      </w:r>
    </w:p>
    <w:p w:rsidR="00BA0DBC" w:rsidRDefault="00BA0DBC" w:rsidP="00BA0DBC">
      <w:pPr>
        <w:pStyle w:val="aa"/>
        <w:ind w:firstLine="720"/>
      </w:pPr>
      <w:r>
        <w:t xml:space="preserve">- </w:t>
      </w:r>
      <w:r>
        <w:rPr>
          <w:rStyle w:val="rvts706642"/>
        </w:rPr>
        <w:t xml:space="preserve">Учреждения высшего образования и студенты, в которой </w:t>
      </w:r>
      <w:r>
        <w:t xml:space="preserve">необходимо рассматривать университеты, учреждения высшего образования и студентов как равноправных, компетентных и конструктивных партнеров, и это необходимо приветствовать и поддерживать. </w:t>
      </w:r>
    </w:p>
    <w:p w:rsidR="007B1457" w:rsidRDefault="00BA0DBC" w:rsidP="007B1457">
      <w:pPr>
        <w:pStyle w:val="aa"/>
        <w:ind w:firstLine="720"/>
      </w:pPr>
      <w:r>
        <w:t xml:space="preserve">- </w:t>
      </w:r>
      <w:r>
        <w:rPr>
          <w:rStyle w:val="rvts706642"/>
        </w:rPr>
        <w:t xml:space="preserve">Обеспечение привлекательности европейского пространства высшего образования, </w:t>
      </w:r>
      <w:r>
        <w:t xml:space="preserve">важность </w:t>
      </w:r>
      <w:r w:rsidR="007B1457">
        <w:t>которого</w:t>
      </w:r>
      <w:r>
        <w:t xml:space="preserve"> для студентов из Европы и других стран мира состоит в том, что сравнимость европейских образовательных квалификаций с мировыми должна  определяться общеизвестными рамками квалификаций, обеспечением качества образования, механизмами аккредитации/ сертификации и единым информационным полем.</w:t>
      </w:r>
    </w:p>
    <w:p w:rsidR="007B1457" w:rsidRDefault="00BA0DBC" w:rsidP="007B1457">
      <w:pPr>
        <w:pStyle w:val="aa"/>
        <w:ind w:firstLine="720"/>
      </w:pPr>
      <w:r>
        <w:t>На берлинской встрече Министров образования (Берлин, сентябрь 2003 года) Россия официально присоединилась, как и другие 5 стран, к Болонскому процессу. На конференции была обозначена еще одна целевая установка Болонского процесса:</w:t>
      </w:r>
    </w:p>
    <w:p w:rsidR="007B1457" w:rsidRDefault="007B1457" w:rsidP="007B1457">
      <w:pPr>
        <w:pStyle w:val="aa"/>
        <w:ind w:firstLine="720"/>
      </w:pPr>
      <w:r>
        <w:t>- ф</w:t>
      </w:r>
      <w:r w:rsidR="00BA0DBC">
        <w:t>ормирование единого европейского научного пространства.</w:t>
      </w:r>
    </w:p>
    <w:p w:rsidR="007B1457" w:rsidRDefault="007B1457" w:rsidP="007B1457">
      <w:pPr>
        <w:pStyle w:val="aa"/>
        <w:ind w:firstLine="720"/>
      </w:pPr>
      <w:r>
        <w:t>- о</w:t>
      </w:r>
      <w:r w:rsidR="00BA0DBC">
        <w:t>бучение на докторском уровне стало рассматриваться как третья ступень (цикл) обучения в системе высшего образования европейских стран.</w:t>
      </w:r>
    </w:p>
    <w:p w:rsidR="00BA0DBC" w:rsidRDefault="007B1457" w:rsidP="007B1457">
      <w:pPr>
        <w:pStyle w:val="aa"/>
        <w:ind w:firstLine="720"/>
      </w:pPr>
      <w:r>
        <w:t>- н</w:t>
      </w:r>
      <w:r w:rsidR="00BA0DBC">
        <w:t>аконец, решением последней конференции Министров образования в Норвегии (Берген, 19-20 мая 2005 года) еще 5 стран присоединились к Болонскому процессу, в котором в настоящее время участвуют 45 европейских государств.</w:t>
      </w:r>
    </w:p>
    <w:p w:rsidR="00751753" w:rsidRDefault="00751753" w:rsidP="00850476">
      <w:pPr>
        <w:pStyle w:val="rvps706640"/>
        <w:outlineLvl w:val="1"/>
        <w:rPr>
          <w:rStyle w:val="rvts706643"/>
          <w:b/>
        </w:rPr>
      </w:pPr>
      <w:bookmarkStart w:id="24" w:name="_Toc201309175"/>
      <w:r>
        <w:rPr>
          <w:rStyle w:val="rvts706643"/>
          <w:b/>
        </w:rPr>
        <w:t xml:space="preserve">3. </w:t>
      </w:r>
      <w:r w:rsidR="00284BE7" w:rsidRPr="00284BE7">
        <w:rPr>
          <w:rStyle w:val="rvts706643"/>
          <w:b/>
        </w:rPr>
        <w:t xml:space="preserve">Международная </w:t>
      </w:r>
      <w:r>
        <w:rPr>
          <w:rStyle w:val="rvts706643"/>
          <w:b/>
        </w:rPr>
        <w:t>оценка</w:t>
      </w:r>
      <w:r w:rsidR="00284BE7" w:rsidRPr="00284BE7">
        <w:rPr>
          <w:rStyle w:val="rvts706643"/>
          <w:b/>
        </w:rPr>
        <w:t xml:space="preserve"> качества высшего образования</w:t>
      </w:r>
      <w:bookmarkEnd w:id="24"/>
    </w:p>
    <w:p w:rsidR="00284BE7" w:rsidRPr="00751753" w:rsidRDefault="00284BE7" w:rsidP="00751753">
      <w:pPr>
        <w:pStyle w:val="aa"/>
        <w:rPr>
          <w:b/>
        </w:rPr>
      </w:pPr>
      <w:r>
        <w:t>Современная концепция качества образования предопределяет необходимость «внешней оценки качества» и создание соответствующих органов (агентств) для этой цели. Внешняя оценка качества может быть связана с национальными, региональными, отраслевыми потребностями, но по своей сущности это институциональная проблема.</w:t>
      </w:r>
    </w:p>
    <w:p w:rsidR="00284BE7" w:rsidRPr="00BF74D8" w:rsidRDefault="00284BE7" w:rsidP="00284BE7">
      <w:pPr>
        <w:pStyle w:val="aa"/>
      </w:pPr>
      <w:r w:rsidRPr="00BF74D8">
        <w:t>В мировой практике обеспечения качества образования используются три основных формы оценки качества: аудит, оценка, аккредитация.</w:t>
      </w:r>
    </w:p>
    <w:p w:rsidR="00284BE7" w:rsidRDefault="00284BE7" w:rsidP="00284BE7">
      <w:pPr>
        <w:pStyle w:val="aa"/>
      </w:pPr>
      <w:r>
        <w:t>Аудит</w:t>
      </w:r>
      <w:r w:rsidR="00BF74D8">
        <w:t xml:space="preserve"> качества</w:t>
      </w:r>
      <w:r>
        <w:t>, по мнению экспертов ОЭСР, - это проверка прямого или косвенного заявления высшего учебного заведения о себе и своем состоянии. Аудит качества устанавливает, в какой степени высшее учебное заведение достигает своих собственных целей.</w:t>
      </w:r>
    </w:p>
    <w:p w:rsidR="00284BE7" w:rsidRDefault="00284BE7" w:rsidP="00284BE7">
      <w:pPr>
        <w:pStyle w:val="aa"/>
      </w:pPr>
      <w:r>
        <w:t xml:space="preserve">Результат аудита имеет форму описания того, насколько заявления высшего учебного заведения соответствуют действительности. </w:t>
      </w:r>
    </w:p>
    <w:p w:rsidR="00284BE7" w:rsidRDefault="00284BE7" w:rsidP="00284BE7">
      <w:pPr>
        <w:pStyle w:val="aa"/>
      </w:pPr>
      <w:r>
        <w:t>Международная организация по стандартизации (International Organization for Standardization – ISO) определяет аудит качества как трехцелевой процесс проверки:</w:t>
      </w:r>
    </w:p>
    <w:p w:rsidR="00284BE7" w:rsidRDefault="00284BE7" w:rsidP="00284BE7">
      <w:pPr>
        <w:pStyle w:val="aa"/>
      </w:pPr>
      <w:r>
        <w:t>- соответствия планируемых процедур проверки качества заявленным целям;</w:t>
      </w:r>
    </w:p>
    <w:p w:rsidR="00284BE7" w:rsidRDefault="00284BE7" w:rsidP="00284BE7">
      <w:pPr>
        <w:pStyle w:val="aa"/>
      </w:pPr>
      <w:r>
        <w:t>- соответствия планам реальной деятельности по повышению качества;</w:t>
      </w:r>
    </w:p>
    <w:p w:rsidR="00284BE7" w:rsidRDefault="00284BE7" w:rsidP="00284BE7">
      <w:pPr>
        <w:pStyle w:val="aa"/>
      </w:pPr>
      <w:r>
        <w:t>- эффективность деятельности, направленной на достижение заявленных целей.</w:t>
      </w:r>
    </w:p>
    <w:p w:rsidR="00284BE7" w:rsidRDefault="00284BE7" w:rsidP="00284BE7">
      <w:pPr>
        <w:pStyle w:val="aa"/>
      </w:pPr>
      <w:r>
        <w:t>Оценка</w:t>
      </w:r>
      <w:r w:rsidR="00BF74D8">
        <w:t xml:space="preserve"> качества</w:t>
      </w:r>
      <w:r>
        <w:t xml:space="preserve"> – процесс проверки, результаты которой выражаются в баллах – количественных величинах (абсолютных или относительных) или обозначаются буквами алфавита (A, B, C ,D, E). Оценка является ответом на вопрос: насколько достигнутые результаты соответствуют результатам, рассматриваемым в данной системе оценки как «хорошие». В этой связи существенное значение имеет понятие термина «хорошие», который в разных странах и в разных системах оценки качества определяется по-разному.</w:t>
      </w:r>
    </w:p>
    <w:p w:rsidR="00284BE7" w:rsidRDefault="00284BE7" w:rsidP="00284BE7">
      <w:pPr>
        <w:pStyle w:val="aa"/>
      </w:pPr>
      <w:r>
        <w:t>Аккредитация – это оценка соответствия высшего учебного заведения определенному статусу. Особое значение при этом имеет специализированная или профессиональная аккредитация (аккредитация учебных программ) – это выявление и подтверждение того факта, что  высшее учебное заведение или учебная программа обеспечивает достаточную квалификацию выпускникам для практической деятельности в определенных отраслях (право, медицина, техника и т.п.).</w:t>
      </w:r>
    </w:p>
    <w:p w:rsidR="00284BE7" w:rsidRDefault="00284BE7" w:rsidP="00284BE7">
      <w:pPr>
        <w:pStyle w:val="aa"/>
      </w:pPr>
      <w:r>
        <w:t>Несмотря на то, что определения терминов «аудит», «оценка», «аккредитация» разные, они в известной степени перекрывают друг друга. Например, посредством аудита определяется степень соответствия действительности заявления высшего учебного заведения о своем состоянии; эта степень может быть выражена в процентах, т.е. количественной величиной, а не описанием, что характерно для аудита. Таким образом</w:t>
      </w:r>
      <w:r w:rsidR="00BF74D8">
        <w:t>,</w:t>
      </w:r>
      <w:r>
        <w:t xml:space="preserve"> аудит превращается в оценку. По аналогии, если соответствие высшего учебного заведения определенному статусу выражается в процентах достигнутых целей от их общего числа, тогда аудит становится и аккредитацией.</w:t>
      </w:r>
    </w:p>
    <w:p w:rsidR="00BF74D8" w:rsidRDefault="00284BE7" w:rsidP="00BF74D8">
      <w:pPr>
        <w:pStyle w:val="aa"/>
      </w:pPr>
      <w:r>
        <w:t>Все эти процессы реализуются высшими учебными заведениями или внешними органами по оценке качества, однако,  самооценка и само-аккредитация не могут рассматриваться как самодо</w:t>
      </w:r>
      <w:r w:rsidR="00BF74D8">
        <w:t>статочные легитимные процедуры.</w:t>
      </w:r>
    </w:p>
    <w:p w:rsidR="00284BE7" w:rsidRDefault="00284BE7" w:rsidP="00BF74D8">
      <w:pPr>
        <w:pStyle w:val="aa"/>
      </w:pPr>
      <w:r>
        <w:t>К настоящему времени сложилась и действует развитая международная инфраструктура по содействию оценке и поддержанию качества высшего образования, включающая в себя ряд организаций и учреждений, действующих на глобальном или региональном уровнях.</w:t>
      </w:r>
    </w:p>
    <w:p w:rsidR="00284BE7" w:rsidRPr="00284BE7" w:rsidRDefault="00284BE7" w:rsidP="00BF74D8">
      <w:pPr>
        <w:pStyle w:val="aa"/>
        <w:ind w:firstLine="540"/>
        <w:rPr>
          <w:b/>
        </w:rPr>
      </w:pPr>
      <w:r w:rsidRPr="00284BE7">
        <w:rPr>
          <w:b/>
        </w:rPr>
        <w:t xml:space="preserve">Международная сеть агентств, гарантирующих качество высшего образования (International Network for Quality Assurance Agencies in Higher Education – INQAAHE). </w:t>
      </w:r>
    </w:p>
    <w:p w:rsidR="00284BE7" w:rsidRDefault="00284BE7" w:rsidP="00284BE7">
      <w:pPr>
        <w:pStyle w:val="aa"/>
        <w:ind w:firstLine="540"/>
      </w:pPr>
      <w:r>
        <w:t>Международная сеть INQAAHE была создана в 1991 г. Ее главная цель заключается в сборе, анализе и распространении информации о современных и инновационных теориях и практике оценки, улучшения и поддержки высокого качества высшего образования.</w:t>
      </w:r>
    </w:p>
    <w:p w:rsidR="00284BE7" w:rsidRDefault="00284BE7" w:rsidP="00284BE7">
      <w:pPr>
        <w:pStyle w:val="aa"/>
      </w:pPr>
      <w:r>
        <w:t>Посредством такого совместного использования информации Сеть оказывает содействие всем партнёрам в выполнении своей главной задачи: выявлении и поощрении успешных примеров поддержания и улучшения качества высшего образования.</w:t>
      </w:r>
    </w:p>
    <w:p w:rsidR="00284BE7" w:rsidRDefault="00284BE7" w:rsidP="00284BE7">
      <w:pPr>
        <w:pStyle w:val="aa"/>
      </w:pPr>
      <w:r>
        <w:t xml:space="preserve">Полноправными членами Сети являются организации, ответственные за гарантии академического качества послесредних учебных заведений или образовательных программ. </w:t>
      </w:r>
    </w:p>
    <w:p w:rsidR="00284BE7" w:rsidRPr="00284BE7" w:rsidRDefault="00284BE7" w:rsidP="00284BE7">
      <w:pPr>
        <w:pStyle w:val="aa"/>
        <w:rPr>
          <w:b/>
        </w:rPr>
      </w:pPr>
      <w:r w:rsidRPr="00284BE7">
        <w:rPr>
          <w:b/>
        </w:rPr>
        <w:t xml:space="preserve">Европейская сеть гарантии качества высшего образования (European Network for Quality Assurance in Higher Education – ENQA). </w:t>
      </w:r>
    </w:p>
    <w:p w:rsidR="00284BE7" w:rsidRDefault="00284BE7" w:rsidP="00284BE7">
      <w:pPr>
        <w:pStyle w:val="aa"/>
      </w:pPr>
      <w:r>
        <w:t>Создание этой структуры, быстро присоединяющей к себе системы оценки качества образования европейских стран, стало результатом Рекомендации Европейской комиссии (98/561/ЕС) от 24 сентября 1998 г. о европейском сотрудничестве в области гарантии качества в высшем образовании и Болонской декларации.</w:t>
      </w:r>
    </w:p>
    <w:p w:rsidR="00284BE7" w:rsidRDefault="00284BE7" w:rsidP="00284BE7">
      <w:pPr>
        <w:pStyle w:val="aa"/>
      </w:pPr>
      <w:r>
        <w:t>Европейская сеть была создана в целях содействия развитию европейского сотрудничества в области оценки и гарантии качества высшего образования между всеми участниками этого процесса.</w:t>
      </w:r>
    </w:p>
    <w:p w:rsidR="00284BE7" w:rsidRDefault="00284BE7" w:rsidP="00284BE7">
      <w:pPr>
        <w:pStyle w:val="aa"/>
      </w:pPr>
      <w:r>
        <w:t>Членство в Сети открыто для агентств по гарантии качества, государственных органов, ответственных за гарантии качества, ассоциаций высшего образования и высших учебных заведений государств – членов Европейского Союза.</w:t>
      </w:r>
    </w:p>
    <w:p w:rsidR="00284BE7" w:rsidRDefault="00284BE7" w:rsidP="00284BE7">
      <w:pPr>
        <w:pStyle w:val="aa"/>
      </w:pPr>
      <w:r>
        <w:t>По состоянию на 2003 г. членами Сети были около 30 национальных агентств по гарантии качества высшего образования (советы, комиссии, центры и другие структуры по аккредитации) и четыре общеевропейских агентства: Ассоциация европейских университетов (EUA), Европейская ассоциация высших учебных заведений (EURASHE), Фонд аккредитации программ подготовки работников международной деловой администрации (FIBAA), Национальные союзы студентов Европы (ESIB).</w:t>
      </w:r>
    </w:p>
    <w:p w:rsidR="00BA0DBC" w:rsidRPr="00BA0DBC" w:rsidRDefault="00284BE7" w:rsidP="00EF7B59">
      <w:pPr>
        <w:pStyle w:val="aa"/>
      </w:pPr>
      <w:r>
        <w:t>Созданная под эгидой Европейской комиссии Европейская сеть гарантии качества высшего образования должна стать главной платформой обмена опытом решения проблем качеств</w:t>
      </w:r>
      <w:r w:rsidR="00EF7B59">
        <w:t>а высшего образования в Европе.</w:t>
      </w:r>
    </w:p>
    <w:p w:rsidR="00BF74D8" w:rsidRPr="004F1ADA" w:rsidRDefault="00C53E1F" w:rsidP="00BF74D8">
      <w:pPr>
        <w:pStyle w:val="aa"/>
      </w:pPr>
      <w:r>
        <w:t>  </w:t>
      </w:r>
      <w:r w:rsidR="00BF74D8">
        <w:t>В качестве обязательных принципов для стран-импортеров и стран-экспортеров образования определены следующие:</w:t>
      </w:r>
    </w:p>
    <w:p w:rsidR="00BF74D8" w:rsidRDefault="00BF74D8" w:rsidP="00BF74D8">
      <w:pPr>
        <w:pStyle w:val="aa"/>
      </w:pPr>
      <w:r w:rsidRPr="004F1ADA">
        <w:t xml:space="preserve">- </w:t>
      </w:r>
      <w:r>
        <w:t>обязательная гарантия качества предоставляемых услуг и присуждаемых квалификаций за счет ужесточения систем аккредитации и контроля качества;</w:t>
      </w:r>
    </w:p>
    <w:p w:rsidR="00BF74D8" w:rsidRDefault="00BF74D8" w:rsidP="00BF74D8">
      <w:pPr>
        <w:pStyle w:val="aa"/>
      </w:pPr>
      <w:r>
        <w:t>- для обеспечения международного признания квалификаций необходимо тесное взаимодействие между национальными агентствами по оценке качества и аккредитации;</w:t>
      </w:r>
    </w:p>
    <w:p w:rsidR="00BF74D8" w:rsidRPr="00223F80" w:rsidRDefault="00BF74D8" w:rsidP="00BF74D8">
      <w:pPr>
        <w:pStyle w:val="aa"/>
      </w:pPr>
      <w:r>
        <w:t>- органы власти, ответственные за проведение образовательной, миграционной политики и оказание международной помощи стран ОЭСР, должны поддерживать международное взаимодействие с целью координации профессиональной академической мобильности и регулирования вопросов «утечки мозгов», в интересах и стран-экспортеров и стран-импортеров образовательных услуг.</w:t>
      </w:r>
    </w:p>
    <w:p w:rsidR="00C53E1F" w:rsidRDefault="00C53E1F" w:rsidP="00C53E1F">
      <w:pPr>
        <w:pStyle w:val="aa"/>
        <w:rPr>
          <w:color w:val="FF0000"/>
        </w:rPr>
      </w:pPr>
    </w:p>
    <w:p w:rsidR="00931C6E" w:rsidRDefault="00E229C6" w:rsidP="00850476">
      <w:pPr>
        <w:pStyle w:val="11"/>
      </w:pPr>
      <w:bookmarkStart w:id="25" w:name="_Toc201309176"/>
      <w:r>
        <w:t>ЗАКЛЮЧЕНИЕ</w:t>
      </w:r>
      <w:bookmarkEnd w:id="25"/>
    </w:p>
    <w:p w:rsidR="00E229C6" w:rsidRPr="00D162F1" w:rsidRDefault="00580FAE" w:rsidP="00580FAE">
      <w:pPr>
        <w:pStyle w:val="aa"/>
        <w:ind w:firstLine="0"/>
      </w:pPr>
      <w:r>
        <w:t xml:space="preserve">1. </w:t>
      </w:r>
      <w:r w:rsidR="0084152C">
        <w:t>Экспорт и импорт образования во всем мире пере</w:t>
      </w:r>
      <w:r>
        <w:t>живает период небывалого роста</w:t>
      </w:r>
      <w:r w:rsidR="0084152C">
        <w:t>. Международное образование является одним из наиболее быстрорастущих экспортных секторов. Всемирный рынок образования оценивается в 1.5 трлн долларов. При этом глобальный спрос на высшее образование составляет 97 млн мест, а спрос на международное высшее образование равняется 1.8 млн мест. По прогнозам IDP Education Australia к 2025 году спрос на международное образование стремительно увеличится и составит 262 млн мест, при этом доля высшего образования будет составлять не менее 7.2 млн мест.</w:t>
      </w:r>
      <w:r>
        <w:t xml:space="preserve"> </w:t>
      </w:r>
      <w:r w:rsidR="00E229C6" w:rsidRPr="00E229C6">
        <w:t xml:space="preserve">Дальнейшие прогнозы </w:t>
      </w:r>
      <w:r>
        <w:t xml:space="preserve">также </w:t>
      </w:r>
      <w:r w:rsidR="00E229C6" w:rsidRPr="00E229C6">
        <w:t>говорят, что к 2010 году численность иностранных студентов достигнет: в США 700000, Англии - 350000, Германии - более 320000, Франции, Австралии, Канаде - превысит 250000, Испании - 200000, России - 160000 человек.</w:t>
      </w:r>
      <w:r w:rsidR="00E229C6">
        <w:rPr>
          <w:color w:val="FF0000"/>
        </w:rPr>
        <w:t>  </w:t>
      </w:r>
      <w:r w:rsidR="00E229C6">
        <w:t>     </w:t>
      </w:r>
      <w:r w:rsidR="00E229C6">
        <w:rPr>
          <w:color w:val="FF0000"/>
        </w:rPr>
        <w:t>  </w:t>
      </w:r>
      <w:r w:rsidR="00E229C6">
        <w:t> </w:t>
      </w:r>
    </w:p>
    <w:p w:rsidR="00E229C6" w:rsidRPr="00D162F1" w:rsidRDefault="00580FAE" w:rsidP="00580FAE">
      <w:pPr>
        <w:pStyle w:val="aa"/>
        <w:numPr>
          <w:ilvl w:val="0"/>
          <w:numId w:val="12"/>
        </w:numPr>
        <w:tabs>
          <w:tab w:val="clear" w:pos="1069"/>
          <w:tab w:val="num" w:pos="180"/>
        </w:tabs>
        <w:ind w:left="0" w:firstLine="0"/>
      </w:pPr>
      <w:r>
        <w:t xml:space="preserve"> </w:t>
      </w:r>
      <w:r w:rsidR="00E229C6" w:rsidRPr="00D162F1">
        <w:t>Экспорт образовательных услуг становится важнейшей высоко прибыльной статьей в структуре общего экспорта страны (в США - 5 место, в Австралии - 6). </w:t>
      </w:r>
      <w:r w:rsidR="00E229C6" w:rsidRPr="003947F0">
        <w:t xml:space="preserve">Обучение иностранных граждан может стать, по мнению экспертов ЮНЕСКО, одним из самых прибыльных видов экспорта XXI века. </w:t>
      </w:r>
    </w:p>
    <w:p w:rsidR="00E229C6" w:rsidRPr="00D162F1" w:rsidRDefault="00E229C6" w:rsidP="00580FAE">
      <w:pPr>
        <w:pStyle w:val="aa"/>
        <w:numPr>
          <w:ilvl w:val="0"/>
          <w:numId w:val="12"/>
        </w:numPr>
        <w:tabs>
          <w:tab w:val="left" w:pos="360"/>
        </w:tabs>
        <w:ind w:left="0" w:firstLine="0"/>
      </w:pPr>
      <w:r w:rsidRPr="00D162F1">
        <w:t>Ориентация</w:t>
      </w:r>
      <w:r>
        <w:t xml:space="preserve"> на экспорт и получаемые от не</w:t>
      </w:r>
      <w:r w:rsidRPr="00D162F1">
        <w:t>го значительные финансовые средства и содействуют модернизации систем высшего образования страны школы в целом и самого вуза. </w:t>
      </w:r>
    </w:p>
    <w:p w:rsidR="00E229C6" w:rsidRPr="00D162F1" w:rsidRDefault="00E229C6" w:rsidP="00580FAE">
      <w:pPr>
        <w:pStyle w:val="aa"/>
        <w:numPr>
          <w:ilvl w:val="0"/>
          <w:numId w:val="12"/>
        </w:numPr>
        <w:tabs>
          <w:tab w:val="left" w:pos="360"/>
        </w:tabs>
        <w:ind w:left="0" w:firstLine="0"/>
      </w:pPr>
      <w:r w:rsidRPr="00D162F1">
        <w:t>Рост числа иностранных студентов является следствием тог</w:t>
      </w:r>
      <w:r>
        <w:t>о, что в странах - лидерах экс</w:t>
      </w:r>
      <w:r w:rsidRPr="00D162F1">
        <w:t>порт образовательных услуг является одним из важны приоритетов государственной политики. </w:t>
      </w:r>
    </w:p>
    <w:p w:rsidR="00E229C6" w:rsidRPr="00D162F1" w:rsidRDefault="00E229C6" w:rsidP="00580FAE">
      <w:pPr>
        <w:pStyle w:val="aa"/>
        <w:numPr>
          <w:ilvl w:val="0"/>
          <w:numId w:val="12"/>
        </w:numPr>
        <w:tabs>
          <w:tab w:val="left" w:pos="360"/>
        </w:tabs>
        <w:ind w:left="0" w:firstLine="0"/>
      </w:pPr>
      <w:r w:rsidRPr="00D162F1">
        <w:t>Для реализации государственной политик в странах - лидерах в области экспорта образовательных услуг разрабатываются целевые обще национальные программы (с четко обозначенными целями и задачами, с соответствующим финансовым обеспечением). </w:t>
      </w:r>
    </w:p>
    <w:p w:rsidR="00E229C6" w:rsidRPr="00D162F1" w:rsidRDefault="00E229C6" w:rsidP="00580FAE">
      <w:pPr>
        <w:pStyle w:val="aa"/>
        <w:numPr>
          <w:ilvl w:val="0"/>
          <w:numId w:val="12"/>
        </w:numPr>
        <w:tabs>
          <w:tab w:val="left" w:pos="360"/>
        </w:tabs>
        <w:ind w:left="0" w:firstLine="0"/>
      </w:pPr>
      <w:r w:rsidRPr="00D162F1">
        <w:t>Во всех странах - лидерах в облас</w:t>
      </w:r>
      <w:r>
        <w:t>ти экс</w:t>
      </w:r>
      <w:r w:rsidRPr="00D162F1">
        <w:t>порта образовательных услуг созданы государственные или негосударственные организации, службы содейств</w:t>
      </w:r>
      <w:r>
        <w:t>ия экспорту образовательных ус</w:t>
      </w:r>
      <w:r w:rsidRPr="00D162F1">
        <w:t>луг и академическому обмену преподавателей и студентов, а в некоторых странах по 2-3 организации: Великобритания - Британский Совет и Совет международного образования, Франция - Edu- France и EGIDE; США - Ассоциация международных деятелей образования; Институт международного образования; IREX; Австралия - ЮР). И хотя часть из них официально называются некоммерческими, благотворительными (Британский Совет), практически все они имеют государственное финансирование (чаще всего со стороны МИД - ДААД, Британский Совет и др.). Общий бюджет 23 организаций, входящих в Ассоциацию академического сотрудничества, - 1 миллиард долларов США. При этих организациях работают мощные службы маркетинга, отделения во многих странах, постоянные представительства. </w:t>
      </w:r>
    </w:p>
    <w:p w:rsidR="00E229C6" w:rsidRPr="00D162F1" w:rsidRDefault="00E229C6" w:rsidP="00580FAE">
      <w:pPr>
        <w:pStyle w:val="aa"/>
        <w:numPr>
          <w:ilvl w:val="0"/>
          <w:numId w:val="12"/>
        </w:numPr>
        <w:tabs>
          <w:tab w:val="left" w:pos="360"/>
        </w:tabs>
        <w:ind w:left="0" w:firstLine="0"/>
        <w:rPr>
          <w:b/>
        </w:rPr>
      </w:pPr>
      <w:r w:rsidRPr="00D162F1">
        <w:t>Все большее число ведущих университетов мира в стратегических планах развития ориентируются на транснациональное обучение, подготовку специалистов в условиях глобальной экономики, межкультурной коммуникации, «превращение в международные научно-образовательные комплексы».</w:t>
      </w:r>
      <w:r w:rsidRPr="00D162F1">
        <w:rPr>
          <w:b/>
        </w:rPr>
        <w:t>  </w:t>
      </w:r>
    </w:p>
    <w:p w:rsidR="00E229C6" w:rsidRDefault="00E229C6" w:rsidP="00580FAE">
      <w:pPr>
        <w:pStyle w:val="aa"/>
        <w:numPr>
          <w:ilvl w:val="0"/>
          <w:numId w:val="12"/>
        </w:numPr>
        <w:tabs>
          <w:tab w:val="left" w:pos="360"/>
        </w:tabs>
        <w:ind w:left="0" w:firstLine="0"/>
      </w:pPr>
      <w:r w:rsidRPr="003947F0">
        <w:t xml:space="preserve">Работодатели во многих странах Европы все больше внимания при приеме на работу выпускников вузов обращают внимание на опыт учебы, жизни и работы за рубежом, поскольку это свидетельствует об адаптивных возможностях кандидатов, широте кругозора, навыках общения с представителями разных культур. </w:t>
      </w:r>
      <w:r>
        <w:t> </w:t>
      </w:r>
      <w:r>
        <w:rPr>
          <w:rStyle w:val="a6"/>
          <w:i w:val="0"/>
        </w:rPr>
        <w:t> </w:t>
      </w:r>
      <w:r>
        <w:rPr>
          <w:color w:val="FF0000"/>
        </w:rPr>
        <w:t> </w:t>
      </w:r>
      <w:r w:rsidRPr="003947F0">
        <w:t xml:space="preserve"> </w:t>
      </w:r>
    </w:p>
    <w:p w:rsidR="00FA06BD" w:rsidRDefault="00FA06BD" w:rsidP="00580FAE">
      <w:pPr>
        <w:pStyle w:val="aa"/>
        <w:numPr>
          <w:ilvl w:val="0"/>
          <w:numId w:val="12"/>
        </w:numPr>
        <w:tabs>
          <w:tab w:val="left" w:pos="360"/>
        </w:tabs>
        <w:ind w:left="0" w:firstLine="0"/>
      </w:pPr>
      <w:r w:rsidRPr="00A1035B">
        <w:rPr>
          <w:rStyle w:val="a6"/>
          <w:i w:val="0"/>
        </w:rPr>
        <w:t>ВТО включила образование в список услуг, торговля которыми в, случае заключения соответствующего Генерального соглашения, будет регулироваться его положениями</w:t>
      </w:r>
      <w:r>
        <w:t>.</w:t>
      </w:r>
      <w:bookmarkStart w:id="26" w:name="_GoBack"/>
      <w:bookmarkEnd w:id="26"/>
    </w:p>
    <w:sectPr w:rsidR="00FA06BD" w:rsidSect="007C628F">
      <w:footerReference w:type="even" r:id="rId12"/>
      <w:footerReference w:type="default" r:id="rId13"/>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55F" w:rsidRDefault="00BB355F">
      <w:r>
        <w:separator/>
      </w:r>
    </w:p>
  </w:endnote>
  <w:endnote w:type="continuationSeparator" w:id="0">
    <w:p w:rsidR="00BB355F" w:rsidRDefault="00BB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461" w:rsidRDefault="000A4461" w:rsidP="007D035B">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A4461" w:rsidRDefault="000A4461" w:rsidP="00F46B7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461" w:rsidRDefault="000A4461" w:rsidP="007D035B">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9783A">
      <w:rPr>
        <w:rStyle w:val="ac"/>
        <w:noProof/>
      </w:rPr>
      <w:t>1</w:t>
    </w:r>
    <w:r>
      <w:rPr>
        <w:rStyle w:val="ac"/>
      </w:rPr>
      <w:fldChar w:fldCharType="end"/>
    </w:r>
  </w:p>
  <w:p w:rsidR="000A4461" w:rsidRDefault="000A4461" w:rsidP="00F46B7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55F" w:rsidRDefault="00BB355F">
      <w:r>
        <w:separator/>
      </w:r>
    </w:p>
  </w:footnote>
  <w:footnote w:type="continuationSeparator" w:id="0">
    <w:p w:rsidR="00BB355F" w:rsidRDefault="00BB3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136A9"/>
    <w:multiLevelType w:val="singleLevel"/>
    <w:tmpl w:val="0419000F"/>
    <w:lvl w:ilvl="0">
      <w:start w:val="1"/>
      <w:numFmt w:val="decimal"/>
      <w:lvlText w:val="%1."/>
      <w:lvlJc w:val="left"/>
      <w:pPr>
        <w:tabs>
          <w:tab w:val="num" w:pos="360"/>
        </w:tabs>
        <w:ind w:left="360" w:hanging="360"/>
      </w:pPr>
    </w:lvl>
  </w:abstractNum>
  <w:abstractNum w:abstractNumId="1">
    <w:nsid w:val="195C0BA4"/>
    <w:multiLevelType w:val="hybridMultilevel"/>
    <w:tmpl w:val="7C5C6C7C"/>
    <w:lvl w:ilvl="0" w:tplc="4680FB7C">
      <w:start w:val="1"/>
      <w:numFmt w:val="bullet"/>
      <w:lvlText w:val="-"/>
      <w:lvlJc w:val="left"/>
      <w:pPr>
        <w:ind w:left="1440" w:hanging="360"/>
      </w:pPr>
      <w:rPr>
        <w:rFonts w:ascii="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B496635"/>
    <w:multiLevelType w:val="hybridMultilevel"/>
    <w:tmpl w:val="7ACECA2E"/>
    <w:lvl w:ilvl="0" w:tplc="4680FB7C">
      <w:start w:val="1"/>
      <w:numFmt w:val="bullet"/>
      <w:lvlText w:val="-"/>
      <w:lvlJc w:val="left"/>
      <w:pPr>
        <w:ind w:left="1440" w:hanging="360"/>
      </w:pPr>
      <w:rPr>
        <w:rFonts w:ascii="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B104B38"/>
    <w:multiLevelType w:val="hybridMultilevel"/>
    <w:tmpl w:val="EC0ADD18"/>
    <w:lvl w:ilvl="0" w:tplc="92DEEBC0">
      <w:numFmt w:val="bullet"/>
      <w:pStyle w:val="a"/>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4">
    <w:nsid w:val="2F092385"/>
    <w:multiLevelType w:val="hybridMultilevel"/>
    <w:tmpl w:val="B9C8CCCC"/>
    <w:lvl w:ilvl="0" w:tplc="150AA77A">
      <w:start w:val="1"/>
      <w:numFmt w:val="decimal"/>
      <w:lvlText w:val="%1)"/>
      <w:lvlJc w:val="left"/>
      <w:pPr>
        <w:ind w:left="2520" w:hanging="10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1136586"/>
    <w:multiLevelType w:val="hybridMultilevel"/>
    <w:tmpl w:val="0B1A1F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1AB1B33"/>
    <w:multiLevelType w:val="hybridMultilevel"/>
    <w:tmpl w:val="E7868EA4"/>
    <w:lvl w:ilvl="0" w:tplc="C11E551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2676D6"/>
    <w:multiLevelType w:val="hybridMultilevel"/>
    <w:tmpl w:val="A3940A5A"/>
    <w:lvl w:ilvl="0" w:tplc="150AA77A">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D52F70"/>
    <w:multiLevelType w:val="hybridMultilevel"/>
    <w:tmpl w:val="3B3A91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60C00E9"/>
    <w:multiLevelType w:val="hybridMultilevel"/>
    <w:tmpl w:val="E3E097DC"/>
    <w:lvl w:ilvl="0" w:tplc="60EEFD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9DC2F75"/>
    <w:multiLevelType w:val="singleLevel"/>
    <w:tmpl w:val="3406201A"/>
    <w:lvl w:ilvl="0">
      <w:start w:val="1"/>
      <w:numFmt w:val="bullet"/>
      <w:lvlText w:val=""/>
      <w:lvlJc w:val="left"/>
      <w:pPr>
        <w:tabs>
          <w:tab w:val="num" w:pos="360"/>
        </w:tabs>
        <w:ind w:left="360" w:hanging="360"/>
      </w:pPr>
      <w:rPr>
        <w:rFonts w:ascii="Symbol" w:hAnsi="Symbol" w:hint="default"/>
      </w:rPr>
    </w:lvl>
  </w:abstractNum>
  <w:abstractNum w:abstractNumId="11">
    <w:nsid w:val="7BA77A4A"/>
    <w:multiLevelType w:val="singleLevel"/>
    <w:tmpl w:val="3406201A"/>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10"/>
  </w:num>
  <w:num w:numId="4">
    <w:abstractNumId w:val="11"/>
  </w:num>
  <w:num w:numId="5">
    <w:abstractNumId w:val="5"/>
  </w:num>
  <w:num w:numId="6">
    <w:abstractNumId w:val="7"/>
  </w:num>
  <w:num w:numId="7">
    <w:abstractNumId w:val="8"/>
  </w:num>
  <w:num w:numId="8">
    <w:abstractNumId w:val="1"/>
  </w:num>
  <w:num w:numId="9">
    <w:abstractNumId w:val="2"/>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D92"/>
    <w:rsid w:val="0003723E"/>
    <w:rsid w:val="00053D12"/>
    <w:rsid w:val="00061310"/>
    <w:rsid w:val="000659E2"/>
    <w:rsid w:val="00091CFE"/>
    <w:rsid w:val="000A4461"/>
    <w:rsid w:val="000B52EA"/>
    <w:rsid w:val="000C1C93"/>
    <w:rsid w:val="0010347E"/>
    <w:rsid w:val="00104989"/>
    <w:rsid w:val="00107EBF"/>
    <w:rsid w:val="001236A1"/>
    <w:rsid w:val="00142FDD"/>
    <w:rsid w:val="00146C41"/>
    <w:rsid w:val="0017782F"/>
    <w:rsid w:val="00192BE8"/>
    <w:rsid w:val="001A5FDF"/>
    <w:rsid w:val="001F0BF6"/>
    <w:rsid w:val="001F75D6"/>
    <w:rsid w:val="00223F80"/>
    <w:rsid w:val="0024469A"/>
    <w:rsid w:val="002471EB"/>
    <w:rsid w:val="002701E6"/>
    <w:rsid w:val="00284BE7"/>
    <w:rsid w:val="002B738B"/>
    <w:rsid w:val="002C0BA5"/>
    <w:rsid w:val="002D1339"/>
    <w:rsid w:val="002E6C90"/>
    <w:rsid w:val="002F17E8"/>
    <w:rsid w:val="002F1B3E"/>
    <w:rsid w:val="002F443A"/>
    <w:rsid w:val="0035193C"/>
    <w:rsid w:val="00376000"/>
    <w:rsid w:val="00380477"/>
    <w:rsid w:val="00383747"/>
    <w:rsid w:val="003947F0"/>
    <w:rsid w:val="003B2C19"/>
    <w:rsid w:val="003B5346"/>
    <w:rsid w:val="003C6A1F"/>
    <w:rsid w:val="003F1FF4"/>
    <w:rsid w:val="003F3445"/>
    <w:rsid w:val="0040650F"/>
    <w:rsid w:val="00462741"/>
    <w:rsid w:val="004711E2"/>
    <w:rsid w:val="004720BE"/>
    <w:rsid w:val="0047258D"/>
    <w:rsid w:val="00476AAD"/>
    <w:rsid w:val="00493666"/>
    <w:rsid w:val="00493D77"/>
    <w:rsid w:val="004A2419"/>
    <w:rsid w:val="004D3BC8"/>
    <w:rsid w:val="004F1ADA"/>
    <w:rsid w:val="004F26CC"/>
    <w:rsid w:val="005015D4"/>
    <w:rsid w:val="0050660E"/>
    <w:rsid w:val="00511221"/>
    <w:rsid w:val="00523AD3"/>
    <w:rsid w:val="005311E9"/>
    <w:rsid w:val="00547EE3"/>
    <w:rsid w:val="005654BF"/>
    <w:rsid w:val="00580FAE"/>
    <w:rsid w:val="005C3533"/>
    <w:rsid w:val="005E3957"/>
    <w:rsid w:val="00602D17"/>
    <w:rsid w:val="00616B04"/>
    <w:rsid w:val="00643337"/>
    <w:rsid w:val="00657AAC"/>
    <w:rsid w:val="00673F4B"/>
    <w:rsid w:val="006777AD"/>
    <w:rsid w:val="006833F5"/>
    <w:rsid w:val="006A0CCF"/>
    <w:rsid w:val="006A680F"/>
    <w:rsid w:val="006B6A99"/>
    <w:rsid w:val="006B7381"/>
    <w:rsid w:val="006D2E60"/>
    <w:rsid w:val="006F3396"/>
    <w:rsid w:val="00703917"/>
    <w:rsid w:val="00717F84"/>
    <w:rsid w:val="007254BC"/>
    <w:rsid w:val="00751753"/>
    <w:rsid w:val="0075420D"/>
    <w:rsid w:val="00755277"/>
    <w:rsid w:val="007652FC"/>
    <w:rsid w:val="00786F9A"/>
    <w:rsid w:val="007B1457"/>
    <w:rsid w:val="007C235C"/>
    <w:rsid w:val="007C628F"/>
    <w:rsid w:val="007D035B"/>
    <w:rsid w:val="007F33B8"/>
    <w:rsid w:val="007F4314"/>
    <w:rsid w:val="00802923"/>
    <w:rsid w:val="0080724B"/>
    <w:rsid w:val="00817BEA"/>
    <w:rsid w:val="0084152C"/>
    <w:rsid w:val="00850476"/>
    <w:rsid w:val="00884054"/>
    <w:rsid w:val="008903E8"/>
    <w:rsid w:val="008B0D92"/>
    <w:rsid w:val="0091406F"/>
    <w:rsid w:val="00931C6E"/>
    <w:rsid w:val="00941E57"/>
    <w:rsid w:val="0094480C"/>
    <w:rsid w:val="0098294A"/>
    <w:rsid w:val="00997070"/>
    <w:rsid w:val="009B3BCC"/>
    <w:rsid w:val="009C1720"/>
    <w:rsid w:val="009D5333"/>
    <w:rsid w:val="009D77FA"/>
    <w:rsid w:val="009E0338"/>
    <w:rsid w:val="009F62C6"/>
    <w:rsid w:val="00A1035B"/>
    <w:rsid w:val="00A4766D"/>
    <w:rsid w:val="00A6410C"/>
    <w:rsid w:val="00A946A8"/>
    <w:rsid w:val="00A9676C"/>
    <w:rsid w:val="00A968BA"/>
    <w:rsid w:val="00AB7B5E"/>
    <w:rsid w:val="00AD1FA4"/>
    <w:rsid w:val="00B3441B"/>
    <w:rsid w:val="00B35E09"/>
    <w:rsid w:val="00B46D2B"/>
    <w:rsid w:val="00B55DBF"/>
    <w:rsid w:val="00B6169E"/>
    <w:rsid w:val="00B66167"/>
    <w:rsid w:val="00B706FA"/>
    <w:rsid w:val="00B82EF3"/>
    <w:rsid w:val="00B8411E"/>
    <w:rsid w:val="00B9364D"/>
    <w:rsid w:val="00BA0DBC"/>
    <w:rsid w:val="00BB355F"/>
    <w:rsid w:val="00BC26A8"/>
    <w:rsid w:val="00BC3F87"/>
    <w:rsid w:val="00BE35D2"/>
    <w:rsid w:val="00BE740F"/>
    <w:rsid w:val="00BE7ECF"/>
    <w:rsid w:val="00BF74D8"/>
    <w:rsid w:val="00C039E3"/>
    <w:rsid w:val="00C53E1F"/>
    <w:rsid w:val="00C6069D"/>
    <w:rsid w:val="00C612FC"/>
    <w:rsid w:val="00C77666"/>
    <w:rsid w:val="00C87CA2"/>
    <w:rsid w:val="00C93DDF"/>
    <w:rsid w:val="00C94916"/>
    <w:rsid w:val="00CB5E86"/>
    <w:rsid w:val="00CC2EE8"/>
    <w:rsid w:val="00CC3F34"/>
    <w:rsid w:val="00D162F1"/>
    <w:rsid w:val="00D225DD"/>
    <w:rsid w:val="00D2332C"/>
    <w:rsid w:val="00D246F8"/>
    <w:rsid w:val="00D52E27"/>
    <w:rsid w:val="00D56B8E"/>
    <w:rsid w:val="00E014DC"/>
    <w:rsid w:val="00E028BB"/>
    <w:rsid w:val="00E229C6"/>
    <w:rsid w:val="00E27570"/>
    <w:rsid w:val="00E2786F"/>
    <w:rsid w:val="00E330C5"/>
    <w:rsid w:val="00E43EA2"/>
    <w:rsid w:val="00E618DA"/>
    <w:rsid w:val="00EC07E6"/>
    <w:rsid w:val="00EE6C7D"/>
    <w:rsid w:val="00EF0BC3"/>
    <w:rsid w:val="00EF2901"/>
    <w:rsid w:val="00EF35FE"/>
    <w:rsid w:val="00EF7B59"/>
    <w:rsid w:val="00F41554"/>
    <w:rsid w:val="00F46B71"/>
    <w:rsid w:val="00F84819"/>
    <w:rsid w:val="00F9070E"/>
    <w:rsid w:val="00F97044"/>
    <w:rsid w:val="00F9783A"/>
    <w:rsid w:val="00FA06BD"/>
    <w:rsid w:val="00FA1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263185B-E983-44BD-A381-B7B25159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406F"/>
    <w:rPr>
      <w:sz w:val="24"/>
      <w:szCs w:val="24"/>
    </w:rPr>
  </w:style>
  <w:style w:type="paragraph" w:styleId="1">
    <w:name w:val="heading 1"/>
    <w:basedOn w:val="a0"/>
    <w:next w:val="a0"/>
    <w:qFormat/>
    <w:rsid w:val="00D56B8E"/>
    <w:pPr>
      <w:keepNext/>
      <w:spacing w:before="240" w:after="60"/>
      <w:outlineLvl w:val="0"/>
    </w:pPr>
    <w:rPr>
      <w:rFonts w:ascii="Arial" w:hAnsi="Arial" w:cs="Arial"/>
      <w:b/>
      <w:bCs/>
      <w:kern w:val="32"/>
      <w:sz w:val="32"/>
      <w:szCs w:val="32"/>
    </w:rPr>
  </w:style>
  <w:style w:type="paragraph" w:styleId="2">
    <w:name w:val="heading 2"/>
    <w:basedOn w:val="a0"/>
    <w:next w:val="a0"/>
    <w:qFormat/>
    <w:rsid w:val="00D56B8E"/>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C039E3"/>
    <w:pPr>
      <w:keepNext/>
      <w:keepLines/>
      <w:spacing w:before="200"/>
      <w:outlineLvl w:val="2"/>
    </w:pPr>
    <w:rPr>
      <w:rFonts w:ascii="Cambria"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_Заголовок1"/>
    <w:basedOn w:val="1"/>
    <w:rsid w:val="00D56B8E"/>
    <w:pPr>
      <w:spacing w:before="0" w:after="120"/>
      <w:ind w:firstLine="540"/>
    </w:pPr>
    <w:rPr>
      <w:rFonts w:ascii="Times New Roman" w:hAnsi="Times New Roman"/>
      <w:sz w:val="28"/>
    </w:rPr>
  </w:style>
  <w:style w:type="paragraph" w:customStyle="1" w:styleId="20">
    <w:name w:val="_Заголовок2"/>
    <w:basedOn w:val="2"/>
    <w:rsid w:val="00D56B8E"/>
    <w:pPr>
      <w:spacing w:before="0" w:after="120"/>
      <w:ind w:firstLine="539"/>
    </w:pPr>
    <w:rPr>
      <w:rFonts w:ascii="Times New Roman" w:hAnsi="Times New Roman"/>
      <w:i w:val="0"/>
    </w:rPr>
  </w:style>
  <w:style w:type="paragraph" w:customStyle="1" w:styleId="a">
    <w:name w:val="_Список"/>
    <w:basedOn w:val="a4"/>
    <w:rsid w:val="00D56B8E"/>
    <w:pPr>
      <w:numPr>
        <w:numId w:val="1"/>
      </w:numPr>
      <w:spacing w:after="120"/>
      <w:jc w:val="both"/>
    </w:pPr>
    <w:rPr>
      <w:sz w:val="28"/>
      <w:szCs w:val="28"/>
    </w:rPr>
  </w:style>
  <w:style w:type="paragraph" w:styleId="a4">
    <w:name w:val="List"/>
    <w:basedOn w:val="a0"/>
    <w:rsid w:val="00D56B8E"/>
    <w:pPr>
      <w:ind w:left="283" w:hanging="283"/>
    </w:pPr>
  </w:style>
  <w:style w:type="paragraph" w:styleId="21">
    <w:name w:val="Body Text 2"/>
    <w:basedOn w:val="a0"/>
    <w:rsid w:val="001F75D6"/>
    <w:pPr>
      <w:spacing w:before="5670"/>
    </w:pPr>
    <w:rPr>
      <w:szCs w:val="20"/>
    </w:rPr>
  </w:style>
  <w:style w:type="paragraph" w:styleId="a5">
    <w:name w:val="footer"/>
    <w:basedOn w:val="a0"/>
    <w:rsid w:val="00A946A8"/>
    <w:pPr>
      <w:tabs>
        <w:tab w:val="center" w:pos="4153"/>
        <w:tab w:val="right" w:pos="8306"/>
      </w:tabs>
    </w:pPr>
    <w:rPr>
      <w:szCs w:val="20"/>
    </w:rPr>
  </w:style>
  <w:style w:type="character" w:styleId="a6">
    <w:name w:val="Emphasis"/>
    <w:basedOn w:val="a1"/>
    <w:uiPriority w:val="20"/>
    <w:qFormat/>
    <w:rsid w:val="00616B04"/>
    <w:rPr>
      <w:i/>
      <w:iCs/>
    </w:rPr>
  </w:style>
  <w:style w:type="character" w:styleId="a7">
    <w:name w:val="Strong"/>
    <w:basedOn w:val="a1"/>
    <w:uiPriority w:val="22"/>
    <w:qFormat/>
    <w:rsid w:val="00061310"/>
    <w:rPr>
      <w:b/>
      <w:bCs/>
    </w:rPr>
  </w:style>
  <w:style w:type="character" w:styleId="a8">
    <w:name w:val="Hyperlink"/>
    <w:basedOn w:val="a1"/>
    <w:uiPriority w:val="99"/>
    <w:unhideWhenUsed/>
    <w:rsid w:val="00061310"/>
    <w:rPr>
      <w:color w:val="0000FF"/>
      <w:u w:val="single"/>
    </w:rPr>
  </w:style>
  <w:style w:type="paragraph" w:styleId="a9">
    <w:name w:val="Normal (Web)"/>
    <w:basedOn w:val="a0"/>
    <w:uiPriority w:val="99"/>
    <w:unhideWhenUsed/>
    <w:rsid w:val="00C039E3"/>
    <w:pPr>
      <w:spacing w:before="100" w:beforeAutospacing="1" w:after="100" w:afterAutospacing="1"/>
    </w:pPr>
  </w:style>
  <w:style w:type="character" w:customStyle="1" w:styleId="30">
    <w:name w:val="Заголовок 3 Знак"/>
    <w:basedOn w:val="a1"/>
    <w:link w:val="3"/>
    <w:semiHidden/>
    <w:rsid w:val="00C039E3"/>
    <w:rPr>
      <w:rFonts w:ascii="Cambria" w:eastAsia="Times New Roman" w:hAnsi="Cambria" w:cs="Times New Roman"/>
      <w:b/>
      <w:bCs/>
      <w:color w:val="4F81BD"/>
      <w:sz w:val="24"/>
      <w:szCs w:val="24"/>
    </w:rPr>
  </w:style>
  <w:style w:type="paragraph" w:customStyle="1" w:styleId="aa">
    <w:name w:val="Мой_Обычный"/>
    <w:basedOn w:val="a0"/>
    <w:qFormat/>
    <w:rsid w:val="00107EBF"/>
    <w:pPr>
      <w:tabs>
        <w:tab w:val="left" w:pos="90"/>
      </w:tabs>
      <w:spacing w:line="360" w:lineRule="auto"/>
      <w:ind w:firstLine="709"/>
      <w:jc w:val="both"/>
    </w:pPr>
  </w:style>
  <w:style w:type="paragraph" w:customStyle="1" w:styleId="11">
    <w:name w:val="Мой_Заголовок_1"/>
    <w:basedOn w:val="aa"/>
    <w:next w:val="aa"/>
    <w:qFormat/>
    <w:rsid w:val="00107EBF"/>
    <w:pPr>
      <w:keepNext/>
      <w:keepLines/>
      <w:pageBreakBefore/>
      <w:spacing w:after="120"/>
      <w:jc w:val="left"/>
      <w:outlineLvl w:val="0"/>
    </w:pPr>
    <w:rPr>
      <w:b/>
      <w:caps/>
    </w:rPr>
  </w:style>
  <w:style w:type="paragraph" w:styleId="12">
    <w:name w:val="toc 1"/>
    <w:basedOn w:val="a0"/>
    <w:next w:val="a0"/>
    <w:autoRedefine/>
    <w:uiPriority w:val="39"/>
    <w:rsid w:val="006D2E60"/>
    <w:pPr>
      <w:tabs>
        <w:tab w:val="right" w:leader="dot" w:pos="9966"/>
      </w:tabs>
      <w:spacing w:before="120" w:after="120"/>
    </w:pPr>
    <w:rPr>
      <w:b/>
      <w:bCs/>
      <w:caps/>
      <w:szCs w:val="20"/>
    </w:rPr>
  </w:style>
  <w:style w:type="paragraph" w:styleId="22">
    <w:name w:val="toc 2"/>
    <w:basedOn w:val="a0"/>
    <w:next w:val="a0"/>
    <w:autoRedefine/>
    <w:uiPriority w:val="39"/>
    <w:rsid w:val="00B6169E"/>
    <w:pPr>
      <w:ind w:left="240"/>
    </w:pPr>
    <w:rPr>
      <w:szCs w:val="20"/>
    </w:rPr>
  </w:style>
  <w:style w:type="paragraph" w:styleId="31">
    <w:name w:val="toc 3"/>
    <w:basedOn w:val="a0"/>
    <w:next w:val="a0"/>
    <w:autoRedefine/>
    <w:uiPriority w:val="39"/>
    <w:rsid w:val="00B6169E"/>
    <w:pPr>
      <w:ind w:left="480"/>
    </w:pPr>
    <w:rPr>
      <w:iCs/>
      <w:szCs w:val="20"/>
    </w:rPr>
  </w:style>
  <w:style w:type="paragraph" w:styleId="4">
    <w:name w:val="toc 4"/>
    <w:basedOn w:val="a0"/>
    <w:next w:val="a0"/>
    <w:autoRedefine/>
    <w:rsid w:val="00CC2EE8"/>
    <w:pPr>
      <w:ind w:left="720"/>
    </w:pPr>
    <w:rPr>
      <w:rFonts w:ascii="Calibri" w:hAnsi="Calibri"/>
      <w:sz w:val="18"/>
      <w:szCs w:val="18"/>
    </w:rPr>
  </w:style>
  <w:style w:type="paragraph" w:styleId="5">
    <w:name w:val="toc 5"/>
    <w:basedOn w:val="a0"/>
    <w:next w:val="a0"/>
    <w:autoRedefine/>
    <w:rsid w:val="00CC2EE8"/>
    <w:pPr>
      <w:ind w:left="960"/>
    </w:pPr>
    <w:rPr>
      <w:rFonts w:ascii="Calibri" w:hAnsi="Calibri"/>
      <w:sz w:val="18"/>
      <w:szCs w:val="18"/>
    </w:rPr>
  </w:style>
  <w:style w:type="paragraph" w:styleId="6">
    <w:name w:val="toc 6"/>
    <w:basedOn w:val="a0"/>
    <w:next w:val="a0"/>
    <w:autoRedefine/>
    <w:rsid w:val="00CC2EE8"/>
    <w:pPr>
      <w:ind w:left="1200"/>
    </w:pPr>
    <w:rPr>
      <w:rFonts w:ascii="Calibri" w:hAnsi="Calibri"/>
      <w:sz w:val="18"/>
      <w:szCs w:val="18"/>
    </w:rPr>
  </w:style>
  <w:style w:type="paragraph" w:styleId="7">
    <w:name w:val="toc 7"/>
    <w:basedOn w:val="a0"/>
    <w:next w:val="a0"/>
    <w:autoRedefine/>
    <w:rsid w:val="00CC2EE8"/>
    <w:pPr>
      <w:ind w:left="1440"/>
    </w:pPr>
    <w:rPr>
      <w:rFonts w:ascii="Calibri" w:hAnsi="Calibri"/>
      <w:sz w:val="18"/>
      <w:szCs w:val="18"/>
    </w:rPr>
  </w:style>
  <w:style w:type="paragraph" w:styleId="8">
    <w:name w:val="toc 8"/>
    <w:basedOn w:val="a0"/>
    <w:next w:val="a0"/>
    <w:autoRedefine/>
    <w:rsid w:val="00CC2EE8"/>
    <w:pPr>
      <w:ind w:left="1680"/>
    </w:pPr>
    <w:rPr>
      <w:rFonts w:ascii="Calibri" w:hAnsi="Calibri"/>
      <w:sz w:val="18"/>
      <w:szCs w:val="18"/>
    </w:rPr>
  </w:style>
  <w:style w:type="paragraph" w:styleId="9">
    <w:name w:val="toc 9"/>
    <w:basedOn w:val="a0"/>
    <w:next w:val="a0"/>
    <w:autoRedefine/>
    <w:rsid w:val="00CC2EE8"/>
    <w:pPr>
      <w:ind w:left="1920"/>
    </w:pPr>
    <w:rPr>
      <w:rFonts w:ascii="Calibri" w:hAnsi="Calibri"/>
      <w:sz w:val="18"/>
      <w:szCs w:val="18"/>
    </w:rPr>
  </w:style>
  <w:style w:type="paragraph" w:customStyle="1" w:styleId="13">
    <w:name w:val="Стиль1"/>
    <w:basedOn w:val="11"/>
    <w:qFormat/>
    <w:rsid w:val="00CC2EE8"/>
    <w:pPr>
      <w:tabs>
        <w:tab w:val="clear" w:pos="90"/>
      </w:tabs>
    </w:pPr>
  </w:style>
  <w:style w:type="paragraph" w:customStyle="1" w:styleId="23">
    <w:name w:val="Мой_Заголовок_2"/>
    <w:basedOn w:val="aa"/>
    <w:qFormat/>
    <w:rsid w:val="005311E9"/>
    <w:pPr>
      <w:spacing w:after="120"/>
      <w:jc w:val="left"/>
      <w:outlineLvl w:val="1"/>
    </w:pPr>
    <w:rPr>
      <w:b/>
    </w:rPr>
  </w:style>
  <w:style w:type="paragraph" w:customStyle="1" w:styleId="32">
    <w:name w:val="Мой_Заголовок_3"/>
    <w:basedOn w:val="aa"/>
    <w:qFormat/>
    <w:rsid w:val="00104989"/>
    <w:pPr>
      <w:spacing w:after="120"/>
      <w:jc w:val="left"/>
      <w:outlineLvl w:val="2"/>
    </w:pPr>
    <w:rPr>
      <w:b/>
    </w:rPr>
  </w:style>
  <w:style w:type="paragraph" w:customStyle="1" w:styleId="rvps706640">
    <w:name w:val="rvps706640"/>
    <w:basedOn w:val="a0"/>
    <w:rsid w:val="00BA0DBC"/>
    <w:pPr>
      <w:spacing w:before="100" w:beforeAutospacing="1" w:after="100" w:afterAutospacing="1"/>
    </w:pPr>
  </w:style>
  <w:style w:type="character" w:customStyle="1" w:styleId="rvts706643">
    <w:name w:val="rvts706643"/>
    <w:basedOn w:val="a1"/>
    <w:rsid w:val="00BA0DBC"/>
  </w:style>
  <w:style w:type="character" w:customStyle="1" w:styleId="rvts706642">
    <w:name w:val="rvts706642"/>
    <w:basedOn w:val="a1"/>
    <w:rsid w:val="00BA0DBC"/>
  </w:style>
  <w:style w:type="paragraph" w:customStyle="1" w:styleId="z1">
    <w:name w:val="z1"/>
    <w:basedOn w:val="a0"/>
    <w:rsid w:val="00511221"/>
    <w:pPr>
      <w:spacing w:before="100" w:beforeAutospacing="1" w:after="100" w:afterAutospacing="1"/>
    </w:pPr>
  </w:style>
  <w:style w:type="paragraph" w:customStyle="1" w:styleId="114">
    <w:name w:val="Заголовок 1 + 14 пт"/>
    <w:aliases w:val="По левому краю,Первая строка:  1 см,Справа:  0,25 см"/>
    <w:basedOn w:val="ab"/>
    <w:rsid w:val="002E6C90"/>
    <w:pPr>
      <w:tabs>
        <w:tab w:val="left" w:pos="142"/>
      </w:tabs>
      <w:spacing w:after="0"/>
      <w:ind w:right="141" w:firstLine="567"/>
      <w:jc w:val="left"/>
      <w:outlineLvl w:val="9"/>
    </w:pPr>
    <w:rPr>
      <w:rFonts w:ascii="Times New Roman" w:hAnsi="Times New Roman" w:cs="Times New Roman"/>
      <w:b/>
      <w:bCs/>
      <w:sz w:val="28"/>
      <w:szCs w:val="28"/>
    </w:rPr>
  </w:style>
  <w:style w:type="paragraph" w:styleId="ab">
    <w:name w:val="Subtitle"/>
    <w:basedOn w:val="a0"/>
    <w:qFormat/>
    <w:rsid w:val="002E6C90"/>
    <w:pPr>
      <w:spacing w:after="60"/>
      <w:jc w:val="center"/>
      <w:outlineLvl w:val="1"/>
    </w:pPr>
    <w:rPr>
      <w:rFonts w:ascii="Arial" w:hAnsi="Arial" w:cs="Arial"/>
    </w:rPr>
  </w:style>
  <w:style w:type="character" w:styleId="ac">
    <w:name w:val="page number"/>
    <w:basedOn w:val="a1"/>
    <w:rsid w:val="00F46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0169">
      <w:bodyDiv w:val="1"/>
      <w:marLeft w:val="0"/>
      <w:marRight w:val="0"/>
      <w:marTop w:val="0"/>
      <w:marBottom w:val="0"/>
      <w:divBdr>
        <w:top w:val="none" w:sz="0" w:space="0" w:color="auto"/>
        <w:left w:val="none" w:sz="0" w:space="0" w:color="auto"/>
        <w:bottom w:val="none" w:sz="0" w:space="0" w:color="auto"/>
        <w:right w:val="none" w:sz="0" w:space="0" w:color="auto"/>
      </w:divBdr>
      <w:divsChild>
        <w:div w:id="2003315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406827">
      <w:bodyDiv w:val="1"/>
      <w:marLeft w:val="0"/>
      <w:marRight w:val="0"/>
      <w:marTop w:val="0"/>
      <w:marBottom w:val="0"/>
      <w:divBdr>
        <w:top w:val="none" w:sz="0" w:space="0" w:color="auto"/>
        <w:left w:val="none" w:sz="0" w:space="0" w:color="auto"/>
        <w:bottom w:val="none" w:sz="0" w:space="0" w:color="auto"/>
        <w:right w:val="none" w:sz="0" w:space="0" w:color="auto"/>
      </w:divBdr>
      <w:divsChild>
        <w:div w:id="1615672077">
          <w:marLeft w:val="0"/>
          <w:marRight w:val="0"/>
          <w:marTop w:val="0"/>
          <w:marBottom w:val="0"/>
          <w:divBdr>
            <w:top w:val="none" w:sz="0" w:space="0" w:color="auto"/>
            <w:left w:val="none" w:sz="0" w:space="0" w:color="auto"/>
            <w:bottom w:val="none" w:sz="0" w:space="0" w:color="auto"/>
            <w:right w:val="none" w:sz="0" w:space="0" w:color="auto"/>
          </w:divBdr>
          <w:divsChild>
            <w:div w:id="629896036">
              <w:marLeft w:val="0"/>
              <w:marRight w:val="0"/>
              <w:marTop w:val="0"/>
              <w:marBottom w:val="0"/>
              <w:divBdr>
                <w:top w:val="none" w:sz="0" w:space="0" w:color="auto"/>
                <w:left w:val="single" w:sz="12" w:space="0" w:color="FFFFFF"/>
                <w:bottom w:val="none" w:sz="0" w:space="0" w:color="auto"/>
                <w:right w:val="none" w:sz="0" w:space="0" w:color="auto"/>
              </w:divBdr>
              <w:divsChild>
                <w:div w:id="2039236270">
                  <w:marLeft w:val="0"/>
                  <w:marRight w:val="0"/>
                  <w:marTop w:val="0"/>
                  <w:marBottom w:val="0"/>
                  <w:divBdr>
                    <w:top w:val="none" w:sz="0" w:space="0" w:color="auto"/>
                    <w:left w:val="none" w:sz="0" w:space="0" w:color="auto"/>
                    <w:bottom w:val="none" w:sz="0" w:space="0" w:color="auto"/>
                    <w:right w:val="none" w:sz="0" w:space="0" w:color="auto"/>
                  </w:divBdr>
                  <w:divsChild>
                    <w:div w:id="589699400">
                      <w:marLeft w:val="443"/>
                      <w:marRight w:val="388"/>
                      <w:marTop w:val="295"/>
                      <w:marBottom w:val="0"/>
                      <w:divBdr>
                        <w:top w:val="none" w:sz="0" w:space="0" w:color="auto"/>
                        <w:left w:val="none" w:sz="0" w:space="0" w:color="auto"/>
                        <w:bottom w:val="dotted" w:sz="12" w:space="9" w:color="CACACA"/>
                        <w:right w:val="none" w:sz="0" w:space="0" w:color="auto"/>
                      </w:divBdr>
                    </w:div>
                  </w:divsChild>
                </w:div>
              </w:divsChild>
            </w:div>
          </w:divsChild>
        </w:div>
      </w:divsChild>
    </w:div>
    <w:div w:id="612251836">
      <w:bodyDiv w:val="1"/>
      <w:marLeft w:val="0"/>
      <w:marRight w:val="0"/>
      <w:marTop w:val="0"/>
      <w:marBottom w:val="0"/>
      <w:divBdr>
        <w:top w:val="none" w:sz="0" w:space="0" w:color="auto"/>
        <w:left w:val="none" w:sz="0" w:space="0" w:color="auto"/>
        <w:bottom w:val="none" w:sz="0" w:space="0" w:color="auto"/>
        <w:right w:val="none" w:sz="0" w:space="0" w:color="auto"/>
      </w:divBdr>
      <w:divsChild>
        <w:div w:id="1873493487">
          <w:marLeft w:val="0"/>
          <w:marRight w:val="0"/>
          <w:marTop w:val="0"/>
          <w:marBottom w:val="0"/>
          <w:divBdr>
            <w:top w:val="none" w:sz="0" w:space="0" w:color="auto"/>
            <w:left w:val="none" w:sz="0" w:space="0" w:color="auto"/>
            <w:bottom w:val="none" w:sz="0" w:space="0" w:color="auto"/>
            <w:right w:val="none" w:sz="0" w:space="0" w:color="auto"/>
          </w:divBdr>
        </w:div>
      </w:divsChild>
    </w:div>
    <w:div w:id="724915922">
      <w:bodyDiv w:val="1"/>
      <w:marLeft w:val="0"/>
      <w:marRight w:val="0"/>
      <w:marTop w:val="0"/>
      <w:marBottom w:val="0"/>
      <w:divBdr>
        <w:top w:val="none" w:sz="0" w:space="0" w:color="auto"/>
        <w:left w:val="none" w:sz="0" w:space="0" w:color="auto"/>
        <w:bottom w:val="none" w:sz="0" w:space="0" w:color="auto"/>
        <w:right w:val="none" w:sz="0" w:space="0" w:color="auto"/>
      </w:divBdr>
      <w:divsChild>
        <w:div w:id="1622345536">
          <w:marLeft w:val="0"/>
          <w:marRight w:val="0"/>
          <w:marTop w:val="0"/>
          <w:marBottom w:val="0"/>
          <w:divBdr>
            <w:top w:val="none" w:sz="0" w:space="0" w:color="auto"/>
            <w:left w:val="none" w:sz="0" w:space="0" w:color="auto"/>
            <w:bottom w:val="none" w:sz="0" w:space="0" w:color="auto"/>
            <w:right w:val="none" w:sz="0" w:space="0" w:color="auto"/>
          </w:divBdr>
          <w:divsChild>
            <w:div w:id="107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4871">
      <w:bodyDiv w:val="1"/>
      <w:marLeft w:val="0"/>
      <w:marRight w:val="0"/>
      <w:marTop w:val="0"/>
      <w:marBottom w:val="0"/>
      <w:divBdr>
        <w:top w:val="none" w:sz="0" w:space="0" w:color="auto"/>
        <w:left w:val="none" w:sz="0" w:space="0" w:color="auto"/>
        <w:bottom w:val="none" w:sz="0" w:space="0" w:color="auto"/>
        <w:right w:val="none" w:sz="0" w:space="0" w:color="auto"/>
      </w:divBdr>
      <w:divsChild>
        <w:div w:id="44199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084893">
      <w:bodyDiv w:val="1"/>
      <w:marLeft w:val="0"/>
      <w:marRight w:val="0"/>
      <w:marTop w:val="0"/>
      <w:marBottom w:val="0"/>
      <w:divBdr>
        <w:top w:val="none" w:sz="0" w:space="0" w:color="auto"/>
        <w:left w:val="none" w:sz="0" w:space="0" w:color="auto"/>
        <w:bottom w:val="none" w:sz="0" w:space="0" w:color="auto"/>
        <w:right w:val="none" w:sz="0" w:space="0" w:color="auto"/>
      </w:divBdr>
      <w:divsChild>
        <w:div w:id="160388900">
          <w:marLeft w:val="0"/>
          <w:marRight w:val="0"/>
          <w:marTop w:val="0"/>
          <w:marBottom w:val="0"/>
          <w:divBdr>
            <w:top w:val="none" w:sz="0" w:space="0" w:color="auto"/>
            <w:left w:val="none" w:sz="0" w:space="0" w:color="auto"/>
            <w:bottom w:val="none" w:sz="0" w:space="0" w:color="auto"/>
            <w:right w:val="none" w:sz="0" w:space="0" w:color="auto"/>
          </w:divBdr>
          <w:divsChild>
            <w:div w:id="6627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5537">
      <w:bodyDiv w:val="1"/>
      <w:marLeft w:val="0"/>
      <w:marRight w:val="0"/>
      <w:marTop w:val="0"/>
      <w:marBottom w:val="0"/>
      <w:divBdr>
        <w:top w:val="none" w:sz="0" w:space="0" w:color="auto"/>
        <w:left w:val="none" w:sz="0" w:space="0" w:color="auto"/>
        <w:bottom w:val="none" w:sz="0" w:space="0" w:color="auto"/>
        <w:right w:val="none" w:sz="0" w:space="0" w:color="auto"/>
      </w:divBdr>
      <w:divsChild>
        <w:div w:id="1740592715">
          <w:marLeft w:val="0"/>
          <w:marRight w:val="0"/>
          <w:marTop w:val="0"/>
          <w:marBottom w:val="0"/>
          <w:divBdr>
            <w:top w:val="none" w:sz="0" w:space="0" w:color="auto"/>
            <w:left w:val="none" w:sz="0" w:space="0" w:color="auto"/>
            <w:bottom w:val="none" w:sz="0" w:space="0" w:color="auto"/>
            <w:right w:val="none" w:sz="0" w:space="0" w:color="auto"/>
          </w:divBdr>
          <w:divsChild>
            <w:div w:id="327952403">
              <w:marLeft w:val="0"/>
              <w:marRight w:val="0"/>
              <w:marTop w:val="0"/>
              <w:marBottom w:val="0"/>
              <w:divBdr>
                <w:top w:val="none" w:sz="0" w:space="0" w:color="auto"/>
                <w:left w:val="single" w:sz="12" w:space="0" w:color="FFFFFF"/>
                <w:bottom w:val="none" w:sz="0" w:space="0" w:color="auto"/>
                <w:right w:val="none" w:sz="0" w:space="0" w:color="auto"/>
              </w:divBdr>
              <w:divsChild>
                <w:div w:id="2118940774">
                  <w:marLeft w:val="0"/>
                  <w:marRight w:val="0"/>
                  <w:marTop w:val="0"/>
                  <w:marBottom w:val="0"/>
                  <w:divBdr>
                    <w:top w:val="none" w:sz="0" w:space="0" w:color="auto"/>
                    <w:left w:val="none" w:sz="0" w:space="0" w:color="auto"/>
                    <w:bottom w:val="none" w:sz="0" w:space="0" w:color="auto"/>
                    <w:right w:val="none" w:sz="0" w:space="0" w:color="auto"/>
                  </w:divBdr>
                  <w:divsChild>
                    <w:div w:id="874194326">
                      <w:marLeft w:val="443"/>
                      <w:marRight w:val="388"/>
                      <w:marTop w:val="295"/>
                      <w:marBottom w:val="0"/>
                      <w:divBdr>
                        <w:top w:val="none" w:sz="0" w:space="0" w:color="auto"/>
                        <w:left w:val="none" w:sz="0" w:space="0" w:color="auto"/>
                        <w:bottom w:val="dotted" w:sz="12" w:space="9" w:color="CACACA"/>
                        <w:right w:val="none" w:sz="0" w:space="0" w:color="auto"/>
                      </w:divBdr>
                      <w:divsChild>
                        <w:div w:id="19911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675721">
      <w:bodyDiv w:val="1"/>
      <w:marLeft w:val="0"/>
      <w:marRight w:val="0"/>
      <w:marTop w:val="0"/>
      <w:marBottom w:val="0"/>
      <w:divBdr>
        <w:top w:val="none" w:sz="0" w:space="0" w:color="auto"/>
        <w:left w:val="none" w:sz="0" w:space="0" w:color="auto"/>
        <w:bottom w:val="none" w:sz="0" w:space="0" w:color="auto"/>
        <w:right w:val="none" w:sz="0" w:space="0" w:color="auto"/>
      </w:divBdr>
      <w:divsChild>
        <w:div w:id="1487017937">
          <w:marLeft w:val="0"/>
          <w:marRight w:val="0"/>
          <w:marTop w:val="0"/>
          <w:marBottom w:val="0"/>
          <w:divBdr>
            <w:top w:val="none" w:sz="0" w:space="0" w:color="auto"/>
            <w:left w:val="none" w:sz="0" w:space="0" w:color="auto"/>
            <w:bottom w:val="none" w:sz="0" w:space="0" w:color="auto"/>
            <w:right w:val="none" w:sz="0" w:space="0" w:color="auto"/>
          </w:divBdr>
          <w:divsChild>
            <w:div w:id="1611164178">
              <w:marLeft w:val="0"/>
              <w:marRight w:val="0"/>
              <w:marTop w:val="0"/>
              <w:marBottom w:val="0"/>
              <w:divBdr>
                <w:top w:val="none" w:sz="0" w:space="0" w:color="auto"/>
                <w:left w:val="none" w:sz="0" w:space="0" w:color="auto"/>
                <w:bottom w:val="none" w:sz="0" w:space="0" w:color="auto"/>
                <w:right w:val="none" w:sz="0" w:space="0" w:color="auto"/>
              </w:divBdr>
              <w:divsChild>
                <w:div w:id="332611734">
                  <w:marLeft w:val="0"/>
                  <w:marRight w:val="0"/>
                  <w:marTop w:val="0"/>
                  <w:marBottom w:val="0"/>
                  <w:divBdr>
                    <w:top w:val="none" w:sz="0" w:space="0" w:color="auto"/>
                    <w:left w:val="none" w:sz="0" w:space="0" w:color="auto"/>
                    <w:bottom w:val="none" w:sz="0" w:space="0" w:color="auto"/>
                    <w:right w:val="none" w:sz="0" w:space="0" w:color="auto"/>
                  </w:divBdr>
                  <w:divsChild>
                    <w:div w:id="792751242">
                      <w:marLeft w:val="0"/>
                      <w:marRight w:val="0"/>
                      <w:marTop w:val="0"/>
                      <w:marBottom w:val="0"/>
                      <w:divBdr>
                        <w:top w:val="none" w:sz="0" w:space="0" w:color="auto"/>
                        <w:left w:val="none" w:sz="0" w:space="0" w:color="auto"/>
                        <w:bottom w:val="none" w:sz="0" w:space="0" w:color="auto"/>
                        <w:right w:val="none" w:sz="0" w:space="0" w:color="auto"/>
                      </w:divBdr>
                      <w:divsChild>
                        <w:div w:id="69234170">
                          <w:marLeft w:val="0"/>
                          <w:marRight w:val="0"/>
                          <w:marTop w:val="0"/>
                          <w:marBottom w:val="0"/>
                          <w:divBdr>
                            <w:top w:val="none" w:sz="0" w:space="0" w:color="auto"/>
                            <w:left w:val="none" w:sz="0" w:space="0" w:color="auto"/>
                            <w:bottom w:val="none" w:sz="0" w:space="0" w:color="auto"/>
                            <w:right w:val="none" w:sz="0" w:space="0" w:color="auto"/>
                          </w:divBdr>
                          <w:divsChild>
                            <w:div w:id="3504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783320">
      <w:bodyDiv w:val="1"/>
      <w:marLeft w:val="0"/>
      <w:marRight w:val="0"/>
      <w:marTop w:val="0"/>
      <w:marBottom w:val="0"/>
      <w:divBdr>
        <w:top w:val="none" w:sz="0" w:space="0" w:color="auto"/>
        <w:left w:val="none" w:sz="0" w:space="0" w:color="auto"/>
        <w:bottom w:val="none" w:sz="0" w:space="0" w:color="auto"/>
        <w:right w:val="none" w:sz="0" w:space="0" w:color="auto"/>
      </w:divBdr>
      <w:divsChild>
        <w:div w:id="549652692">
          <w:marLeft w:val="0"/>
          <w:marRight w:val="0"/>
          <w:marTop w:val="0"/>
          <w:marBottom w:val="0"/>
          <w:divBdr>
            <w:top w:val="none" w:sz="0" w:space="0" w:color="auto"/>
            <w:left w:val="none" w:sz="0" w:space="0" w:color="auto"/>
            <w:bottom w:val="none" w:sz="0" w:space="0" w:color="auto"/>
            <w:right w:val="none" w:sz="0" w:space="0" w:color="auto"/>
          </w:divBdr>
          <w:divsChild>
            <w:div w:id="14141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3440">
      <w:bodyDiv w:val="1"/>
      <w:marLeft w:val="0"/>
      <w:marRight w:val="0"/>
      <w:marTop w:val="0"/>
      <w:marBottom w:val="0"/>
      <w:divBdr>
        <w:top w:val="none" w:sz="0" w:space="0" w:color="auto"/>
        <w:left w:val="none" w:sz="0" w:space="0" w:color="auto"/>
        <w:bottom w:val="none" w:sz="0" w:space="0" w:color="auto"/>
        <w:right w:val="none" w:sz="0" w:space="0" w:color="auto"/>
      </w:divBdr>
      <w:divsChild>
        <w:div w:id="366301174">
          <w:marLeft w:val="0"/>
          <w:marRight w:val="0"/>
          <w:marTop w:val="0"/>
          <w:marBottom w:val="0"/>
          <w:divBdr>
            <w:top w:val="none" w:sz="0" w:space="0" w:color="auto"/>
            <w:left w:val="none" w:sz="0" w:space="0" w:color="auto"/>
            <w:bottom w:val="none" w:sz="0" w:space="0" w:color="auto"/>
            <w:right w:val="none" w:sz="0" w:space="0" w:color="auto"/>
          </w:divBdr>
          <w:divsChild>
            <w:div w:id="1829248907">
              <w:marLeft w:val="0"/>
              <w:marRight w:val="0"/>
              <w:marTop w:val="0"/>
              <w:marBottom w:val="0"/>
              <w:divBdr>
                <w:top w:val="none" w:sz="0" w:space="0" w:color="auto"/>
                <w:left w:val="none" w:sz="0" w:space="0" w:color="auto"/>
                <w:bottom w:val="none" w:sz="0" w:space="0" w:color="auto"/>
                <w:right w:val="none" w:sz="0" w:space="0" w:color="auto"/>
              </w:divBdr>
              <w:divsChild>
                <w:div w:id="2146894057">
                  <w:marLeft w:val="0"/>
                  <w:marRight w:val="0"/>
                  <w:marTop w:val="0"/>
                  <w:marBottom w:val="0"/>
                  <w:divBdr>
                    <w:top w:val="none" w:sz="0" w:space="0" w:color="auto"/>
                    <w:left w:val="none" w:sz="0" w:space="0" w:color="auto"/>
                    <w:bottom w:val="none" w:sz="0" w:space="0" w:color="auto"/>
                    <w:right w:val="none" w:sz="0" w:space="0" w:color="auto"/>
                  </w:divBdr>
                  <w:divsChild>
                    <w:div w:id="24261058">
                      <w:marLeft w:val="0"/>
                      <w:marRight w:val="0"/>
                      <w:marTop w:val="0"/>
                      <w:marBottom w:val="0"/>
                      <w:divBdr>
                        <w:top w:val="none" w:sz="0" w:space="0" w:color="auto"/>
                        <w:left w:val="none" w:sz="0" w:space="0" w:color="auto"/>
                        <w:bottom w:val="none" w:sz="0" w:space="0" w:color="auto"/>
                        <w:right w:val="none" w:sz="0" w:space="0" w:color="auto"/>
                      </w:divBdr>
                      <w:divsChild>
                        <w:div w:id="2052226183">
                          <w:marLeft w:val="0"/>
                          <w:marRight w:val="0"/>
                          <w:marTop w:val="0"/>
                          <w:marBottom w:val="0"/>
                          <w:divBdr>
                            <w:top w:val="none" w:sz="0" w:space="0" w:color="auto"/>
                            <w:left w:val="none" w:sz="0" w:space="0" w:color="auto"/>
                            <w:bottom w:val="none" w:sz="0" w:space="0" w:color="auto"/>
                            <w:right w:val="none" w:sz="0" w:space="0" w:color="auto"/>
                          </w:divBdr>
                          <w:divsChild>
                            <w:div w:id="15054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656944">
      <w:bodyDiv w:val="1"/>
      <w:marLeft w:val="0"/>
      <w:marRight w:val="0"/>
      <w:marTop w:val="0"/>
      <w:marBottom w:val="0"/>
      <w:divBdr>
        <w:top w:val="none" w:sz="0" w:space="0" w:color="auto"/>
        <w:left w:val="none" w:sz="0" w:space="0" w:color="auto"/>
        <w:bottom w:val="none" w:sz="0" w:space="0" w:color="auto"/>
        <w:right w:val="none" w:sz="0" w:space="0" w:color="auto"/>
      </w:divBdr>
    </w:div>
    <w:div w:id="1333488432">
      <w:bodyDiv w:val="1"/>
      <w:marLeft w:val="0"/>
      <w:marRight w:val="0"/>
      <w:marTop w:val="0"/>
      <w:marBottom w:val="0"/>
      <w:divBdr>
        <w:top w:val="none" w:sz="0" w:space="0" w:color="auto"/>
        <w:left w:val="none" w:sz="0" w:space="0" w:color="auto"/>
        <w:bottom w:val="none" w:sz="0" w:space="0" w:color="auto"/>
        <w:right w:val="none" w:sz="0" w:space="0" w:color="auto"/>
      </w:divBdr>
      <w:divsChild>
        <w:div w:id="1284385370">
          <w:marLeft w:val="0"/>
          <w:marRight w:val="0"/>
          <w:marTop w:val="0"/>
          <w:marBottom w:val="0"/>
          <w:divBdr>
            <w:top w:val="none" w:sz="0" w:space="0" w:color="auto"/>
            <w:left w:val="none" w:sz="0" w:space="0" w:color="auto"/>
            <w:bottom w:val="none" w:sz="0" w:space="0" w:color="auto"/>
            <w:right w:val="none" w:sz="0" w:space="0" w:color="auto"/>
          </w:divBdr>
          <w:divsChild>
            <w:div w:id="854345818">
              <w:marLeft w:val="0"/>
              <w:marRight w:val="0"/>
              <w:marTop w:val="0"/>
              <w:marBottom w:val="0"/>
              <w:divBdr>
                <w:top w:val="none" w:sz="0" w:space="0" w:color="auto"/>
                <w:left w:val="none" w:sz="0" w:space="0" w:color="auto"/>
                <w:bottom w:val="none" w:sz="0" w:space="0" w:color="auto"/>
                <w:right w:val="none" w:sz="0" w:space="0" w:color="auto"/>
              </w:divBdr>
              <w:divsChild>
                <w:div w:id="1607807398">
                  <w:marLeft w:val="0"/>
                  <w:marRight w:val="0"/>
                  <w:marTop w:val="0"/>
                  <w:marBottom w:val="0"/>
                  <w:divBdr>
                    <w:top w:val="none" w:sz="0" w:space="0" w:color="auto"/>
                    <w:left w:val="none" w:sz="0" w:space="0" w:color="auto"/>
                    <w:bottom w:val="none" w:sz="0" w:space="0" w:color="auto"/>
                    <w:right w:val="none" w:sz="0" w:space="0" w:color="auto"/>
                  </w:divBdr>
                  <w:divsChild>
                    <w:div w:id="1433011870">
                      <w:marLeft w:val="0"/>
                      <w:marRight w:val="0"/>
                      <w:marTop w:val="0"/>
                      <w:marBottom w:val="0"/>
                      <w:divBdr>
                        <w:top w:val="none" w:sz="0" w:space="0" w:color="auto"/>
                        <w:left w:val="none" w:sz="0" w:space="0" w:color="auto"/>
                        <w:bottom w:val="none" w:sz="0" w:space="0" w:color="auto"/>
                        <w:right w:val="none" w:sz="0" w:space="0" w:color="auto"/>
                      </w:divBdr>
                      <w:divsChild>
                        <w:div w:id="1638951469">
                          <w:marLeft w:val="0"/>
                          <w:marRight w:val="0"/>
                          <w:marTop w:val="0"/>
                          <w:marBottom w:val="0"/>
                          <w:divBdr>
                            <w:top w:val="none" w:sz="0" w:space="0" w:color="auto"/>
                            <w:left w:val="none" w:sz="0" w:space="0" w:color="auto"/>
                            <w:bottom w:val="none" w:sz="0" w:space="0" w:color="auto"/>
                            <w:right w:val="none" w:sz="0" w:space="0" w:color="auto"/>
                          </w:divBdr>
                          <w:divsChild>
                            <w:div w:id="3602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562970">
      <w:bodyDiv w:val="1"/>
      <w:marLeft w:val="0"/>
      <w:marRight w:val="0"/>
      <w:marTop w:val="0"/>
      <w:marBottom w:val="0"/>
      <w:divBdr>
        <w:top w:val="none" w:sz="0" w:space="0" w:color="auto"/>
        <w:left w:val="none" w:sz="0" w:space="0" w:color="auto"/>
        <w:bottom w:val="none" w:sz="0" w:space="0" w:color="auto"/>
        <w:right w:val="none" w:sz="0" w:space="0" w:color="auto"/>
      </w:divBdr>
    </w:div>
    <w:div w:id="1845586397">
      <w:bodyDiv w:val="1"/>
      <w:marLeft w:val="0"/>
      <w:marRight w:val="0"/>
      <w:marTop w:val="0"/>
      <w:marBottom w:val="0"/>
      <w:divBdr>
        <w:top w:val="none" w:sz="0" w:space="0" w:color="auto"/>
        <w:left w:val="none" w:sz="0" w:space="0" w:color="auto"/>
        <w:bottom w:val="none" w:sz="0" w:space="0" w:color="auto"/>
        <w:right w:val="none" w:sz="0" w:space="0" w:color="auto"/>
      </w:divBdr>
      <w:divsChild>
        <w:div w:id="1992446781">
          <w:marLeft w:val="0"/>
          <w:marRight w:val="0"/>
          <w:marTop w:val="0"/>
          <w:marBottom w:val="0"/>
          <w:divBdr>
            <w:top w:val="none" w:sz="0" w:space="0" w:color="auto"/>
            <w:left w:val="none" w:sz="0" w:space="0" w:color="auto"/>
            <w:bottom w:val="none" w:sz="0" w:space="0" w:color="auto"/>
            <w:right w:val="none" w:sz="0" w:space="0" w:color="auto"/>
          </w:divBdr>
          <w:divsChild>
            <w:div w:id="2051344554">
              <w:marLeft w:val="0"/>
              <w:marRight w:val="0"/>
              <w:marTop w:val="0"/>
              <w:marBottom w:val="0"/>
              <w:divBdr>
                <w:top w:val="none" w:sz="0" w:space="0" w:color="auto"/>
                <w:left w:val="none" w:sz="0" w:space="0" w:color="auto"/>
                <w:bottom w:val="none" w:sz="0" w:space="0" w:color="auto"/>
                <w:right w:val="none" w:sz="0" w:space="0" w:color="auto"/>
              </w:divBdr>
              <w:divsChild>
                <w:div w:id="502941477">
                  <w:marLeft w:val="0"/>
                  <w:marRight w:val="0"/>
                  <w:marTop w:val="0"/>
                  <w:marBottom w:val="0"/>
                  <w:divBdr>
                    <w:top w:val="none" w:sz="0" w:space="0" w:color="auto"/>
                    <w:left w:val="none" w:sz="0" w:space="0" w:color="auto"/>
                    <w:bottom w:val="none" w:sz="0" w:space="0" w:color="auto"/>
                    <w:right w:val="none" w:sz="0" w:space="0" w:color="auto"/>
                  </w:divBdr>
                  <w:divsChild>
                    <w:div w:id="13058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3398">
      <w:bodyDiv w:val="1"/>
      <w:marLeft w:val="0"/>
      <w:marRight w:val="0"/>
      <w:marTop w:val="0"/>
      <w:marBottom w:val="0"/>
      <w:divBdr>
        <w:top w:val="none" w:sz="0" w:space="0" w:color="auto"/>
        <w:left w:val="none" w:sz="0" w:space="0" w:color="auto"/>
        <w:bottom w:val="none" w:sz="0" w:space="0" w:color="auto"/>
        <w:right w:val="none" w:sz="0" w:space="0" w:color="auto"/>
      </w:divBdr>
      <w:divsChild>
        <w:div w:id="50663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kstudycentre.ru/?id=39&amp;n=13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kstudycentre.ru/?id=39&amp;n=131" TargetMode="External"/><Relationship Id="rId4" Type="http://schemas.openxmlformats.org/officeDocument/2006/relationships/webSettings" Target="webSettings.xml"/><Relationship Id="rId9" Type="http://schemas.openxmlformats.org/officeDocument/2006/relationships/hyperlink" Target="http://www.ukstudycentre.ru/?id=39&amp;n=1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11394</Words>
  <Characters>64946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УНИВЕРСИТЕТ МЕЖДУНАРОДНОГО БИЗНЕСА</vt:lpstr>
    </vt:vector>
  </TitlesOfParts>
  <Company>Home</Company>
  <LinksUpToDate>false</LinksUpToDate>
  <CharactersWithSpaces>76188</CharactersWithSpaces>
  <SharedDoc>false</SharedDoc>
  <HLinks>
    <vt:vector size="96" baseType="variant">
      <vt:variant>
        <vt:i4>655439</vt:i4>
      </vt:variant>
      <vt:variant>
        <vt:i4>84</vt:i4>
      </vt:variant>
      <vt:variant>
        <vt:i4>0</vt:i4>
      </vt:variant>
      <vt:variant>
        <vt:i4>5</vt:i4>
      </vt:variant>
      <vt:variant>
        <vt:lpwstr>http://www.ukstudycentre.ru/?id=39&amp;n=130</vt:lpwstr>
      </vt:variant>
      <vt:variant>
        <vt:lpwstr/>
      </vt:variant>
      <vt:variant>
        <vt:i4>720975</vt:i4>
      </vt:variant>
      <vt:variant>
        <vt:i4>81</vt:i4>
      </vt:variant>
      <vt:variant>
        <vt:i4>0</vt:i4>
      </vt:variant>
      <vt:variant>
        <vt:i4>5</vt:i4>
      </vt:variant>
      <vt:variant>
        <vt:lpwstr>http://www.ukstudycentre.ru/?id=39&amp;n=131</vt:lpwstr>
      </vt:variant>
      <vt:variant>
        <vt:lpwstr/>
      </vt:variant>
      <vt:variant>
        <vt:i4>983117</vt:i4>
      </vt:variant>
      <vt:variant>
        <vt:i4>78</vt:i4>
      </vt:variant>
      <vt:variant>
        <vt:i4>0</vt:i4>
      </vt:variant>
      <vt:variant>
        <vt:i4>5</vt:i4>
      </vt:variant>
      <vt:variant>
        <vt:lpwstr>http://www.ukstudycentre.ru/?id=39&amp;n=115</vt:lpwstr>
      </vt:variant>
      <vt:variant>
        <vt:lpwstr/>
      </vt:variant>
      <vt:variant>
        <vt:i4>1703986</vt:i4>
      </vt:variant>
      <vt:variant>
        <vt:i4>71</vt:i4>
      </vt:variant>
      <vt:variant>
        <vt:i4>0</vt:i4>
      </vt:variant>
      <vt:variant>
        <vt:i4>5</vt:i4>
      </vt:variant>
      <vt:variant>
        <vt:lpwstr/>
      </vt:variant>
      <vt:variant>
        <vt:lpwstr>_Toc201309176</vt:lpwstr>
      </vt:variant>
      <vt:variant>
        <vt:i4>1703986</vt:i4>
      </vt:variant>
      <vt:variant>
        <vt:i4>65</vt:i4>
      </vt:variant>
      <vt:variant>
        <vt:i4>0</vt:i4>
      </vt:variant>
      <vt:variant>
        <vt:i4>5</vt:i4>
      </vt:variant>
      <vt:variant>
        <vt:lpwstr/>
      </vt:variant>
      <vt:variant>
        <vt:lpwstr>_Toc201309175</vt:lpwstr>
      </vt:variant>
      <vt:variant>
        <vt:i4>1703986</vt:i4>
      </vt:variant>
      <vt:variant>
        <vt:i4>59</vt:i4>
      </vt:variant>
      <vt:variant>
        <vt:i4>0</vt:i4>
      </vt:variant>
      <vt:variant>
        <vt:i4>5</vt:i4>
      </vt:variant>
      <vt:variant>
        <vt:lpwstr/>
      </vt:variant>
      <vt:variant>
        <vt:lpwstr>_Toc201309174</vt:lpwstr>
      </vt:variant>
      <vt:variant>
        <vt:i4>1703986</vt:i4>
      </vt:variant>
      <vt:variant>
        <vt:i4>53</vt:i4>
      </vt:variant>
      <vt:variant>
        <vt:i4>0</vt:i4>
      </vt:variant>
      <vt:variant>
        <vt:i4>5</vt:i4>
      </vt:variant>
      <vt:variant>
        <vt:lpwstr/>
      </vt:variant>
      <vt:variant>
        <vt:lpwstr>_Toc201309173</vt:lpwstr>
      </vt:variant>
      <vt:variant>
        <vt:i4>1703986</vt:i4>
      </vt:variant>
      <vt:variant>
        <vt:i4>47</vt:i4>
      </vt:variant>
      <vt:variant>
        <vt:i4>0</vt:i4>
      </vt:variant>
      <vt:variant>
        <vt:i4>5</vt:i4>
      </vt:variant>
      <vt:variant>
        <vt:lpwstr/>
      </vt:variant>
      <vt:variant>
        <vt:lpwstr>_Toc201309172</vt:lpwstr>
      </vt:variant>
      <vt:variant>
        <vt:i4>1703986</vt:i4>
      </vt:variant>
      <vt:variant>
        <vt:i4>41</vt:i4>
      </vt:variant>
      <vt:variant>
        <vt:i4>0</vt:i4>
      </vt:variant>
      <vt:variant>
        <vt:i4>5</vt:i4>
      </vt:variant>
      <vt:variant>
        <vt:lpwstr/>
      </vt:variant>
      <vt:variant>
        <vt:lpwstr>_Toc201309171</vt:lpwstr>
      </vt:variant>
      <vt:variant>
        <vt:i4>1703986</vt:i4>
      </vt:variant>
      <vt:variant>
        <vt:i4>38</vt:i4>
      </vt:variant>
      <vt:variant>
        <vt:i4>0</vt:i4>
      </vt:variant>
      <vt:variant>
        <vt:i4>5</vt:i4>
      </vt:variant>
      <vt:variant>
        <vt:lpwstr/>
      </vt:variant>
      <vt:variant>
        <vt:lpwstr>_Toc201309170</vt:lpwstr>
      </vt:variant>
      <vt:variant>
        <vt:i4>1769522</vt:i4>
      </vt:variant>
      <vt:variant>
        <vt:i4>32</vt:i4>
      </vt:variant>
      <vt:variant>
        <vt:i4>0</vt:i4>
      </vt:variant>
      <vt:variant>
        <vt:i4>5</vt:i4>
      </vt:variant>
      <vt:variant>
        <vt:lpwstr/>
      </vt:variant>
      <vt:variant>
        <vt:lpwstr>_Toc201309169</vt:lpwstr>
      </vt:variant>
      <vt:variant>
        <vt:i4>1769522</vt:i4>
      </vt:variant>
      <vt:variant>
        <vt:i4>26</vt:i4>
      </vt:variant>
      <vt:variant>
        <vt:i4>0</vt:i4>
      </vt:variant>
      <vt:variant>
        <vt:i4>5</vt:i4>
      </vt:variant>
      <vt:variant>
        <vt:lpwstr/>
      </vt:variant>
      <vt:variant>
        <vt:lpwstr>_Toc201309168</vt:lpwstr>
      </vt:variant>
      <vt:variant>
        <vt:i4>1769522</vt:i4>
      </vt:variant>
      <vt:variant>
        <vt:i4>20</vt:i4>
      </vt:variant>
      <vt:variant>
        <vt:i4>0</vt:i4>
      </vt:variant>
      <vt:variant>
        <vt:i4>5</vt:i4>
      </vt:variant>
      <vt:variant>
        <vt:lpwstr/>
      </vt:variant>
      <vt:variant>
        <vt:lpwstr>_Toc201309167</vt:lpwstr>
      </vt:variant>
      <vt:variant>
        <vt:i4>1769522</vt:i4>
      </vt:variant>
      <vt:variant>
        <vt:i4>14</vt:i4>
      </vt:variant>
      <vt:variant>
        <vt:i4>0</vt:i4>
      </vt:variant>
      <vt:variant>
        <vt:i4>5</vt:i4>
      </vt:variant>
      <vt:variant>
        <vt:lpwstr/>
      </vt:variant>
      <vt:variant>
        <vt:lpwstr>_Toc201309166</vt:lpwstr>
      </vt:variant>
      <vt:variant>
        <vt:i4>1769522</vt:i4>
      </vt:variant>
      <vt:variant>
        <vt:i4>8</vt:i4>
      </vt:variant>
      <vt:variant>
        <vt:i4>0</vt:i4>
      </vt:variant>
      <vt:variant>
        <vt:i4>5</vt:i4>
      </vt:variant>
      <vt:variant>
        <vt:lpwstr/>
      </vt:variant>
      <vt:variant>
        <vt:lpwstr>_Toc201309165</vt:lpwstr>
      </vt:variant>
      <vt:variant>
        <vt:i4>1769522</vt:i4>
      </vt:variant>
      <vt:variant>
        <vt:i4>2</vt:i4>
      </vt:variant>
      <vt:variant>
        <vt:i4>0</vt:i4>
      </vt:variant>
      <vt:variant>
        <vt:i4>5</vt:i4>
      </vt:variant>
      <vt:variant>
        <vt:lpwstr/>
      </vt:variant>
      <vt:variant>
        <vt:lpwstr>_Toc201309164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МЕЖДУНАРОДНОГО БИЗНЕСА</dc:title>
  <dc:subject/>
  <dc:creator>Abramenko Anton</dc:creator>
  <cp:keywords/>
  <dc:description/>
  <cp:lastModifiedBy>admin</cp:lastModifiedBy>
  <cp:revision>2</cp:revision>
  <dcterms:created xsi:type="dcterms:W3CDTF">2014-04-06T12:44:00Z</dcterms:created>
  <dcterms:modified xsi:type="dcterms:W3CDTF">2014-04-06T12:44:00Z</dcterms:modified>
</cp:coreProperties>
</file>