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CB65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</w:p>
    <w:p w:rsidR="00841B25" w:rsidRPr="008C7A99" w:rsidRDefault="00CB6525" w:rsidP="008C7A99">
      <w:pPr>
        <w:pStyle w:val="Style4"/>
        <w:spacing w:line="360" w:lineRule="auto"/>
        <w:ind w:firstLine="709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  <w:r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>Неионизирующие излучения. Электромагнитное загрязнение биосферы: опасность, оценка, технические средства защиты</w:t>
      </w:r>
    </w:p>
    <w:p w:rsidR="00CB6525" w:rsidRPr="008C7A99" w:rsidRDefault="00CB65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br w:type="page"/>
      </w:r>
      <w:r w:rsidRPr="008C7A99">
        <w:rPr>
          <w:rStyle w:val="FontStyle23"/>
          <w:rFonts w:ascii="Times New Roman" w:hAnsi="Times New Roman" w:cs="Times New Roman"/>
          <w:b/>
          <w:color w:val="000000"/>
          <w:sz w:val="28"/>
        </w:rPr>
        <w:t>Введение</w:t>
      </w:r>
    </w:p>
    <w:p w:rsidR="00CB6525" w:rsidRPr="008C7A99" w:rsidRDefault="00CB65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С развитием электроэнергетики, радио- и телевизионной техники, средств связи, электронной офисной техники, специального промышленного оборудования и др. появилось большое количество искусственных источников электромагнитных полей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что обусловило интенсивное «электромагнитное загрязнение» среды обитания человека.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Длительное воздействие этих полей на организм человека вызывает нарушение функционального состояния центральной нервной и сердечнососудистой систем, что выражается в повышенной утомляемости, снижении качества выполнения рабочих операций, сильных болях в области сердца, изменении кровяного давления и пульса.</w:t>
      </w: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CB65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  <w:r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br w:type="page"/>
      </w:r>
      <w:r w:rsidR="00841B25"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>1. Источники ЭМП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841B25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Электромагнитные поля окружают нас постоянно. Однако человек различает только видимый свет, который занимает лишь узкую полоску спектра электромагнитных волн - ЭМВ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Глаз человека не различает ЭМП, длина волны которых больше или меньше длины световой волны, поэтому мы не видим излучений промышленного оборудования, радаров, радиоантенн, линий электропередач и др. Все эти устройства, как и многие другие, использующие электрическую энергию, излучают так называемые антропогенные ЭМП, которые вместе с естественными полями Земли и Космоса создают сложную и изменчивую электромагнитную обстановку.</w:t>
      </w: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41B25" w:rsidRDefault="00BE422D" w:rsidP="008C7A9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114.75pt">
            <v:imagedata r:id="rId6" o:title=""/>
          </v:shape>
        </w:pict>
      </w:r>
    </w:p>
    <w:p w:rsidR="008C7A99" w:rsidRPr="008C7A99" w:rsidRDefault="008C7A99" w:rsidP="008C7A9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841B25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По определению,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электромагнитное поле -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это особая форма материи, посредством которой осуществляется воздействие между электрическими заряженными частицами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Физические причины существования ЭМП связаны с тем, что изменяющееся во времени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электрическое поле Е</w:t>
      </w:r>
      <w:r w:rsidR="00CB6525"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порождает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магнитное поле И</w:t>
      </w:r>
      <w:r w:rsidR="00CB6525" w:rsidRPr="008C7A99">
        <w:rPr>
          <w:rStyle w:val="FontStyle21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а изменяющееся Н - вихревое электрическое поле. Обе компоненты Е и Н, непрерывно изменяясь, возбуждают друг друга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C7A99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br w:type="page"/>
      </w:r>
      <w:r w:rsidR="00BE422D">
        <w:rPr>
          <w:rFonts w:ascii="Times New Roman" w:hAnsi="Times New Roman"/>
          <w:color w:val="000000"/>
          <w:sz w:val="28"/>
        </w:rPr>
        <w:pict>
          <v:shape id="_x0000_i1026" type="#_x0000_t75" style="width:280.5pt;height:157.5pt">
            <v:imagedata r:id="rId7" o:title=""/>
          </v:shape>
        </w:pic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841B25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Векторы Е и Н бегущей ЭМВ в зоне распространения всегда взаимно перпендикулярны. При распространении в проводящей среде они связаны соотношением</w:t>
      </w: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41B25" w:rsidRPr="008C7A99" w:rsidRDefault="00BE422D" w:rsidP="008C7A9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7" type="#_x0000_t75" style="width:126.75pt;height:50.25pt">
            <v:imagedata r:id="rId8" o:title=""/>
          </v:shape>
        </w:pict>
      </w:r>
    </w:p>
    <w:p w:rsidR="008C7A99" w:rsidRDefault="008C7A99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41B25" w:rsidRPr="008C7A99" w:rsidRDefault="00841B25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где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со -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частота электромагнитных колебаний; </w:t>
      </w:r>
      <w:r w:rsidRPr="008C7A99">
        <w:rPr>
          <w:rStyle w:val="FontStyle25"/>
          <w:rFonts w:ascii="Times New Roman" w:hAnsi="Times New Roman" w:cs="Times New Roman"/>
          <w:color w:val="000000"/>
          <w:sz w:val="28"/>
        </w:rPr>
        <w:t xml:space="preserve">у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удельная проводимость вещества экрана;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\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  <w:lang w:val="en-US"/>
        </w:rPr>
        <w:t>i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магнитная проницаемость этого вещества;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к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коэффициент затухания;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  <w:lang w:val="en-US"/>
        </w:rPr>
        <w:t>R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- расстояние от входной плоскости экрана до рассматриваемой точки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ЭМП неподвижных или равномерно движущихся заряженных частиц неразрывно связано с этими частицами. При ускоренном движении заряженных частиц ЭМП «отрывается» от них и существует независимо в форме электромагнитных волн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Например, радиоволны не исчезают и при отсутствии тока в излучившей их антенне.</w:t>
      </w:r>
    </w:p>
    <w:p w:rsidR="00841B25" w:rsidRPr="0056063C" w:rsidRDefault="00841B25" w:rsidP="00827476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Электромагнитные волны характеризуются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длиной волны к.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Источник, генерирующий излучение, то есть создающий электромагнитные колебания, характеризуется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частотой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f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. Международная классификация электромагнитных волн по частотам приведена в</w:t>
      </w:r>
      <w:r w:rsidR="0056063C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табл. 1.</w:t>
      </w:r>
    </w:p>
    <w:p w:rsidR="00827476" w:rsidRPr="00827476" w:rsidRDefault="008C7A99" w:rsidP="00827476">
      <w:pPr>
        <w:pStyle w:val="Style9"/>
        <w:widowControl/>
        <w:ind w:firstLine="709"/>
        <w:jc w:val="both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br w:type="page"/>
      </w:r>
      <w:r w:rsidR="00827476">
        <w:rPr>
          <w:rStyle w:val="FontStyle23"/>
          <w:rFonts w:ascii="Times New Roman" w:hAnsi="Times New Roman" w:cs="Times New Roman"/>
          <w:color w:val="000000"/>
          <w:sz w:val="28"/>
        </w:rPr>
        <w:t xml:space="preserve">Таблица 1. </w:t>
      </w:r>
      <w:r w:rsidR="00827476" w:rsidRPr="00827476">
        <w:rPr>
          <w:rStyle w:val="FontStyle23"/>
          <w:rFonts w:ascii="Times New Roman" w:hAnsi="Times New Roman" w:cs="Times New Roman"/>
          <w:bCs/>
          <w:color w:val="000000"/>
          <w:sz w:val="28"/>
        </w:rPr>
        <w:t>Международная классификация электромагнитных</w:t>
      </w:r>
      <w:r w:rsidR="00827476" w:rsidRPr="00827476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="00827476" w:rsidRPr="00827476">
        <w:rPr>
          <w:rStyle w:val="FontStyle23"/>
          <w:rFonts w:ascii="Times New Roman" w:hAnsi="Times New Roman" w:cs="Times New Roman"/>
          <w:bCs/>
          <w:color w:val="000000"/>
          <w:sz w:val="28"/>
        </w:rPr>
        <w:t>волн по частотам</w:t>
      </w:r>
    </w:p>
    <w:tbl>
      <w:tblPr>
        <w:tblW w:w="836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0"/>
        <w:gridCol w:w="2234"/>
        <w:gridCol w:w="1418"/>
        <w:gridCol w:w="1842"/>
        <w:gridCol w:w="1560"/>
      </w:tblGrid>
      <w:tr w:rsidR="0056063C" w:rsidRPr="008C7A99" w:rsidTr="00471C63">
        <w:trPr>
          <w:trHeight w:val="125"/>
        </w:trPr>
        <w:tc>
          <w:tcPr>
            <w:tcW w:w="1310" w:type="dxa"/>
            <w:vAlign w:val="center"/>
          </w:tcPr>
          <w:p w:rsidR="00827476" w:rsidRPr="008C7A99" w:rsidRDefault="00827476" w:rsidP="0056063C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№ диапазона</w:t>
            </w:r>
          </w:p>
        </w:tc>
        <w:tc>
          <w:tcPr>
            <w:tcW w:w="2234" w:type="dxa"/>
            <w:vAlign w:val="center"/>
          </w:tcPr>
          <w:p w:rsidR="00827476" w:rsidRPr="008C7A99" w:rsidRDefault="00827476" w:rsidP="004A682E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Диапазон радиочастот</w:t>
            </w:r>
          </w:p>
        </w:tc>
        <w:tc>
          <w:tcPr>
            <w:tcW w:w="1418" w:type="dxa"/>
            <w:vAlign w:val="center"/>
          </w:tcPr>
          <w:p w:rsidR="00827476" w:rsidRPr="008C7A99" w:rsidRDefault="00827476" w:rsidP="004A682E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Границы диапазона</w:t>
            </w:r>
          </w:p>
        </w:tc>
        <w:tc>
          <w:tcPr>
            <w:tcW w:w="1842" w:type="dxa"/>
            <w:vAlign w:val="center"/>
          </w:tcPr>
          <w:p w:rsidR="00827476" w:rsidRPr="008C7A99" w:rsidRDefault="00827476" w:rsidP="004A682E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Диапазон радиоволн</w:t>
            </w:r>
          </w:p>
        </w:tc>
        <w:tc>
          <w:tcPr>
            <w:tcW w:w="1560" w:type="dxa"/>
            <w:vAlign w:val="center"/>
          </w:tcPr>
          <w:p w:rsidR="00827476" w:rsidRPr="008C7A99" w:rsidRDefault="00827476" w:rsidP="004A682E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Границы диапазона</w:t>
            </w:r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Крайне низкие, КНЧ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3-30 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Декамегаметровые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100-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10 мм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Сверхнизкие, СНЧ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30-300 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Мегаметровые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10-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 мм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Инфракрасные, ИНЧ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0,3-3 кГц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Гектокилометровые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1000-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100 км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Очень низкие, ОНЧ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3-30 кГц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Мириаметровые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100-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10 км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Низкие частоты, НЧ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30-300 кГц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Километровые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10-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 км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Средние, СЧ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0,3-3 МГц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Гектометровые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1-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0,1 км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Высокие частоты, ВЧ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3-30 МГц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Декаметровые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100-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10 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Очень высокие, ОВЧ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30-300 МГц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10-</w:t>
            </w:r>
            <w:smartTag w:uri="urn:schemas-microsoft-com:office:smarttags" w:element="metricconverter">
              <w:smartTagPr>
                <w:attr w:name="ProductID" w:val="1 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 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Ультравысокие, УВЧ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0,3-3 ГГц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Дециметровые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1-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0,1 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Сверхвысокие, СВЧ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3-30 ГГц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Сантиметровые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10-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 см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Крайне высокие, КВЧ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30-300 ГГц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Миллиметровые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10-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1 мм</w:t>
              </w:r>
            </w:smartTag>
          </w:p>
        </w:tc>
      </w:tr>
      <w:tr w:rsidR="0056063C" w:rsidRPr="008C7A99" w:rsidTr="00471C63">
        <w:tc>
          <w:tcPr>
            <w:tcW w:w="131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12</w:t>
            </w:r>
          </w:p>
        </w:tc>
        <w:tc>
          <w:tcPr>
            <w:tcW w:w="2234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Гипервысокие, ГВЧ</w:t>
            </w:r>
          </w:p>
        </w:tc>
        <w:tc>
          <w:tcPr>
            <w:tcW w:w="1418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300-3000 ГГц</w:t>
            </w:r>
          </w:p>
        </w:tc>
        <w:tc>
          <w:tcPr>
            <w:tcW w:w="1842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Децимиллиметровые</w:t>
            </w:r>
          </w:p>
        </w:tc>
        <w:tc>
          <w:tcPr>
            <w:tcW w:w="1560" w:type="dxa"/>
          </w:tcPr>
          <w:p w:rsidR="00827476" w:rsidRPr="008C7A99" w:rsidRDefault="00827476" w:rsidP="004A682E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1-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8C7A99">
                <w:rPr>
                  <w:rStyle w:val="FontStyle25"/>
                  <w:rFonts w:ascii="Times New Roman" w:hAnsi="Times New Roman" w:cs="Times New Roman"/>
                  <w:b w:val="0"/>
                  <w:sz w:val="20"/>
                </w:rPr>
                <w:t>0,1 мм</w:t>
              </w:r>
            </w:smartTag>
          </w:p>
        </w:tc>
      </w:tr>
    </w:tbl>
    <w:p w:rsid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41B25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Особенностью ЭМП является его деление на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«ближнюю»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и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«дальнюю»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зоны. На практике в «ближней» зоне -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зоне индукции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на расстоянии от источника г &lt;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К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ЭМП можно считать квазистатическим. Здесь оно быстро убывает с расстоянием, обратно пропорционально квадрату г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или кубу г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 xml:space="preserve">3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расстояния. Поле в зоне индукции служит для формирования электромагнитной волны. «Дальняя» зона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- зона сформировавшейся электромагнитной волны, в которой интенсивность поля убывает обратно пропорционально расстоянию до источника г'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1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. Граница «ближней» и «дальней» зоны представлена на рис. 3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41B25" w:rsidRPr="008C7A99" w:rsidRDefault="00BE422D" w:rsidP="008C7A9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8" type="#_x0000_t75" style="width:204.75pt;height:114.75pt">
            <v:imagedata r:id="rId9" o:title=""/>
          </v:shape>
        </w:pict>
      </w:r>
    </w:p>
    <w:p w:rsidR="00841B25" w:rsidRPr="008C7A99" w:rsidRDefault="008C7A99" w:rsidP="008C7A99">
      <w:pPr>
        <w:spacing w:line="360" w:lineRule="auto"/>
        <w:ind w:firstLine="709"/>
        <w:jc w:val="both"/>
        <w:rPr>
          <w:rStyle w:val="FontStyle23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szCs w:val="20"/>
        </w:rPr>
        <w:br w:type="page"/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Согласно теории ЭМП «ближняя»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находится на расстоянии</w:t>
      </w:r>
      <w:r w:rsidR="00BE422D">
        <w:rPr>
          <w:rStyle w:val="FontStyle23"/>
          <w:rFonts w:ascii="Times New Roman" w:hAnsi="Times New Roman" w:cs="Times New Roman"/>
          <w:color w:val="000000"/>
          <w:position w:val="-44"/>
          <w:sz w:val="28"/>
        </w:rPr>
        <w:pict>
          <v:shape id="_x0000_i1029" type="#_x0000_t75" style="width:78pt;height:39.75pt">
            <v:imagedata r:id="rId10" o:title=""/>
          </v:shape>
        </w:pic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, где</w:t>
      </w:r>
      <w:r w:rsidR="00BE422D">
        <w:rPr>
          <w:rStyle w:val="FontStyle23"/>
          <w:rFonts w:ascii="Times New Roman" w:hAnsi="Times New Roman" w:cs="Times New Roman"/>
          <w:color w:val="000000"/>
          <w:position w:val="-11"/>
          <w:sz w:val="28"/>
        </w:rPr>
        <w:pict>
          <v:shape id="_x0000_i1030" type="#_x0000_t75" style="width:15pt;height:27pt">
            <v:imagedata r:id="rId11" o:title=""/>
          </v:shape>
        </w:pic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- длина волны и определяется из соотношения</w:t>
      </w:r>
    </w:p>
    <w:p w:rsidR="00841B25" w:rsidRPr="008C7A99" w:rsidRDefault="00BE422D" w:rsidP="008C7A99">
      <w:pPr>
        <w:pStyle w:val="Style14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position w:val="-15"/>
          <w:sz w:val="28"/>
        </w:rPr>
        <w:pict>
          <v:shape id="_x0000_i1031" type="#_x0000_t75" style="width:52.5pt;height:23.25pt">
            <v:imagedata r:id="rId12" o:title=""/>
          </v:shape>
        </w:pic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, где </w:t>
      </w:r>
      <w:r w:rsidR="00841B25"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с </w: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- скорость распространения волны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="00841B25" w:rsidRPr="008C7A99">
        <w:rPr>
          <w:rStyle w:val="FontStyle21"/>
          <w:rFonts w:ascii="Times New Roman" w:hAnsi="Times New Roman" w:cs="Times New Roman"/>
          <w:color w:val="000000"/>
          <w:sz w:val="28"/>
          <w:lang w:val="en-US"/>
        </w:rPr>
        <w:t>f</w:t>
      </w:r>
      <w:r w:rsidR="00841B25"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- </w: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частота электромагнитных колебаний. «Дальняя» зона, или зона </w:t>
      </w:r>
      <w:r w:rsidR="00841B25" w:rsidRPr="008C7A99">
        <w:rPr>
          <w:rStyle w:val="FontStyle21"/>
          <w:rFonts w:ascii="Times New Roman" w:hAnsi="Times New Roman" w:cs="Times New Roman"/>
          <w:color w:val="000000"/>
          <w:sz w:val="28"/>
        </w:rPr>
        <w:t>распространения</w:t>
      </w:r>
      <w:r w:rsidR="00CB6525"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</w: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находится на расстоянии</w:t>
      </w:r>
      <w:r>
        <w:rPr>
          <w:rStyle w:val="FontStyle23"/>
          <w:rFonts w:ascii="Times New Roman" w:hAnsi="Times New Roman" w:cs="Times New Roman"/>
          <w:color w:val="000000"/>
          <w:position w:val="-5"/>
          <w:sz w:val="28"/>
        </w:rPr>
        <w:pict>
          <v:shape id="_x0000_i1032" type="#_x0000_t75" style="width:45.75pt;height:17.25pt">
            <v:imagedata r:id="rId13" o:title=""/>
          </v:shape>
        </w:pic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зоне индукции еще не сформировалась бегущая волна, вследствие чего Е и Н не зависят друг от друга, поэтому нормирование в этой зоне ведется как по электрической, так и по магнитной составляющей поля. Это характерно для ВЧ-диапазона. В зоне излучения ЭМП характеризуется электромагнитной волной, наиболее важным параметром которой является плотность потока мощности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«дальней» зоне излучения принимается Е = 377Н, где 377 - волновое сопротивление вакуума, Ом. В российской практике санитарно-гигиенического надзора на частотах выше 300 Мгц в «дальней» зоне излучения обычно измеряется плотность потока электромагнитной энергии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или плотность потока мощности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S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, Вт/м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. За рубежом ППЭ обычно измеряется для частот выше 1 ГГц. ППЭ характеризует величину энергии, теряемой системой за единицу времени вследствие излучения электромагнитных волн.</w:t>
      </w: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  <w:r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>2. Природные</w:t>
      </w:r>
      <w:r w:rsidR="00CB6525"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>источники ЭМП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Природные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источники ЭМП делятся на 2 группы. Первая - поле Земли: постоянное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магнитное поле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Процессы в магнитосфере вызывают колебания геомагнитного поля в широком диапазоне частот: от 10"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5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до 10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Гц, амплитуда может достигать сотых долей А/м. Вторая - радиоволны, генерируемые космическими источниками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В силу относительно низкого уровня излучения от космических радиоисточников и нерегулярного характера воздействия их суммарный эффект поражения биообъектов незначителен.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Человеческое тело также излучает ЭМП с частотой выше 300 ГГц с плотностью потока энергии порядка 0,003 Вт/м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. Если общая площадь поверхности среднего человеческого тела </w:t>
      </w:r>
      <w:smartTag w:uri="urn:schemas-microsoft-com:office:smarttags" w:element="metricconverter">
        <w:smartTagPr>
          <w:attr w:name="ProductID" w:val="1,8 м2"/>
        </w:smartTagPr>
        <w:r w:rsidRPr="008C7A99">
          <w:rPr>
            <w:rStyle w:val="FontStyle23"/>
            <w:rFonts w:ascii="Times New Roman" w:hAnsi="Times New Roman" w:cs="Times New Roman"/>
            <w:color w:val="000000"/>
            <w:sz w:val="28"/>
          </w:rPr>
          <w:t>1,8 м</w:t>
        </w:r>
        <w:r w:rsidRPr="008C7A99">
          <w:rPr>
            <w:rStyle w:val="FontStyle23"/>
            <w:rFonts w:ascii="Times New Roman" w:hAnsi="Times New Roman" w:cs="Times New Roman"/>
            <w:color w:val="000000"/>
            <w:sz w:val="28"/>
            <w:vertAlign w:val="superscript"/>
          </w:rPr>
          <w:t>2</w:t>
        </w:r>
      </w:smartTag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, то общая излучаемая энергия составляет примерно 0,0054 Вт.</w:t>
      </w: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  <w:r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>3. Антропогенные источники ЭМП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Антропогенные источники ЭМП в соответствии с международной классификацией также делятся на 2 группы. Первая - источники, </w:t>
      </w:r>
      <w:r w:rsidRPr="008C7A99">
        <w:rPr>
          <w:rStyle w:val="FontStyle20"/>
          <w:rFonts w:ascii="Times New Roman" w:hAnsi="Times New Roman" w:cs="Times New Roman"/>
          <w:b w:val="0"/>
          <w:color w:val="000000"/>
          <w:spacing w:val="0"/>
          <w:sz w:val="28"/>
        </w:rPr>
        <w:t>генерирую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щие крайне низкие и сверхнизкие частоты от 0 Гц до 3 кГц. Вторая - источники, генерирующие от 3 кГц до 300 ГГц, включая микроволны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диапазоне от 300 МГц до 300 ГГц.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К первой группе относятся в первую очередь все системы производства, передачи и распределения электроэнергии.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Источником электрических полей промышленной частоты являются, например, токоведущие части действующих электроустановок: линии электропередач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трансформаторные подстанции, электростанции, индукторы, конденсаторы термических установок, фидерные линии, генераторы, трансформаторы, электромагниты, соленоиды, электро- и кабельная проводки, металлокерамические магниты, офисная электро- и электронная техника, транспорт на электроприводе и др. В различных технологиях электромагнитная энергия высокочастотного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 сверхвысокочастотного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диапазонов в основном используется для процессов электротермии, то есть для нагрева материала в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самом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ЭМП. Данное направление является перспективным, так как оно обеспечивает большие скорости и качество обработки материалов, экологически и экономически эффективно. Это объясняется тем, что в ЭМП разогрев материала на атомном и молекулярном уровнях происходит во всем объеме сразу за счет электрических потерь, в то время как температура окружающей среды остается практически без изменения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Вторую группу составляют функциональные передатчики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различное технологическое оборудование, использующее СВЧ-излучение, переменные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 импульсные магнитные поля, медицинские терапевтические и диагностические установки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бытовое оборудование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средства визуального отображения информации на электронно-лучевых трубках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  <w:r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>4. Нормирование ЭМП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841B25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Применение новых технологических процессов и радиоэлектронных систем и устройств, излучающих электромагнитную энергию в окружающую среду, создает и ряд трудностей, связанных с отрицательным воздействием ЭМИ на организм человека. Установлено, что этот вид энергии воздействует на весь организм в целом, вызывая его перегрев под влиянием переменного поля, а также отрицательно влияет и на отдельные системы организма. Данные об условиях облучения на рабочих местах некоторых специальностей приведены в табл. 2.</w:t>
      </w:r>
    </w:p>
    <w:p w:rsidR="00827476" w:rsidRDefault="00827476" w:rsidP="00827476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27476" w:rsidRPr="00827476" w:rsidRDefault="00827476" w:rsidP="00827476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27476">
        <w:rPr>
          <w:rStyle w:val="FontStyle23"/>
          <w:rFonts w:ascii="Times New Roman" w:hAnsi="Times New Roman" w:cs="Times New Roman"/>
          <w:color w:val="000000"/>
          <w:sz w:val="28"/>
        </w:rPr>
        <w:t xml:space="preserve">Таблица 2. </w:t>
      </w:r>
      <w:r w:rsidRPr="00827476">
        <w:rPr>
          <w:rStyle w:val="FontStyle23"/>
          <w:rFonts w:ascii="Times New Roman" w:hAnsi="Times New Roman" w:cs="Times New Roman"/>
          <w:bCs/>
          <w:color w:val="000000"/>
          <w:sz w:val="28"/>
        </w:rPr>
        <w:t>Интенсивность ЭМИ на рабочих</w:t>
      </w:r>
      <w:r w:rsidRPr="00827476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27476">
        <w:rPr>
          <w:rStyle w:val="FontStyle23"/>
          <w:rFonts w:ascii="Times New Roman" w:hAnsi="Times New Roman" w:cs="Times New Roman"/>
          <w:bCs/>
          <w:color w:val="000000"/>
          <w:sz w:val="28"/>
        </w:rPr>
        <w:t>местах ряда специальностей</w:t>
      </w:r>
    </w:p>
    <w:tbl>
      <w:tblPr>
        <w:tblW w:w="8120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450"/>
      </w:tblGrid>
      <w:tr w:rsidR="00827476" w:rsidRPr="008C7A99" w:rsidTr="00471C63">
        <w:tc>
          <w:tcPr>
            <w:tcW w:w="2835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Производственный процесс</w:t>
            </w:r>
          </w:p>
        </w:tc>
        <w:tc>
          <w:tcPr>
            <w:tcW w:w="2835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Основные источники излучения</w:t>
            </w:r>
          </w:p>
        </w:tc>
        <w:tc>
          <w:tcPr>
            <w:tcW w:w="2450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Интенсивность облучения персонала, мкВт/см2</w:t>
            </w:r>
          </w:p>
        </w:tc>
      </w:tr>
      <w:tr w:rsidR="00827476" w:rsidRPr="008C7A99" w:rsidTr="00471C63"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 xml:space="preserve">Регулировка, настройка и испытание комплекса РЛС в выпускных цехах заводов </w:t>
            </w: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 xml:space="preserve">и 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ремонтных мастерских</w:t>
            </w:r>
          </w:p>
        </w:tc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Антенные системы</w:t>
            </w:r>
          </w:p>
        </w:tc>
        <w:tc>
          <w:tcPr>
            <w:tcW w:w="2450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1000 и более</w:t>
            </w:r>
          </w:p>
        </w:tc>
      </w:tr>
      <w:tr w:rsidR="00827476" w:rsidRPr="008C7A99" w:rsidTr="00471C63"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Регулировка, настройка и испытание комплекса РЛС в условиях полигона</w:t>
            </w:r>
          </w:p>
        </w:tc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Антенные системы</w:t>
            </w:r>
          </w:p>
        </w:tc>
        <w:tc>
          <w:tcPr>
            <w:tcW w:w="2450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500 и более</w:t>
            </w:r>
          </w:p>
        </w:tc>
      </w:tr>
      <w:tr w:rsidR="00827476" w:rsidRPr="008C7A99" w:rsidTr="00471C63"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Регулировка, настройка и испытание отдельных СВЧ-узлов, блоков и приборов</w:t>
            </w:r>
          </w:p>
        </w:tc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Катодные выводы маг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нетрона, волноводо-коак-сиальные переходы и др.</w:t>
            </w:r>
          </w:p>
        </w:tc>
        <w:tc>
          <w:tcPr>
            <w:tcW w:w="2450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до 1000</w:t>
            </w:r>
          </w:p>
        </w:tc>
      </w:tr>
      <w:tr w:rsidR="00827476" w:rsidRPr="008C7A99" w:rsidTr="00471C63"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Научно-исследовательские работы</w:t>
            </w:r>
          </w:p>
        </w:tc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Антенные устройства, генераторные блоки, СВЧ-приборы и др.</w:t>
            </w:r>
          </w:p>
        </w:tc>
        <w:tc>
          <w:tcPr>
            <w:tcW w:w="2450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до 1000</w:t>
            </w:r>
          </w:p>
        </w:tc>
      </w:tr>
      <w:tr w:rsidR="00827476" w:rsidRPr="008C7A99" w:rsidTr="00471C63"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Эксплуатация РЛС на аэ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родромах гражданской авиа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ции</w:t>
            </w:r>
          </w:p>
        </w:tc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Антенные системы</w:t>
            </w:r>
          </w:p>
        </w:tc>
        <w:tc>
          <w:tcPr>
            <w:tcW w:w="2450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100-1000</w:t>
            </w:r>
          </w:p>
        </w:tc>
      </w:tr>
      <w:tr w:rsidR="00827476" w:rsidRPr="008C7A99" w:rsidTr="00471C63"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Эксплуатация СВЧ-аппа-ратов в некоторых областях народного хозяйства, в том числе физиотерапевтические кабинеты</w:t>
            </w:r>
          </w:p>
        </w:tc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Разные антенные сис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темы, генераторные бло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ки, излучатели и др.</w:t>
            </w:r>
          </w:p>
        </w:tc>
        <w:tc>
          <w:tcPr>
            <w:tcW w:w="2450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1-2000</w:t>
            </w:r>
          </w:p>
        </w:tc>
      </w:tr>
      <w:tr w:rsidR="00827476" w:rsidRPr="008C7A99" w:rsidTr="00471C63"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Контрольно-измерительные работы в экранированных по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мещениях</w:t>
            </w:r>
          </w:p>
        </w:tc>
        <w:tc>
          <w:tcPr>
            <w:tcW w:w="283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Генераторные блоки, разные антенные систе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мы</w:t>
            </w:r>
          </w:p>
        </w:tc>
        <w:tc>
          <w:tcPr>
            <w:tcW w:w="2450" w:type="dxa"/>
          </w:tcPr>
          <w:p w:rsidR="00827476" w:rsidRPr="008C7A99" w:rsidRDefault="00827476" w:rsidP="00827476">
            <w:pPr>
              <w:pStyle w:val="Style12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5-50 (сложные ЭМП)</w:t>
            </w:r>
          </w:p>
        </w:tc>
      </w:tr>
    </w:tbl>
    <w:p w:rsidR="00827476" w:rsidRDefault="00827476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Нормирование ЭМИ проводится в соответствии с нормативными документами и справочными данными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В табл. 3 приведены значения допустимой напряженности Е и Н и энергетической нагрузки электромагнитного поля на рабочих местах и в местах возможного нахождения персонала, связанного профессиональное воздействием ЭМП. Указанные значения не должны превышаться в течение рабочего дня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Default="00841B25" w:rsidP="00827476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Так, напряженность ЭМП радиочастот на рабочих местах не должна превышать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по электрической составляющей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20 В/м в диапазоне частот 100 кГц - 30 МГц и при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f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= 30-300 МГц;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по магнитной составляющей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предельная напряженность Н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bscript"/>
        </w:rPr>
        <w:t>пред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= 5 А/м при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f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= 100 кГц - 1,5 МГц. В диапазоне СВЧ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f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= 300-300000 МГц допустимая плотность потока мощности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при длительности облучения т</w:t>
      </w:r>
      <w:r w:rsidRPr="008C7A99">
        <w:rPr>
          <w:rStyle w:val="FontStyle29"/>
          <w:rFonts w:ascii="Times New Roman" w:hAnsi="Times New Roman" w:cs="Times New Roman"/>
          <w:color w:val="000000"/>
          <w:vertAlign w:val="subscript"/>
        </w:rPr>
        <w:t>0</w:t>
      </w:r>
      <w:r w:rsidRPr="008C7A99">
        <w:rPr>
          <w:rStyle w:val="FontStyle29"/>
          <w:rFonts w:ascii="Times New Roman" w:hAnsi="Times New Roman" w:cs="Times New Roman"/>
          <w:color w:val="000000"/>
        </w:rPr>
        <w:t xml:space="preserve">бл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течение всего рабочего дня составляет 10 мкВт/см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; при </w:t>
      </w:r>
      <w:r w:rsidRPr="008C7A99">
        <w:rPr>
          <w:rStyle w:val="FontStyle25"/>
          <w:rFonts w:ascii="Times New Roman" w:hAnsi="Times New Roman" w:cs="Times New Roman"/>
          <w:color w:val="000000"/>
          <w:sz w:val="28"/>
        </w:rPr>
        <w:t>5</w:t>
      </w:r>
      <w:r w:rsidRPr="008C7A99">
        <w:rPr>
          <w:rStyle w:val="FontStyle29"/>
          <w:rFonts w:ascii="Times New Roman" w:hAnsi="Times New Roman" w:cs="Times New Roman"/>
          <w:color w:val="000000"/>
          <w:vertAlign w:val="subscript"/>
        </w:rPr>
        <w:t>0</w:t>
      </w:r>
      <w:r w:rsidRPr="008C7A99">
        <w:rPr>
          <w:rStyle w:val="FontStyle29"/>
          <w:rFonts w:ascii="Times New Roman" w:hAnsi="Times New Roman" w:cs="Times New Roman"/>
          <w:color w:val="000000"/>
        </w:rPr>
        <w:t xml:space="preserve">бл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= 2 ч - 100 мкВт/см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; при т</w:t>
      </w:r>
      <w:r w:rsidRPr="008C7A99">
        <w:rPr>
          <w:rStyle w:val="FontStyle29"/>
          <w:rFonts w:ascii="Times New Roman" w:hAnsi="Times New Roman" w:cs="Times New Roman"/>
          <w:color w:val="000000"/>
          <w:vertAlign w:val="subscript"/>
        </w:rPr>
        <w:t>0</w:t>
      </w:r>
      <w:r w:rsidRPr="008C7A99">
        <w:rPr>
          <w:rStyle w:val="FontStyle29"/>
          <w:rFonts w:ascii="Times New Roman" w:hAnsi="Times New Roman" w:cs="Times New Roman"/>
          <w:color w:val="000000"/>
        </w:rPr>
        <w:t xml:space="preserve">бл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= 15-20 мин - 1000 мкВт/см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27476" w:rsidRDefault="00827476" w:rsidP="00827476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27476" w:rsidRPr="00471C63" w:rsidRDefault="0056063C" w:rsidP="00827476">
      <w:pPr>
        <w:pStyle w:val="Style9"/>
        <w:widowControl/>
        <w:spacing w:line="374" w:lineRule="exact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471C63">
        <w:rPr>
          <w:rStyle w:val="FontStyle23"/>
          <w:rFonts w:ascii="Times New Roman" w:hAnsi="Times New Roman" w:cs="Times New Roman"/>
          <w:color w:val="000000"/>
          <w:sz w:val="28"/>
        </w:rPr>
        <w:t xml:space="preserve">Таблица 3. </w:t>
      </w:r>
      <w:r w:rsidR="00827476" w:rsidRPr="00471C63">
        <w:rPr>
          <w:rStyle w:val="FontStyle23"/>
          <w:rFonts w:ascii="Times New Roman" w:hAnsi="Times New Roman" w:cs="Times New Roman"/>
          <w:color w:val="000000"/>
          <w:sz w:val="28"/>
        </w:rPr>
        <w:t xml:space="preserve">т </w:t>
      </w:r>
      <w:r w:rsidR="00827476" w:rsidRPr="00827476">
        <w:rPr>
          <w:rStyle w:val="FontStyle23"/>
          <w:rFonts w:ascii="Times New Roman" w:hAnsi="Times New Roman" w:cs="Times New Roman"/>
          <w:color w:val="000000"/>
          <w:sz w:val="28"/>
        </w:rPr>
        <w:t>не</w:t>
      </w:r>
      <w:r w:rsidR="00827476" w:rsidRPr="00471C63">
        <w:rPr>
          <w:rStyle w:val="FontStyle23"/>
          <w:rFonts w:ascii="Times New Roman" w:hAnsi="Times New Roman" w:cs="Times New Roman"/>
          <w:color w:val="000000"/>
          <w:sz w:val="28"/>
        </w:rPr>
        <w:t>предельно допустимые уровни напряженности и энергетической нафузки ЭМП, мкВт/см2</w:t>
      </w:r>
    </w:p>
    <w:tbl>
      <w:tblPr>
        <w:tblW w:w="8887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6"/>
        <w:gridCol w:w="1418"/>
        <w:gridCol w:w="1134"/>
        <w:gridCol w:w="1134"/>
        <w:gridCol w:w="3685"/>
      </w:tblGrid>
      <w:tr w:rsidR="00827476" w:rsidRPr="008C7A99" w:rsidTr="00471C63">
        <w:tc>
          <w:tcPr>
            <w:tcW w:w="1516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Диапазон частот, МГц</w:t>
            </w:r>
          </w:p>
        </w:tc>
        <w:tc>
          <w:tcPr>
            <w:tcW w:w="2552" w:type="dxa"/>
            <w:gridSpan w:val="2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Допустимая напряженность поля</w:t>
            </w:r>
          </w:p>
        </w:tc>
        <w:tc>
          <w:tcPr>
            <w:tcW w:w="1134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Нормативная энергети</w:t>
            </w: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softHyphen/>
              <w:t>ческая нагрузка, Втч/м2 (мкВтч/см2)</w:t>
            </w:r>
          </w:p>
        </w:tc>
        <w:tc>
          <w:tcPr>
            <w:tcW w:w="3685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Дополнения</w:t>
            </w:r>
          </w:p>
        </w:tc>
      </w:tr>
      <w:tr w:rsidR="00827476" w:rsidRPr="008C7A99" w:rsidTr="00471C63">
        <w:tc>
          <w:tcPr>
            <w:tcW w:w="1516" w:type="dxa"/>
            <w:vAlign w:val="center"/>
          </w:tcPr>
          <w:p w:rsidR="00827476" w:rsidRPr="008C7A99" w:rsidRDefault="00827476" w:rsidP="00827476">
            <w:pPr>
              <w:spacing w:line="360" w:lineRule="auto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</w:p>
          <w:p w:rsidR="00827476" w:rsidRPr="008C7A99" w:rsidRDefault="00827476" w:rsidP="00827476">
            <w:pPr>
              <w:spacing w:line="360" w:lineRule="auto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</w:p>
        </w:tc>
        <w:tc>
          <w:tcPr>
            <w:tcW w:w="1418" w:type="dxa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электричес</w:t>
            </w: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softHyphen/>
              <w:t>кая, Вт/м</w:t>
            </w: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 xml:space="preserve">магнитная, 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А</w:t>
            </w:r>
            <w:r w:rsidRPr="008C7A99"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  <w:t>/м</w:t>
            </w:r>
          </w:p>
        </w:tc>
        <w:tc>
          <w:tcPr>
            <w:tcW w:w="1134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</w:p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</w:p>
          <w:p w:rsidR="00827476" w:rsidRPr="008C7A99" w:rsidRDefault="00827476" w:rsidP="00827476">
            <w:pPr>
              <w:pStyle w:val="Style10"/>
              <w:spacing w:line="360" w:lineRule="auto"/>
              <w:jc w:val="left"/>
              <w:outlineLvl w:val="0"/>
              <w:rPr>
                <w:rStyle w:val="FontStyle24"/>
                <w:rFonts w:ascii="Times New Roman" w:hAnsi="Times New Roman" w:cs="Times New Roman"/>
                <w:b w:val="0"/>
                <w:spacing w:val="0"/>
                <w:sz w:val="20"/>
              </w:rPr>
            </w:pPr>
          </w:p>
        </w:tc>
      </w:tr>
      <w:tr w:rsidR="00827476" w:rsidRPr="008C7A99" w:rsidTr="00471C63">
        <w:tc>
          <w:tcPr>
            <w:tcW w:w="1516" w:type="dxa"/>
          </w:tcPr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6х10'2-3 3-30 30-50 50-300 6х10"2-1,5 30-50</w:t>
            </w:r>
          </w:p>
        </w:tc>
        <w:tc>
          <w:tcPr>
            <w:tcW w:w="1418" w:type="dxa"/>
          </w:tcPr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50 20 10 5</w:t>
            </w: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5</w:t>
            </w:r>
          </w:p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5"/>
              <w:spacing w:line="360" w:lineRule="auto"/>
              <w:outlineLvl w:val="0"/>
              <w:rPr>
                <w:rStyle w:val="FontStyle28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8"/>
                <w:rFonts w:ascii="Times New Roman" w:hAnsi="Times New Roman" w:cs="Times New Roman"/>
                <w:b w:val="0"/>
                <w:sz w:val="20"/>
              </w:rPr>
              <w:t>—</w:t>
            </w:r>
          </w:p>
        </w:tc>
        <w:tc>
          <w:tcPr>
            <w:tcW w:w="368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Допускается превыше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 xml:space="preserve">ние уровней в два раза при времени воздействия не более </w:t>
            </w: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 xml:space="preserve">0,5 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рабочего дня</w:t>
            </w:r>
          </w:p>
        </w:tc>
      </w:tr>
      <w:tr w:rsidR="00827476" w:rsidRPr="008C7A99" w:rsidTr="00471C63">
        <w:tc>
          <w:tcPr>
            <w:tcW w:w="1516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2 (200)</w:t>
            </w:r>
          </w:p>
        </w:tc>
        <w:tc>
          <w:tcPr>
            <w:tcW w:w="368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Кроме случаев облуче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ния от вращающихся и сканирующих антенн.</w:t>
            </w:r>
          </w:p>
        </w:tc>
      </w:tr>
      <w:tr w:rsidR="00827476" w:rsidRPr="008C7A99" w:rsidTr="00471C63">
        <w:tc>
          <w:tcPr>
            <w:tcW w:w="1516" w:type="dxa"/>
          </w:tcPr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300-3x1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О5</w:t>
            </w:r>
          </w:p>
        </w:tc>
        <w:tc>
          <w:tcPr>
            <w:tcW w:w="1418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20 (2000)</w:t>
            </w:r>
          </w:p>
        </w:tc>
        <w:tc>
          <w:tcPr>
            <w:tcW w:w="368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Облучение от вращаю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щихся и сканирующих ан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 xml:space="preserve">тенн с частотой </w:t>
            </w: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 xml:space="preserve">1 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 xml:space="preserve">Гц и скважностью не менее </w:t>
            </w: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50.</w:t>
            </w:r>
          </w:p>
        </w:tc>
      </w:tr>
      <w:tr w:rsidR="00827476" w:rsidRPr="008C7A99" w:rsidTr="00471C63">
        <w:tc>
          <w:tcPr>
            <w:tcW w:w="1516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"/>
              <w:spacing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27476" w:rsidRPr="008C7A99" w:rsidRDefault="00827476" w:rsidP="00827476">
            <w:pPr>
              <w:pStyle w:val="Style16"/>
              <w:spacing w:line="360" w:lineRule="auto"/>
              <w:jc w:val="left"/>
              <w:outlineLvl w:val="0"/>
              <w:rPr>
                <w:rStyle w:val="FontStyle27"/>
                <w:rFonts w:ascii="Times New Roman" w:hAnsi="Times New Roman" w:cs="Times New Roman"/>
                <w:sz w:val="20"/>
              </w:rPr>
            </w:pPr>
            <w:r w:rsidRPr="008C7A99">
              <w:rPr>
                <w:rStyle w:val="FontStyle27"/>
                <w:rFonts w:ascii="Times New Roman" w:hAnsi="Times New Roman" w:cs="Times New Roman"/>
                <w:sz w:val="20"/>
              </w:rPr>
              <w:t>20 (2000)</w:t>
            </w:r>
          </w:p>
        </w:tc>
        <w:tc>
          <w:tcPr>
            <w:tcW w:w="3685" w:type="dxa"/>
          </w:tcPr>
          <w:p w:rsidR="00827476" w:rsidRPr="008C7A99" w:rsidRDefault="00827476" w:rsidP="00827476">
            <w:pPr>
              <w:pStyle w:val="Style11"/>
              <w:spacing w:line="360" w:lineRule="auto"/>
              <w:ind w:firstLine="0"/>
              <w:jc w:val="left"/>
              <w:outlineLvl w:val="0"/>
              <w:rPr>
                <w:rStyle w:val="FontStyle25"/>
                <w:rFonts w:ascii="Times New Roman" w:hAnsi="Times New Roman" w:cs="Times New Roman"/>
                <w:b w:val="0"/>
                <w:sz w:val="20"/>
              </w:rPr>
            </w:pP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>Последовательное или одновременное облуче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ние в непрерывном или прерывистом (от вра</w:t>
            </w:r>
            <w:r w:rsidRPr="008C7A99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softHyphen/>
              <w:t>щающихся и сканирующих антенн) режимах.</w:t>
            </w:r>
          </w:p>
        </w:tc>
      </w:tr>
    </w:tbl>
    <w:p w:rsidR="008C7A99" w:rsidRPr="00827476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остальное рабочее время интенсивность облучения не должна превышать 10 мк Вт/см2.</w:t>
      </w: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случае непрерывного облучения от вращающихся и сканирующих ан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softHyphen/>
        <w:t>тенн ПДУ облучения составляет 100 мкВт/см2 при воздействии в течение 8 часов и 1000 мкВт/см2 при облучении до 2 ч/сут.</w:t>
      </w: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Для лиц, </w:t>
      </w:r>
      <w:r w:rsidRPr="008C7A99">
        <w:rPr>
          <w:rStyle w:val="FontStyle23"/>
          <w:rFonts w:ascii="Times New Roman" w:hAnsi="Times New Roman" w:cs="Times New Roman"/>
          <w:i/>
          <w:iCs/>
          <w:color w:val="000000"/>
          <w:sz w:val="28"/>
        </w:rPr>
        <w:t xml:space="preserve">профессионально не связанных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с облучением, и для населе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softHyphen/>
        <w:t>ния в целом ППМ не должен превышать 1 мкВт/см2.</w:t>
      </w: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b/>
          <w:bCs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b/>
          <w:bCs/>
          <w:color w:val="000000"/>
          <w:sz w:val="28"/>
        </w:rPr>
        <w:t>5. Основные виды средств коллективной и индивидуальной защиты от ЭМП</w:t>
      </w:r>
    </w:p>
    <w:p w:rsidR="008C7A99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41B25" w:rsidRPr="008C7A99" w:rsidRDefault="008C7A99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зависимости от условий воздействия ЭМП, характера и местонахож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softHyphen/>
        <w:t>дения источника излучения могут быть использованы следующие способы и методы защиты: защита временем и расстоянием, снижение интенсивно</w:t>
      </w:r>
      <w:r w:rsidR="00841B25" w:rsidRPr="008C7A99">
        <w:rPr>
          <w:rStyle w:val="FontStyle23"/>
          <w:rFonts w:ascii="Times New Roman" w:hAnsi="Times New Roman" w:cs="Times New Roman"/>
          <w:color w:val="000000"/>
          <w:sz w:val="28"/>
        </w:rPr>
        <w:t>сти излучения источника, экранирование источника, защита рабочего места от излучения, применение средств индивидуальной защиты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7"/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Защита временем</w:t>
      </w:r>
    </w:p>
    <w:p w:rsidR="00841B25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Способ применяется в тех случаях, когда отсутствует возможность уменьшить напряженность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ЭМП до ПДУ. Допустимое время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определяется как</w:t>
      </w:r>
    </w:p>
    <w:p w:rsidR="00471C63" w:rsidRPr="008C7A99" w:rsidRDefault="00471C63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41B25" w:rsidRPr="008C7A99" w:rsidRDefault="00BE422D" w:rsidP="008C7A99">
      <w:pPr>
        <w:pStyle w:val="Style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3" type="#_x0000_t75" style="width:150.75pt;height:28.5pt">
            <v:imagedata r:id="rId14" o:title=""/>
          </v:shape>
        </w:pict>
      </w:r>
    </w:p>
    <w:p w:rsidR="008C7A99" w:rsidRDefault="008C7A99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41B25" w:rsidRPr="008C7A99" w:rsidRDefault="00841B25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где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  <w:lang w:val="en-US"/>
        </w:rPr>
        <w:t>th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  <w:vertAlign w:val="superscript"/>
        </w:rPr>
        <w:t>1,2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- гиперболический тангенс.</w:t>
      </w:r>
    </w:p>
    <w:p w:rsidR="00841B25" w:rsidRPr="008C7A99" w:rsidRDefault="00841B25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Защита расстоянием</w:t>
      </w:r>
      <w:r w:rsidR="00CB6525" w:rsidRPr="008C7A99">
        <w:rPr>
          <w:rStyle w:val="FontStyle21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Способ используется, если нельзя снизить интенсивность облучения другими методами. Является наиболее эффективным.</w:t>
      </w:r>
    </w:p>
    <w:p w:rsidR="00841B25" w:rsidRPr="008C7A99" w:rsidRDefault="00841B25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Для диапазона ДВ, СВ,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KB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и УКВ расстояние определяется как</w:t>
      </w:r>
    </w:p>
    <w:p w:rsidR="0056063C" w:rsidRDefault="0056063C" w:rsidP="008C7A99">
      <w:pPr>
        <w:pStyle w:val="Style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BE422D" w:rsidP="008C7A99">
      <w:pPr>
        <w:pStyle w:val="Style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4" type="#_x0000_t75" style="width:138pt;height:36.75pt">
            <v:imagedata r:id="rId15" o:title=""/>
          </v:shape>
        </w:pict>
      </w:r>
    </w:p>
    <w:p w:rsidR="008C7A99" w:rsidRDefault="008C7A99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</w:p>
    <w:p w:rsidR="00841B25" w:rsidRPr="008C7A99" w:rsidRDefault="00841B25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где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р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средняя выходная мощность, Вт;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G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- коэффициент направленности антенны;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Е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  <w:vertAlign w:val="subscript"/>
        </w:rPr>
        <w:t>доп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,_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допустимая напряженность электрического поля, В/м.</w:t>
      </w:r>
    </w:p>
    <w:p w:rsidR="00841B25" w:rsidRPr="008C7A99" w:rsidRDefault="00841B25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Для диапазона СВЧ</w:t>
      </w:r>
    </w:p>
    <w:p w:rsidR="00841B25" w:rsidRPr="008C7A99" w:rsidRDefault="00841B25" w:rsidP="008C7A99">
      <w:pPr>
        <w:pStyle w:val="Style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BE422D" w:rsidP="008C7A99">
      <w:pPr>
        <w:pStyle w:val="Style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5" type="#_x0000_t75" style="width:150pt;height:33pt">
            <v:imagedata r:id="rId16" o:title=""/>
          </v:shape>
        </w:pict>
      </w:r>
    </w:p>
    <w:p w:rsidR="00841B25" w:rsidRPr="008C7A99" w:rsidRDefault="00841B25" w:rsidP="008C7A99">
      <w:pPr>
        <w:pStyle w:val="Style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7"/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Метод уменьшения мощности излучения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Осуществляется непосредственной регулировкой передатчика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;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его заменой на менее мощный применением специальных устройств - аттенюаторов, которые поглощают, отражают или ослабляют передаваемую энергию на пути от генератора к антенне.</w:t>
      </w:r>
    </w:p>
    <w:p w:rsidR="00841B25" w:rsidRPr="008C7A99" w:rsidRDefault="00841B25" w:rsidP="008C7A99">
      <w:pPr>
        <w:pStyle w:val="Style7"/>
        <w:spacing w:line="360" w:lineRule="auto"/>
        <w:ind w:firstLine="709"/>
        <w:jc w:val="both"/>
        <w:rPr>
          <w:rStyle w:val="FontStyle21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Способы экранирования источника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Основными видами средств коллективной защиты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являются экранирующие устройства - составные части электрической установки, предназначенные для защиты персонала в открытых распределительных устройствах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 на воздушных линиях электропередач.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Конструктивно экранирующие устройства оформляются в виде козырьков, навесов или перегородок из металлических канатов, прутков, сеток или пластин из резины. Экранирующие устройства должны иметь антикоррозионное покрытие и быть заземлены.</w:t>
      </w:r>
    </w:p>
    <w:p w:rsidR="00841B25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  <w:lang w:val="en-US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Экраны бывают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поглощающие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или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отражающие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электромагнитную энергию. Выбор конструкции экранов зависит от характера технологического процесса, мощности источника и диапазона волн. Коэффициент экранирования равен</w:t>
      </w:r>
    </w:p>
    <w:p w:rsidR="0056063C" w:rsidRDefault="0056063C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41B25" w:rsidRPr="008C7A99" w:rsidRDefault="00BE422D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6" type="#_x0000_t75" style="width:68.25pt;height:23.25pt">
            <v:imagedata r:id="rId17" o:title=""/>
          </v:shape>
        </w:pict>
      </w:r>
    </w:p>
    <w:p w:rsidR="00841B25" w:rsidRPr="008C7A99" w:rsidRDefault="00841B25" w:rsidP="008C7A99">
      <w:pPr>
        <w:pStyle w:val="Style8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8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где</w:t>
      </w:r>
      <w:r w:rsidR="00BE422D">
        <w:rPr>
          <w:rStyle w:val="FontStyle23"/>
          <w:rFonts w:ascii="Times New Roman" w:hAnsi="Times New Roman" w:cs="Times New Roman"/>
          <w:color w:val="000000"/>
          <w:position w:val="-39"/>
          <w:sz w:val="28"/>
        </w:rPr>
        <w:pict>
          <v:shape id="_x0000_i1037" type="#_x0000_t75" style="width:67.5pt;height:38.25pt">
            <v:imagedata r:id="rId18" o:title=""/>
          </v:shape>
        </w:pic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или</w:t>
      </w:r>
      <w:r w:rsidR="00BE422D">
        <w:rPr>
          <w:rStyle w:val="FontStyle23"/>
          <w:rFonts w:ascii="Times New Roman" w:hAnsi="Times New Roman" w:cs="Times New Roman"/>
          <w:color w:val="000000"/>
          <w:position w:val="-54"/>
          <w:sz w:val="28"/>
        </w:rPr>
        <w:pict>
          <v:shape id="_x0000_i1038" type="#_x0000_t75" style="width:64.5pt;height:42pt">
            <v:imagedata r:id="rId19" o:title=""/>
          </v:shape>
        </w:pic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эффективность экранирования;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Е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и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Н </w:t>
      </w:r>
      <w:r w:rsidR="00827476">
        <w:rPr>
          <w:rStyle w:val="FontStyle23"/>
          <w:rFonts w:ascii="Times New Roman" w:hAnsi="Times New Roman" w:cs="Times New Roman"/>
          <w:color w:val="000000"/>
          <w:sz w:val="28"/>
        </w:rPr>
        <w:t>–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без</w:t>
      </w:r>
      <w:r w:rsidR="00827476" w:rsidRPr="00827476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крана; Е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bscript"/>
        </w:rPr>
        <w:t>э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иН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bscript"/>
        </w:rPr>
        <w:t>э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-с экраном.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Наряду со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стационарными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и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переносными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экранирующими устройствами применяют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индивидуальные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экранирующие комплекты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В состав экранирующих комплектов входят: спецодежда из металлизированной ткани, средства защиты головы, рук и лица.</w:t>
      </w: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4"/>
        <w:spacing w:line="360" w:lineRule="auto"/>
        <w:ind w:firstLine="709"/>
        <w:jc w:val="both"/>
        <w:rPr>
          <w:rStyle w:val="FontStyle20"/>
          <w:rFonts w:ascii="Times New Roman" w:hAnsi="Times New Roman" w:cs="Times New Roman"/>
          <w:color w:val="000000"/>
          <w:spacing w:val="0"/>
          <w:sz w:val="28"/>
        </w:rPr>
      </w:pPr>
      <w:r w:rsidRPr="008C7A99">
        <w:rPr>
          <w:rStyle w:val="FontStyle20"/>
          <w:rFonts w:ascii="Times New Roman" w:hAnsi="Times New Roman" w:cs="Times New Roman"/>
          <w:color w:val="000000"/>
          <w:spacing w:val="0"/>
          <w:sz w:val="28"/>
        </w:rPr>
        <w:t>6. Безопасность лазерного излучения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Особое место среди источников ЭМИ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занимают лазерные установки. В промышленности применяются лазерные установки, работающие в диапазонах длин волн от ИК до рентгеновского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Лазерная технология, например, обработка материалов лазерным излучением, позволяет осуществлять сварку материалов, сверление, резку и т.д.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Благодаря своим уникальным свойствам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эти устройства также широко используются в научных исследованиях: в физике, химии, биологии и др. и в практической медицине: хирургия, офтальмология и др.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Лазер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- это генератор электромагнитного излучения оптического диапазона, основанный на использовании вынужденного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излучения. В нем происходит преобразование различных видов энергии в энергию лазерного излучения. Плотность мощности излучения лазерных установок достигает 10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11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-10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 xml:space="preserve">14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Вт/см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, а для испарения большинства материалов достаточно 10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э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Вт/см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. Для сравнения: плотность солнечного излучения 0,15-0,25 Вт/см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vertAlign w:val="superscript"/>
        </w:rPr>
        <w:t>2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. Поэтому серьезную опасность представляет не только прямое, но и диффузионно отраженное лазерное излучение. Проявляются и сопутствующие факторы: ЭМП, высокое напряжение, аэрозоли от возгона веществ в зоне действия луча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Существуют газовые лазеры, жидкостные и твердотельные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которые в свою очередь делятся на непрерывного и импульсного действия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Классификация лазеров по степени опасности генерируемого излучения, требования к конструкции лазерных установок и технологическим процессам с использованием таких установок приведены в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основу классификации лазеров положена степень опасности лазерного излучения для обслуживающего персонала: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1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класс I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выходное излучение не опасно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>для глаз;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класс II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опасно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для глаз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прямое или зеркально отраженное излучение;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класс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  <w:lang w:val="en-US"/>
        </w:rPr>
        <w:t>III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опасно для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глаз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прямое, зеркально, а также диффузионно отраженное излучение на расстоянии </w:t>
      </w:r>
      <w:smartTag w:uri="urn:schemas-microsoft-com:office:smarttags" w:element="metricconverter">
        <w:smartTagPr>
          <w:attr w:name="ProductID" w:val="10 см"/>
        </w:smartTagPr>
        <w:r w:rsidRPr="008C7A99">
          <w:rPr>
            <w:rStyle w:val="FontStyle23"/>
            <w:rFonts w:ascii="Times New Roman" w:hAnsi="Times New Roman" w:cs="Times New Roman"/>
            <w:color w:val="000000"/>
            <w:sz w:val="28"/>
          </w:rPr>
          <w:t>10 см</w:t>
        </w:r>
      </w:smartTag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от отражающей поверхности 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для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кожи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прямое или зеркально отраженное излучение;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класс IV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- опасно для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кожи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диффузионно отраженное излучение на расстоянии </w:t>
      </w:r>
      <w:smartTag w:uri="urn:schemas-microsoft-com:office:smarttags" w:element="metricconverter">
        <w:smartTagPr>
          <w:attr w:name="ProductID" w:val="10 см"/>
        </w:smartTagPr>
        <w:r w:rsidRPr="008C7A99">
          <w:rPr>
            <w:rStyle w:val="FontStyle23"/>
            <w:rFonts w:ascii="Times New Roman" w:hAnsi="Times New Roman" w:cs="Times New Roman"/>
            <w:color w:val="000000"/>
            <w:sz w:val="28"/>
          </w:rPr>
          <w:t>10 см</w:t>
        </w:r>
      </w:smartTag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от отражающей поверхности.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Биологические эффекты от действия луча лазера на живые ткани заключаются в термическом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энергетическом, фотохимическом и механическом воздействии, а также электрострикции и образовании в пределах клетки микроволнового ЭМП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Эти воздействия нарушают жизнедеятельность как отдельных органов, так и организма в целом. Выделяют два механизма: первичный и вторичный. Первичный механизм проявляется в виде органических изменений в облучаемых тканях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Вторичный механизм проявляется как реакция организма на облучение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В качестве приоритетных критериев при оценке </w:t>
      </w:r>
      <w:r w:rsidRPr="008C7A99">
        <w:rPr>
          <w:rStyle w:val="FontStyle21"/>
          <w:rFonts w:ascii="Times New Roman" w:hAnsi="Times New Roman" w:cs="Times New Roman"/>
          <w:color w:val="000000"/>
          <w:sz w:val="28"/>
        </w:rPr>
        <w:t xml:space="preserve">степени опасности генерируемого лазерного излучения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приняты: энергия или мощность излучения, плотность энергии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излучения, длительность воздействия излучения и длина волны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27476" w:rsidRDefault="00841B25" w:rsidP="0056063C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Предельно допустимые уровни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,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требования к устройству, размещению и безопасной эксплуатации лазеров позволяют разрабатывать мероприятия по обеспечению безопасных условий труда при работе с ними. Санитарные нормы и правила определяют величины ПДУ для каждого режима работы, участка оптического диапазона по специальным формулам и таблицам. </w:t>
      </w:r>
    </w:p>
    <w:p w:rsidR="0056063C" w:rsidRDefault="0056063C" w:rsidP="0056063C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56063C" w:rsidRPr="0056063C" w:rsidRDefault="0056063C" w:rsidP="0056063C">
      <w:pPr>
        <w:pStyle w:val="Style6"/>
        <w:widowControl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56063C">
        <w:rPr>
          <w:rStyle w:val="FontStyle23"/>
          <w:rFonts w:ascii="Times New Roman" w:hAnsi="Times New Roman" w:cs="Times New Roman"/>
          <w:color w:val="000000"/>
          <w:sz w:val="28"/>
        </w:rPr>
        <w:t xml:space="preserve">Таблица 4. </w:t>
      </w:r>
      <w:r w:rsidRPr="0056063C">
        <w:rPr>
          <w:rStyle w:val="FontStyle23"/>
          <w:rFonts w:ascii="Times New Roman" w:hAnsi="Times New Roman" w:cs="Times New Roman"/>
          <w:i/>
          <w:iCs/>
          <w:color w:val="000000"/>
          <w:sz w:val="28"/>
        </w:rPr>
        <w:t xml:space="preserve">А </w:t>
      </w:r>
      <w:r w:rsidRPr="0056063C">
        <w:rPr>
          <w:rStyle w:val="FontStyle23"/>
          <w:rFonts w:ascii="Times New Roman" w:hAnsi="Times New Roman" w:cs="Times New Roman"/>
          <w:bCs/>
          <w:color w:val="000000"/>
          <w:sz w:val="28"/>
        </w:rPr>
        <w:t xml:space="preserve">ПДУ лазерного излучения </w:t>
      </w:r>
      <w:r w:rsidRPr="0056063C">
        <w:rPr>
          <w:rStyle w:val="FontStyle23"/>
          <w:rFonts w:ascii="Times New Roman" w:hAnsi="Times New Roman" w:cs="Times New Roman"/>
          <w:color w:val="000000"/>
          <w:sz w:val="28"/>
        </w:rPr>
        <w:t>[6]</w:t>
      </w: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5"/>
        <w:gridCol w:w="3173"/>
      </w:tblGrid>
      <w:tr w:rsidR="0056063C" w:rsidRPr="0056063C" w:rsidTr="0056063C">
        <w:tc>
          <w:tcPr>
            <w:tcW w:w="3525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Длина волны, мкм</w:t>
            </w:r>
          </w:p>
        </w:tc>
        <w:tc>
          <w:tcPr>
            <w:tcW w:w="3173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ПДУ, Дж-см"2</w:t>
            </w:r>
          </w:p>
        </w:tc>
      </w:tr>
      <w:tr w:rsidR="0056063C" w:rsidRPr="0056063C" w:rsidTr="0056063C">
        <w:tc>
          <w:tcPr>
            <w:tcW w:w="3525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0,200-0,210</w:t>
            </w:r>
          </w:p>
        </w:tc>
        <w:tc>
          <w:tcPr>
            <w:tcW w:w="3173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1х108</w:t>
            </w:r>
          </w:p>
        </w:tc>
      </w:tr>
      <w:tr w:rsidR="0056063C" w:rsidRPr="0056063C" w:rsidTr="0056063C">
        <w:tc>
          <w:tcPr>
            <w:tcW w:w="3525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0,210-0,215</w:t>
            </w:r>
          </w:p>
        </w:tc>
        <w:tc>
          <w:tcPr>
            <w:tcW w:w="3173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1х10*7</w:t>
            </w:r>
          </w:p>
        </w:tc>
      </w:tr>
      <w:tr w:rsidR="0056063C" w:rsidRPr="0056063C" w:rsidTr="0056063C">
        <w:tc>
          <w:tcPr>
            <w:tcW w:w="3525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0,215-0,290</w:t>
            </w:r>
          </w:p>
        </w:tc>
        <w:tc>
          <w:tcPr>
            <w:tcW w:w="3173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1х10"6</w:t>
            </w:r>
          </w:p>
        </w:tc>
      </w:tr>
      <w:tr w:rsidR="0056063C" w:rsidRPr="0056063C" w:rsidTr="0056063C">
        <w:tc>
          <w:tcPr>
            <w:tcW w:w="3525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0,290-0,300</w:t>
            </w:r>
          </w:p>
        </w:tc>
        <w:tc>
          <w:tcPr>
            <w:tcW w:w="3173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1x10"5</w:t>
            </w:r>
          </w:p>
        </w:tc>
      </w:tr>
      <w:tr w:rsidR="0056063C" w:rsidRPr="0056063C" w:rsidTr="0056063C">
        <w:tc>
          <w:tcPr>
            <w:tcW w:w="3525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0,300-0,370</w:t>
            </w:r>
          </w:p>
        </w:tc>
        <w:tc>
          <w:tcPr>
            <w:tcW w:w="3173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1x10^</w:t>
            </w:r>
          </w:p>
        </w:tc>
      </w:tr>
      <w:tr w:rsidR="0056063C" w:rsidRPr="0056063C" w:rsidTr="0056063C">
        <w:tc>
          <w:tcPr>
            <w:tcW w:w="3525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5"/>
                <w:rFonts w:ascii="Times New Roman" w:hAnsi="Times New Roman" w:cs="Times New Roman"/>
                <w:b w:val="0"/>
                <w:sz w:val="20"/>
              </w:rPr>
              <w:t xml:space="preserve">Св. </w:t>
            </w: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0,370</w:t>
            </w:r>
          </w:p>
        </w:tc>
        <w:tc>
          <w:tcPr>
            <w:tcW w:w="3173" w:type="dxa"/>
          </w:tcPr>
          <w:p w:rsidR="0056063C" w:rsidRPr="0056063C" w:rsidRDefault="0056063C" w:rsidP="004A682E">
            <w:pPr>
              <w:pStyle w:val="Style17"/>
              <w:spacing w:line="360" w:lineRule="auto"/>
              <w:outlineLvl w:val="0"/>
              <w:rPr>
                <w:rStyle w:val="FontStyle29"/>
                <w:rFonts w:ascii="Times New Roman" w:hAnsi="Times New Roman" w:cs="Times New Roman"/>
                <w:b w:val="0"/>
                <w:sz w:val="20"/>
              </w:rPr>
            </w:pPr>
            <w:r w:rsidRPr="0056063C">
              <w:rPr>
                <w:rStyle w:val="FontStyle29"/>
                <w:rFonts w:ascii="Times New Roman" w:hAnsi="Times New Roman" w:cs="Times New Roman"/>
                <w:b w:val="0"/>
                <w:sz w:val="20"/>
              </w:rPr>
              <w:t>2x10"3</w:t>
            </w:r>
          </w:p>
        </w:tc>
      </w:tr>
    </w:tbl>
    <w:p w:rsidR="0056063C" w:rsidRDefault="0056063C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Нормируется энергетическая экспозиция облучаемых тканей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Например, значения ПДУ энергетической экспозиции при облучении ультрафиолетовой областью спектра приводятся в та б л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4.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Предупреждение поражений лазерным излучением включает систему мер инженерно-технического, планировочного, организационного и санитарно-гигиенического характера.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При использовании лазеров 11-111 классов в целях исключения облучения персонала необходимо ограждение лазерной зоны или экранирование пучка излучения. Экраны и ограждения должны быть огнестойкими, не выделять токсичных веществ при нагреве и изготовлены из материалов с наименьшим коэффициентом отражения. Лазеры IV класса опасности размещаются в отдельных изолированных помещениях и обеспечиваются дистанционным управлением. При размещении в одном помещении нескольких лазеров следует исключить возможность взаимного облучения операторов, работающих на аналогичных установках.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Для удаления возможных токсичных газов, паров и пыли оборудуется приточно-вытяжная вентиляция. Для защиты от шума применяется звукоизоляция установок, звукопоглощение и др.</w:t>
      </w:r>
    </w:p>
    <w:p w:rsidR="00841B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В качестве индивидуальных средств защиты используют очки со специальными стеклами - фильтрами, щитки, маски, халаты светло-зеленого или голубого цветов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</w:p>
    <w:p w:rsidR="00CB6525" w:rsidRPr="008C7A99" w:rsidRDefault="00841B25" w:rsidP="008C7A99">
      <w:pPr>
        <w:pStyle w:val="Style5"/>
        <w:spacing w:line="360" w:lineRule="auto"/>
        <w:ind w:firstLine="709"/>
        <w:rPr>
          <w:rStyle w:val="FontStyle23"/>
          <w:rFonts w:ascii="Times New Roman" w:hAnsi="Times New Roman" w:cs="Times New Roman"/>
          <w:color w:val="000000"/>
          <w:sz w:val="28"/>
        </w:rPr>
      </w:pP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Контроль уровней лазерного излучения производится в основном фотоэлектрическими приборами, например, «Измеритель-1»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 xml:space="preserve"> </w:t>
      </w:r>
      <w:r w:rsidRPr="008C7A99">
        <w:rPr>
          <w:rStyle w:val="FontStyle23"/>
          <w:rFonts w:ascii="Times New Roman" w:hAnsi="Times New Roman" w:cs="Times New Roman"/>
          <w:color w:val="000000"/>
          <w:sz w:val="28"/>
        </w:rPr>
        <w:t>и ИЛД-2</w:t>
      </w:r>
      <w:r w:rsidR="00CB6525" w:rsidRPr="008C7A99">
        <w:rPr>
          <w:rStyle w:val="FontStyle23"/>
          <w:rFonts w:ascii="Times New Roman" w:hAnsi="Times New Roman" w:cs="Times New Roman"/>
          <w:color w:val="000000"/>
          <w:sz w:val="28"/>
        </w:rPr>
        <w:t>.</w:t>
      </w:r>
      <w:bookmarkStart w:id="0" w:name="_GoBack"/>
      <w:bookmarkEnd w:id="0"/>
    </w:p>
    <w:sectPr w:rsidR="00CB6525" w:rsidRPr="008C7A99" w:rsidSect="008C7A99">
      <w:type w:val="nextColumn"/>
      <w:pgSz w:w="11906" w:h="16838"/>
      <w:pgMar w:top="1134" w:right="850" w:bottom="1134" w:left="1701" w:header="697" w:footer="697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81" w:rsidRDefault="009C1181">
      <w:r>
        <w:separator/>
      </w:r>
    </w:p>
  </w:endnote>
  <w:endnote w:type="continuationSeparator" w:id="0">
    <w:p w:rsidR="009C1181" w:rsidRDefault="009C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81" w:rsidRDefault="009C1181">
      <w:r>
        <w:separator/>
      </w:r>
    </w:p>
  </w:footnote>
  <w:footnote w:type="continuationSeparator" w:id="0">
    <w:p w:rsidR="009C1181" w:rsidRDefault="009C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DBA"/>
    <w:rsid w:val="00124EE0"/>
    <w:rsid w:val="001A5269"/>
    <w:rsid w:val="00276506"/>
    <w:rsid w:val="002D5DBA"/>
    <w:rsid w:val="00471C63"/>
    <w:rsid w:val="004A682E"/>
    <w:rsid w:val="0056063C"/>
    <w:rsid w:val="00625476"/>
    <w:rsid w:val="007B76BD"/>
    <w:rsid w:val="00827476"/>
    <w:rsid w:val="00841B25"/>
    <w:rsid w:val="008C7A99"/>
    <w:rsid w:val="009C1181"/>
    <w:rsid w:val="009F2312"/>
    <w:rsid w:val="00BB4C9E"/>
    <w:rsid w:val="00BE422D"/>
    <w:rsid w:val="00CB6525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0C759F6F-C3AF-4D84-BAAB-4FB5789A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470" w:lineRule="exact"/>
      <w:jc w:val="center"/>
    </w:pPr>
  </w:style>
  <w:style w:type="paragraph" w:customStyle="1" w:styleId="Style4">
    <w:name w:val="Style4"/>
    <w:basedOn w:val="a"/>
    <w:uiPriority w:val="99"/>
    <w:pPr>
      <w:spacing w:line="422" w:lineRule="exact"/>
      <w:jc w:val="center"/>
    </w:pPr>
  </w:style>
  <w:style w:type="paragraph" w:customStyle="1" w:styleId="Style5">
    <w:name w:val="Style5"/>
    <w:basedOn w:val="a"/>
    <w:uiPriority w:val="99"/>
    <w:pPr>
      <w:spacing w:line="421" w:lineRule="exact"/>
      <w:ind w:firstLine="581"/>
      <w:jc w:val="both"/>
    </w:pPr>
  </w:style>
  <w:style w:type="paragraph" w:customStyle="1" w:styleId="Style6">
    <w:name w:val="Style6"/>
    <w:basedOn w:val="a"/>
    <w:uiPriority w:val="99"/>
    <w:pPr>
      <w:spacing w:line="658" w:lineRule="exact"/>
      <w:ind w:firstLine="4022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427" w:lineRule="exact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324" w:lineRule="exact"/>
      <w:jc w:val="center"/>
    </w:pPr>
  </w:style>
  <w:style w:type="paragraph" w:customStyle="1" w:styleId="Style11">
    <w:name w:val="Style11"/>
    <w:basedOn w:val="a"/>
    <w:uiPriority w:val="99"/>
    <w:pPr>
      <w:spacing w:line="394" w:lineRule="exact"/>
      <w:ind w:firstLine="365"/>
      <w:jc w:val="both"/>
    </w:pPr>
  </w:style>
  <w:style w:type="paragraph" w:customStyle="1" w:styleId="Style12">
    <w:name w:val="Style12"/>
    <w:basedOn w:val="a"/>
    <w:uiPriority w:val="99"/>
    <w:pPr>
      <w:jc w:val="center"/>
    </w:pPr>
  </w:style>
  <w:style w:type="paragraph" w:customStyle="1" w:styleId="Style13">
    <w:name w:val="Style13"/>
    <w:basedOn w:val="a"/>
    <w:uiPriority w:val="99"/>
    <w:pPr>
      <w:spacing w:line="691" w:lineRule="exact"/>
      <w:ind w:firstLine="600"/>
      <w:jc w:val="both"/>
    </w:pPr>
  </w:style>
  <w:style w:type="paragraph" w:customStyle="1" w:styleId="Style14">
    <w:name w:val="Style14"/>
    <w:basedOn w:val="a"/>
    <w:uiPriority w:val="99"/>
    <w:pPr>
      <w:spacing w:line="466" w:lineRule="exact"/>
      <w:ind w:firstLine="1373"/>
      <w:jc w:val="both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  <w:pPr>
      <w:spacing w:line="405" w:lineRule="exact"/>
      <w:jc w:val="center"/>
    </w:pPr>
  </w:style>
  <w:style w:type="paragraph" w:customStyle="1" w:styleId="Style17">
    <w:name w:val="Style17"/>
    <w:basedOn w:val="a"/>
    <w:uiPriority w:val="99"/>
  </w:style>
  <w:style w:type="character" w:customStyle="1" w:styleId="FontStyle19">
    <w:name w:val="Font Style19"/>
    <w:uiPriority w:val="99"/>
    <w:rPr>
      <w:rFonts w:ascii="Bookman Old Style" w:hAnsi="Bookman Old Style" w:cs="Bookman Old Style"/>
      <w:b/>
      <w:bCs/>
      <w:sz w:val="38"/>
      <w:szCs w:val="38"/>
    </w:rPr>
  </w:style>
  <w:style w:type="character" w:customStyle="1" w:styleId="FontStyle20">
    <w:name w:val="Font Style20"/>
    <w:uiPriority w:val="99"/>
    <w:rPr>
      <w:rFonts w:ascii="Arial" w:hAnsi="Arial" w:cs="Arial"/>
      <w:b/>
      <w:bCs/>
      <w:spacing w:val="-10"/>
      <w:sz w:val="36"/>
      <w:szCs w:val="36"/>
    </w:rPr>
  </w:style>
  <w:style w:type="character" w:customStyle="1" w:styleId="FontStyle21">
    <w:name w:val="Font Style21"/>
    <w:uiPriority w:val="99"/>
    <w:rPr>
      <w:rFonts w:ascii="Arial" w:hAnsi="Arial" w:cs="Arial"/>
      <w:i/>
      <w:iCs/>
      <w:sz w:val="36"/>
      <w:szCs w:val="36"/>
    </w:rPr>
  </w:style>
  <w:style w:type="character" w:customStyle="1" w:styleId="FontStyle22">
    <w:name w:val="Font Style22"/>
    <w:uiPriority w:val="99"/>
    <w:rPr>
      <w:rFonts w:ascii="Arial" w:hAnsi="Arial" w:cs="Arial"/>
      <w:b/>
      <w:bCs/>
      <w:spacing w:val="-10"/>
      <w:sz w:val="32"/>
      <w:szCs w:val="32"/>
    </w:rPr>
  </w:style>
  <w:style w:type="character" w:customStyle="1" w:styleId="FontStyle23">
    <w:name w:val="Font Style23"/>
    <w:uiPriority w:val="99"/>
    <w:rPr>
      <w:rFonts w:ascii="Arial" w:hAnsi="Arial" w:cs="Arial"/>
      <w:sz w:val="36"/>
      <w:szCs w:val="36"/>
    </w:rPr>
  </w:style>
  <w:style w:type="character" w:customStyle="1" w:styleId="FontStyle24">
    <w:name w:val="Font Style24"/>
    <w:uiPriority w:val="99"/>
    <w:rPr>
      <w:rFonts w:ascii="Arial" w:hAnsi="Arial" w:cs="Arial"/>
      <w:b/>
      <w:bCs/>
      <w:spacing w:val="-10"/>
      <w:sz w:val="26"/>
      <w:szCs w:val="26"/>
    </w:rPr>
  </w:style>
  <w:style w:type="character" w:customStyle="1" w:styleId="FontStyle25">
    <w:name w:val="Font Style25"/>
    <w:uiPriority w:val="99"/>
    <w:rPr>
      <w:rFonts w:ascii="Arial" w:hAnsi="Arial" w:cs="Arial"/>
      <w:b/>
      <w:bCs/>
      <w:sz w:val="30"/>
      <w:szCs w:val="30"/>
    </w:rPr>
  </w:style>
  <w:style w:type="character" w:customStyle="1" w:styleId="FontStyle26">
    <w:name w:val="Font Style26"/>
    <w:uiPriority w:val="99"/>
    <w:rPr>
      <w:rFonts w:ascii="Arial" w:hAnsi="Arial" w:cs="Arial"/>
      <w:spacing w:val="-10"/>
      <w:sz w:val="30"/>
      <w:szCs w:val="30"/>
    </w:rPr>
  </w:style>
  <w:style w:type="character" w:customStyle="1" w:styleId="FontStyle27">
    <w:name w:val="Font Style27"/>
    <w:uiPriority w:val="99"/>
    <w:rPr>
      <w:rFonts w:ascii="Bookman Old Style" w:hAnsi="Bookman Old Style" w:cs="Bookman Old Style"/>
      <w:sz w:val="30"/>
      <w:szCs w:val="30"/>
    </w:rPr>
  </w:style>
  <w:style w:type="character" w:customStyle="1" w:styleId="FontStyle28">
    <w:name w:val="Font Style28"/>
    <w:uiPriority w:val="99"/>
    <w:rPr>
      <w:rFonts w:ascii="Arial" w:hAnsi="Arial" w:cs="Arial"/>
      <w:b/>
      <w:bCs/>
      <w:sz w:val="14"/>
      <w:szCs w:val="14"/>
    </w:rPr>
  </w:style>
  <w:style w:type="character" w:customStyle="1" w:styleId="FontStyle29">
    <w:name w:val="Font Style29"/>
    <w:uiPriority w:val="99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Неионизирующие излучения</vt:lpstr>
    </vt:vector>
  </TitlesOfParts>
  <Company/>
  <LinksUpToDate>false</LinksUpToDate>
  <CharactersWithSpaces>18088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Неионизирующие излучения</dc:title>
  <dc:subject/>
  <dc:creator>A</dc:creator>
  <cp:keywords/>
  <dc:description/>
  <cp:lastModifiedBy>admin</cp:lastModifiedBy>
  <cp:revision>2</cp:revision>
  <dcterms:created xsi:type="dcterms:W3CDTF">2014-03-13T17:24:00Z</dcterms:created>
  <dcterms:modified xsi:type="dcterms:W3CDTF">2014-03-13T17:24:00Z</dcterms:modified>
</cp:coreProperties>
</file>