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603" w:rsidRPr="00A03603" w:rsidRDefault="00A03603" w:rsidP="000C53CF">
      <w:pPr>
        <w:pStyle w:val="3"/>
        <w:keepNext w:val="0"/>
        <w:widowControl w:val="0"/>
        <w:tabs>
          <w:tab w:val="left" w:pos="851"/>
          <w:tab w:val="left" w:pos="924"/>
        </w:tabs>
        <w:spacing w:line="360" w:lineRule="auto"/>
        <w:rPr>
          <w:szCs w:val="28"/>
        </w:rPr>
      </w:pPr>
      <w:r w:rsidRPr="00A03603">
        <w:rPr>
          <w:szCs w:val="28"/>
        </w:rPr>
        <w:t>Федеральное</w:t>
      </w:r>
      <w:r w:rsidR="000C53CF">
        <w:rPr>
          <w:szCs w:val="28"/>
        </w:rPr>
        <w:t xml:space="preserve"> </w:t>
      </w:r>
      <w:r w:rsidRPr="00A03603">
        <w:rPr>
          <w:szCs w:val="28"/>
        </w:rPr>
        <w:t>агентство</w:t>
      </w:r>
      <w:r w:rsidR="000C53CF">
        <w:rPr>
          <w:szCs w:val="28"/>
        </w:rPr>
        <w:t xml:space="preserve"> </w:t>
      </w:r>
      <w:r w:rsidRPr="00A03603">
        <w:rPr>
          <w:szCs w:val="28"/>
        </w:rPr>
        <w:t>по</w:t>
      </w:r>
      <w:r w:rsidR="000C53CF">
        <w:rPr>
          <w:szCs w:val="28"/>
        </w:rPr>
        <w:t xml:space="preserve"> </w:t>
      </w:r>
      <w:r w:rsidRPr="00A03603">
        <w:rPr>
          <w:szCs w:val="28"/>
        </w:rPr>
        <w:t>образованию</w:t>
      </w: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  <w:r w:rsidRPr="00A03603">
        <w:rPr>
          <w:sz w:val="28"/>
          <w:szCs w:val="28"/>
        </w:rPr>
        <w:t>Байкальский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государственный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университет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экономики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права</w:t>
      </w: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  <w:r w:rsidRPr="00A03603">
        <w:rPr>
          <w:sz w:val="28"/>
          <w:szCs w:val="28"/>
        </w:rPr>
        <w:t>Финансово-экономический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факультет</w:t>
      </w: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  <w:r w:rsidRPr="00A03603">
        <w:rPr>
          <w:sz w:val="28"/>
          <w:szCs w:val="28"/>
        </w:rPr>
        <w:t>Кафедра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банковского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дела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</w:t>
      </w: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  <w:r w:rsidRPr="00A03603">
        <w:rPr>
          <w:sz w:val="28"/>
          <w:szCs w:val="28"/>
        </w:rPr>
        <w:t>Специальность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06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04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00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«Финансы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кредит»</w:t>
      </w: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</w:p>
    <w:p w:rsidR="00A03603" w:rsidRPr="000C53CF" w:rsidRDefault="00A03603" w:rsidP="000C53CF">
      <w:pPr>
        <w:pStyle w:val="4"/>
        <w:keepNext w:val="0"/>
        <w:widowControl w:val="0"/>
        <w:tabs>
          <w:tab w:val="left" w:pos="851"/>
          <w:tab w:val="left" w:pos="924"/>
        </w:tabs>
        <w:spacing w:line="360" w:lineRule="auto"/>
        <w:rPr>
          <w:b w:val="0"/>
          <w:sz w:val="28"/>
          <w:szCs w:val="28"/>
        </w:rPr>
      </w:pPr>
      <w:r w:rsidRPr="000C53CF">
        <w:rPr>
          <w:b w:val="0"/>
          <w:sz w:val="28"/>
          <w:szCs w:val="28"/>
        </w:rPr>
        <w:t>КУРСОВАЯ</w:t>
      </w:r>
      <w:r w:rsidR="000C53CF">
        <w:rPr>
          <w:b w:val="0"/>
          <w:sz w:val="28"/>
          <w:szCs w:val="28"/>
        </w:rPr>
        <w:t xml:space="preserve"> </w:t>
      </w:r>
      <w:r w:rsidRPr="000C53CF">
        <w:rPr>
          <w:b w:val="0"/>
          <w:sz w:val="28"/>
          <w:szCs w:val="28"/>
        </w:rPr>
        <w:t>РАБОТА</w:t>
      </w:r>
    </w:p>
    <w:p w:rsidR="000C53CF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дисциплине</w:t>
      </w:r>
      <w:r w:rsidR="000C53CF">
        <w:rPr>
          <w:sz w:val="28"/>
          <w:szCs w:val="28"/>
        </w:rPr>
        <w:t xml:space="preserve"> </w:t>
      </w: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  <w:r w:rsidRPr="00A03603">
        <w:rPr>
          <w:sz w:val="28"/>
          <w:szCs w:val="28"/>
        </w:rPr>
        <w:t>Рынок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</w:t>
      </w:r>
    </w:p>
    <w:p w:rsidR="000C53CF" w:rsidRDefault="000C53CF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  <w:r w:rsidRPr="00A03603">
        <w:rPr>
          <w:sz w:val="28"/>
          <w:szCs w:val="28"/>
        </w:rPr>
        <w:t>ОБЛИГАЦИИ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b/>
          <w:sz w:val="28"/>
          <w:szCs w:val="28"/>
        </w:rPr>
      </w:pP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b/>
          <w:sz w:val="28"/>
          <w:szCs w:val="28"/>
        </w:rPr>
      </w:pP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b/>
          <w:sz w:val="28"/>
          <w:szCs w:val="28"/>
        </w:rPr>
      </w:pP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b/>
          <w:sz w:val="28"/>
          <w:szCs w:val="28"/>
        </w:rPr>
      </w:pP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b/>
          <w:sz w:val="28"/>
          <w:szCs w:val="28"/>
        </w:rPr>
      </w:pP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b/>
          <w:sz w:val="28"/>
          <w:szCs w:val="28"/>
        </w:rPr>
      </w:pP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</w:p>
    <w:p w:rsidR="00A03603" w:rsidRPr="00A03603" w:rsidRDefault="00A03603" w:rsidP="000C53CF">
      <w:pPr>
        <w:widowControl w:val="0"/>
        <w:tabs>
          <w:tab w:val="left" w:pos="851"/>
          <w:tab w:val="left" w:pos="924"/>
        </w:tabs>
        <w:spacing w:line="360" w:lineRule="auto"/>
        <w:jc w:val="center"/>
        <w:rPr>
          <w:sz w:val="28"/>
          <w:szCs w:val="28"/>
        </w:rPr>
      </w:pPr>
    </w:p>
    <w:p w:rsidR="000C53CF" w:rsidRDefault="00A03603" w:rsidP="000C53CF">
      <w:pPr>
        <w:pStyle w:val="3"/>
        <w:keepNext w:val="0"/>
        <w:widowControl w:val="0"/>
        <w:tabs>
          <w:tab w:val="left" w:pos="851"/>
          <w:tab w:val="left" w:pos="924"/>
        </w:tabs>
        <w:spacing w:line="360" w:lineRule="auto"/>
        <w:rPr>
          <w:szCs w:val="28"/>
        </w:rPr>
      </w:pPr>
      <w:r w:rsidRPr="00A03603">
        <w:rPr>
          <w:szCs w:val="28"/>
        </w:rPr>
        <w:t>Иркутск</w:t>
      </w:r>
      <w:r w:rsidR="000C53CF">
        <w:rPr>
          <w:szCs w:val="28"/>
        </w:rPr>
        <w:t xml:space="preserve"> </w:t>
      </w:r>
      <w:r w:rsidRPr="00A03603">
        <w:rPr>
          <w:szCs w:val="28"/>
        </w:rPr>
        <w:t>20</w:t>
      </w:r>
      <w:r w:rsidR="000C53CF">
        <w:rPr>
          <w:szCs w:val="28"/>
        </w:rPr>
        <w:t>10</w:t>
      </w:r>
    </w:p>
    <w:p w:rsidR="000C53CF" w:rsidRDefault="000C53CF" w:rsidP="000C53CF">
      <w:pPr>
        <w:pStyle w:val="3"/>
        <w:keepNext w:val="0"/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F026DC" w:rsidRPr="00A03603">
        <w:rPr>
          <w:szCs w:val="28"/>
        </w:rPr>
        <w:br w:type="page"/>
      </w:r>
    </w:p>
    <w:p w:rsidR="00F026DC" w:rsidRPr="00A03603" w:rsidRDefault="00F026DC" w:rsidP="000C53CF">
      <w:pPr>
        <w:pStyle w:val="3"/>
        <w:keepNext w:val="0"/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Cs w:val="28"/>
        </w:rPr>
      </w:pPr>
      <w:r w:rsidRPr="00A03603">
        <w:rPr>
          <w:szCs w:val="28"/>
        </w:rPr>
        <w:t>СОДЕРЖАНИЕ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:rsidR="00F026DC" w:rsidRPr="00A03603" w:rsidRDefault="000C53CF" w:rsidP="000C53CF">
      <w:pPr>
        <w:widowControl w:val="0"/>
        <w:tabs>
          <w:tab w:val="left" w:pos="851"/>
          <w:tab w:val="left" w:pos="924"/>
        </w:tabs>
        <w:spacing w:line="360" w:lineRule="auto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Введение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1.</w:t>
      </w:r>
      <w:r w:rsidR="000C53CF">
        <w:rPr>
          <w:sz w:val="28"/>
          <w:szCs w:val="28"/>
        </w:rPr>
        <w:t xml:space="preserve"> </w:t>
      </w:r>
      <w:r w:rsidR="000C53CF" w:rsidRPr="00A03603">
        <w:rPr>
          <w:sz w:val="28"/>
          <w:szCs w:val="28"/>
        </w:rPr>
        <w:t>Понятие</w:t>
      </w:r>
      <w:r w:rsidR="000C53CF">
        <w:rPr>
          <w:sz w:val="28"/>
          <w:szCs w:val="28"/>
        </w:rPr>
        <w:t xml:space="preserve"> </w:t>
      </w:r>
      <w:r w:rsidR="000C53CF"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="000C53CF"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="000C53CF" w:rsidRPr="00A03603">
        <w:rPr>
          <w:sz w:val="28"/>
          <w:szCs w:val="28"/>
        </w:rPr>
        <w:t>России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C53CF" w:rsidRPr="00A03603">
        <w:rPr>
          <w:rFonts w:ascii="Times New Roman" w:hAnsi="Times New Roman"/>
          <w:color w:val="auto"/>
          <w:sz w:val="28"/>
          <w:szCs w:val="28"/>
          <w:lang w:val="ru-RU"/>
        </w:rPr>
        <w:t>Характеристика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C53CF"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C53CF"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C53CF"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2.1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Развитие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2.2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2.3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инструмент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политики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3.</w:t>
      </w:r>
      <w:r w:rsidR="000C53CF">
        <w:rPr>
          <w:sz w:val="28"/>
          <w:szCs w:val="28"/>
        </w:rPr>
        <w:t xml:space="preserve"> </w:t>
      </w:r>
      <w:r w:rsidR="000C53CF" w:rsidRPr="00A03603">
        <w:rPr>
          <w:sz w:val="28"/>
          <w:szCs w:val="28"/>
        </w:rPr>
        <w:t>Анализ</w:t>
      </w:r>
      <w:r w:rsidR="000C53CF">
        <w:rPr>
          <w:sz w:val="28"/>
          <w:szCs w:val="28"/>
        </w:rPr>
        <w:t xml:space="preserve"> </w:t>
      </w:r>
      <w:r w:rsidR="000C53CF" w:rsidRPr="00A03603">
        <w:rPr>
          <w:sz w:val="28"/>
          <w:szCs w:val="28"/>
        </w:rPr>
        <w:t>рынка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</w:t>
      </w:r>
    </w:p>
    <w:p w:rsidR="00F026DC" w:rsidRPr="00A03603" w:rsidRDefault="000C53CF" w:rsidP="000C53CF">
      <w:pPr>
        <w:widowControl w:val="0"/>
        <w:tabs>
          <w:tab w:val="left" w:pos="851"/>
          <w:tab w:val="left" w:pos="92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Заключение</w:t>
      </w:r>
    </w:p>
    <w:p w:rsidR="00F026DC" w:rsidRPr="00A03603" w:rsidRDefault="000C53CF" w:rsidP="000C53CF">
      <w:pPr>
        <w:widowControl w:val="0"/>
        <w:tabs>
          <w:tab w:val="left" w:pos="851"/>
          <w:tab w:val="left" w:pos="92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Список</w:t>
      </w:r>
      <w:r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литературы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026DC" w:rsidRPr="00A03603" w:rsidRDefault="00F026DC" w:rsidP="000C53CF">
      <w:pPr>
        <w:pStyle w:val="3"/>
        <w:keepNext w:val="0"/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Cs w:val="28"/>
        </w:rPr>
      </w:pPr>
      <w:r w:rsidRPr="00A03603">
        <w:rPr>
          <w:szCs w:val="28"/>
        </w:rPr>
        <w:br w:type="page"/>
        <w:t>ВВЕДЕНИЕ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Одним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важных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направлений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многогранной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деятельности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Центрального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РФ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являются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бумагами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другими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финансовыми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инструментами.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начала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рыночных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реформ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роль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формировании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развитии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отечественного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была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далеко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последней,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определенных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этапах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определяющей.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отношению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Центральный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может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выступать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ролях: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инвестора,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эмитента,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дилера,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регулятора,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контролера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т.д.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Банк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посредством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эмиссии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собственных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открытом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может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влиять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предложение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экономике.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поручению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Правительства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РФ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осуществляет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размещение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государственных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долговых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обязательств,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процессе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осуществления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активных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пассивных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государственных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может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управлять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доходностью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структурой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государственного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долга.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Кроме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того,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денежно-кредитная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политика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оказывает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непосредственное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влияние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конъюнктуру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текущем,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так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долгосрочном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плане.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качестве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регулятора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Центральный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РФ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регламентирует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организациями,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посредством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установления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нормативных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требований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влияет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структуру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активов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организаций,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следовательно,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объем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которые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коммерческие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могут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привлечь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разместить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Облигации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выступают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одним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инструментов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политики.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Они,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безусловно,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являются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наиболее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эффективными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вопросе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стерилизации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избыточной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ликвидности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стране.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данной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работе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попытаемся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рассмотреть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понятие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историю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развития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основное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назначение,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функции.</w:t>
      </w:r>
    </w:p>
    <w:p w:rsidR="000C53CF" w:rsidRDefault="000C53CF" w:rsidP="000C53CF">
      <w:pPr>
        <w:tabs>
          <w:tab w:val="left" w:pos="851"/>
          <w:tab w:val="left" w:pos="924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1.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ПОНЯТИЕ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Облигации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впервые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появились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сентябре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1998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года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вследствие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того,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прекратил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существование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ГКО-ОФЗ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17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августа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1998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года.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течение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всего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периода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рыночных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преобразований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основной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проблемой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оставался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небольшой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инвестиций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реальный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сектор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экономики.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Притоку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капитала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производственную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сферу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препятствовало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отсутствие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условий,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обеспечивающих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инвесторам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эффективность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прямых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инвестиций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ниже,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Механизм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приватизации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привел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тому,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конъюнктура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корпоративных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определялась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реальной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эффективностью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производства,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спекулятивными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настроениями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его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участников.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очередь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невысокий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уровень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бюджетной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дисциплины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существующая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система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налогообложения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привели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тому,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государственным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бумагам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оказалась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выше,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возможная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прибыль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инвестиций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реальный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сектор.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Кризис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17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августа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причиной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пересмотра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отношения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степени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рискованности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вложений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производственной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сферы.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настоящее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время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условиях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благоприятной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внешнеэкономической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конъюнктуры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наметившегося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роста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производства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можно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ожидать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повышения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интереса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реальному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сектору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роста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инвестиций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промышленность.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принятия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решения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инвесторы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должны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иметь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возможность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оценить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эффективность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вложений.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необходимы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рыночные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ориентиры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стоимости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кредитов.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Ранее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роль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индикаторов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рыночной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стоимости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выполняли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ставки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межбанковского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после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замораживания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ГКО—ОФЗ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девальвации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национальной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валюты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МБК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практически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перестал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функционировать.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Наиболее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залоговые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инструменты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—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государственные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—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могли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использованы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качестве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обеспечения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кредитов.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Другие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также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могли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использованы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качестве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залога,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поскольку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условиях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кризиса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риск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подобных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активов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многократно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возрос.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же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время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резко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ухудшилось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финансовое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состояние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особенности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тех,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которые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имели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значительные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объемы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пассивов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иностранной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валюте.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результате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снизился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уровень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доверия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между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участниками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вырос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риск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проведения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кредитования.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Вследствие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межбанковского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перестал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выполнять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функции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механизма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определения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равновесной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стоимости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кредитов.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Одним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последствий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кризиса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исчезновение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большинства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инструментов,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ранее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использовавшихся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инвестирования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свободных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ресурсов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регулирования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собственной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ликвидности,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—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полностью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парализованы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фондовый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рынок,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МБК,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вторичные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торги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ГКО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—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ОФЗ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приостановлены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окончания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процесса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реструктуризации.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результате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оказались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лишенными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возможности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оперативного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управления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ликвидностью.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Таким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образом,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экономический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рост,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наметившийся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середине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1999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мог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стимулом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инвестиций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реальный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сектор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наличии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следующих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условий:</w:t>
      </w:r>
    </w:p>
    <w:p w:rsidR="00F026DC" w:rsidRPr="00A03603" w:rsidRDefault="00F026DC" w:rsidP="000C53CF">
      <w:pPr>
        <w:pStyle w:val="BulletsMain"/>
        <w:widowControl w:val="0"/>
        <w:numPr>
          <w:ilvl w:val="0"/>
          <w:numId w:val="1"/>
        </w:numPr>
        <w:tabs>
          <w:tab w:val="left" w:pos="851"/>
          <w:tab w:val="left" w:pos="924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должна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существовать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рыночная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оценка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стоимости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ресурсов;</w:t>
      </w:r>
    </w:p>
    <w:p w:rsidR="00F026DC" w:rsidRPr="00A03603" w:rsidRDefault="00F026DC" w:rsidP="000C53CF">
      <w:pPr>
        <w:pStyle w:val="BulletsMain"/>
        <w:widowControl w:val="0"/>
        <w:numPr>
          <w:ilvl w:val="0"/>
          <w:numId w:val="1"/>
        </w:numPr>
        <w:tabs>
          <w:tab w:val="left" w:pos="851"/>
          <w:tab w:val="left" w:pos="924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должны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иметь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возможность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гибкого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управления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срочностью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активов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(с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целью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устранения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необходимости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держать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“про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запас”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активы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ликвидной,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приносящей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форме).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Реализации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данных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условий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должно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способствовать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возобновление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ОБР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выпускаются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документарной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форме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обязательным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централизованным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хранением.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Права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собственности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удовлетворяются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сертификатом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указанием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количества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приобретенных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инвестором,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записью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счету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депозитарии.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Эмиссия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осуществляется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основании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принятого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Советом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директоров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решения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размещении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утвержденного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Советом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директоров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решения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(дополнительном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выпуске)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Объем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каждого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определяется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учетом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рассчитанного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согласно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статье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44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Федерального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закона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"О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Центральном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Российской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Федерации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(Банке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России)"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предельного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размера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общей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номинальной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стоимости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всех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выпусков,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погашенных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дату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принятия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Советом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директоров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решения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утверждении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соответствующего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решения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Pr="00A03603">
        <w:rPr>
          <w:rStyle w:val="ab"/>
          <w:sz w:val="28"/>
          <w:szCs w:val="28"/>
        </w:rPr>
        <w:footnoteReference w:id="1"/>
      </w:r>
      <w:r w:rsidRPr="00A03603">
        <w:rPr>
          <w:sz w:val="28"/>
          <w:szCs w:val="28"/>
        </w:rPr>
        <w:t>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Обращение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осуществляется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согласно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положению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«об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особенностях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процедуры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эмиссии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облигаций»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Центрального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Российской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Федерации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28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августа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1998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года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№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53-П.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Банк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присваивает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идентификационный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номер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соответствии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порядком,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установленным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федеральным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органом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исполнительной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власти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Идентификационный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номер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цифровой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(буквенный,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знаковый)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код,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идентифицирующий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конкретный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состоит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девяти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значащих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разрядов</w:t>
      </w:r>
      <w:r w:rsidRPr="00A03603">
        <w:rPr>
          <w:rStyle w:val="ab"/>
          <w:sz w:val="28"/>
          <w:szCs w:val="28"/>
        </w:rPr>
        <w:footnoteReference w:id="2"/>
      </w:r>
      <w:r w:rsidRPr="00A03603">
        <w:rPr>
          <w:sz w:val="28"/>
          <w:szCs w:val="28"/>
        </w:rPr>
        <w:t>:</w:t>
      </w:r>
    </w:p>
    <w:p w:rsidR="000C53CF" w:rsidRDefault="000C53CF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X1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X2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X3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X4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X5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X6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X7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X8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X9</w:t>
      </w:r>
    </w:p>
    <w:p w:rsidR="000C53CF" w:rsidRDefault="000C53CF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Первый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разряд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(X1)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идентификационного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номера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указывает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вид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эмиссионной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имеет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значение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"4".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Второй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третий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разряды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(X2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X3)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идентификационного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номера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указывают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порядковый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номер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данным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обращения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видом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выплачиваемого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дохода.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случае,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если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количество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осуществленных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данным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обращения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видом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выплачиваемого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дохода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превысит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99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(девяносто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девять),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второму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третьему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разрядам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(X2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X3)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идентификационного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номера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последующих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присваиваются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значения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двух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последних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цифр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порядкового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номера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данным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обращения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видом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выплачиваемого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дохода.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Четвертый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пятый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разряды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(X4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X5)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идентификационного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номера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указывают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обращения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вид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дохода,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выплачиваемого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бумаге,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имеют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следующие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значения: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6202"/>
      </w:tblGrid>
      <w:tr w:rsidR="00F026DC" w:rsidRPr="00B87ADC" w:rsidTr="00B87ADC">
        <w:tc>
          <w:tcPr>
            <w:tcW w:w="1809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Значения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четвертого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разряда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(X4)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Значения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пятого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разряда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(X5)</w:t>
            </w:r>
          </w:p>
        </w:tc>
        <w:tc>
          <w:tcPr>
            <w:tcW w:w="6202" w:type="dxa"/>
            <w:shd w:val="clear" w:color="auto" w:fill="auto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026DC" w:rsidRPr="00B87ADC" w:rsidTr="00B87ADC">
        <w:tc>
          <w:tcPr>
            <w:tcW w:w="1809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1</w:t>
            </w:r>
          </w:p>
        </w:tc>
        <w:tc>
          <w:tcPr>
            <w:tcW w:w="6202" w:type="dxa"/>
            <w:shd w:val="clear" w:color="auto" w:fill="auto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для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бескупонных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облигаций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сроком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обращения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до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1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года;</w:t>
            </w:r>
          </w:p>
        </w:tc>
      </w:tr>
      <w:tr w:rsidR="00F026DC" w:rsidRPr="00B87ADC" w:rsidTr="00B87ADC">
        <w:tc>
          <w:tcPr>
            <w:tcW w:w="1809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2</w:t>
            </w:r>
          </w:p>
        </w:tc>
        <w:tc>
          <w:tcPr>
            <w:tcW w:w="6202" w:type="dxa"/>
            <w:shd w:val="clear" w:color="auto" w:fill="auto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для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облигаций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сроком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обращения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до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1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года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и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переменным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купонным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доходом;</w:t>
            </w:r>
          </w:p>
        </w:tc>
      </w:tr>
      <w:tr w:rsidR="00F026DC" w:rsidRPr="00B87ADC" w:rsidTr="00B87ADC">
        <w:tc>
          <w:tcPr>
            <w:tcW w:w="1809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3</w:t>
            </w:r>
          </w:p>
        </w:tc>
        <w:tc>
          <w:tcPr>
            <w:tcW w:w="6202" w:type="dxa"/>
            <w:shd w:val="clear" w:color="auto" w:fill="auto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для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облигаций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сроком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обращения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до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1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года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и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постоянным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купонным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доходом;</w:t>
            </w:r>
          </w:p>
        </w:tc>
      </w:tr>
      <w:tr w:rsidR="00F026DC" w:rsidRPr="00B87ADC" w:rsidTr="00B87ADC">
        <w:tc>
          <w:tcPr>
            <w:tcW w:w="1809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4</w:t>
            </w:r>
          </w:p>
        </w:tc>
        <w:tc>
          <w:tcPr>
            <w:tcW w:w="6202" w:type="dxa"/>
            <w:shd w:val="clear" w:color="auto" w:fill="auto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для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облигаций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сроком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обращения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от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1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до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5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лет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переменным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купонным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доходом;</w:t>
            </w:r>
          </w:p>
        </w:tc>
      </w:tr>
      <w:tr w:rsidR="00F026DC" w:rsidRPr="00B87ADC" w:rsidTr="00B87ADC">
        <w:tc>
          <w:tcPr>
            <w:tcW w:w="1809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5</w:t>
            </w:r>
          </w:p>
        </w:tc>
        <w:tc>
          <w:tcPr>
            <w:tcW w:w="6202" w:type="dxa"/>
            <w:shd w:val="clear" w:color="auto" w:fill="auto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для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облигаций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сроком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обращения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от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1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до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5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лет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постоянным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купонным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доходом;</w:t>
            </w:r>
          </w:p>
        </w:tc>
      </w:tr>
      <w:tr w:rsidR="00F026DC" w:rsidRPr="00B87ADC" w:rsidTr="00B87ADC">
        <w:tc>
          <w:tcPr>
            <w:tcW w:w="1809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6</w:t>
            </w:r>
          </w:p>
        </w:tc>
        <w:tc>
          <w:tcPr>
            <w:tcW w:w="6202" w:type="dxa"/>
            <w:shd w:val="clear" w:color="auto" w:fill="auto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для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облигаций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сроком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обращения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от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5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до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30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лет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постоянным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купонным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доходом;</w:t>
            </w:r>
          </w:p>
        </w:tc>
      </w:tr>
      <w:tr w:rsidR="00F026DC" w:rsidRPr="00B87ADC" w:rsidTr="00B87ADC">
        <w:tc>
          <w:tcPr>
            <w:tcW w:w="1809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7</w:t>
            </w:r>
          </w:p>
        </w:tc>
        <w:tc>
          <w:tcPr>
            <w:tcW w:w="6202" w:type="dxa"/>
            <w:shd w:val="clear" w:color="auto" w:fill="auto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для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облигаций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сроком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обращения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от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5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до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30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лет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переменным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купонным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доходом;</w:t>
            </w:r>
          </w:p>
        </w:tc>
      </w:tr>
      <w:tr w:rsidR="00F026DC" w:rsidRPr="00B87ADC" w:rsidTr="00B87ADC">
        <w:tc>
          <w:tcPr>
            <w:tcW w:w="1809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8</w:t>
            </w:r>
          </w:p>
        </w:tc>
        <w:tc>
          <w:tcPr>
            <w:tcW w:w="6202" w:type="dxa"/>
            <w:shd w:val="clear" w:color="auto" w:fill="auto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для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облигаций,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условия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выпуска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которых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предполагают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их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погашение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преимущественно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неденежными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средствами,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сроком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обращения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от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1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года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до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5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лет;</w:t>
            </w:r>
          </w:p>
        </w:tc>
      </w:tr>
      <w:tr w:rsidR="00F026DC" w:rsidRPr="00B87ADC" w:rsidTr="00B87ADC">
        <w:tc>
          <w:tcPr>
            <w:tcW w:w="1809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9</w:t>
            </w:r>
          </w:p>
        </w:tc>
        <w:tc>
          <w:tcPr>
            <w:tcW w:w="6202" w:type="dxa"/>
            <w:shd w:val="clear" w:color="auto" w:fill="auto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для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облигаций,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условия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выпуска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которых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предполагают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их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погашение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преимущественно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неденежными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средствами,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сроком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обращения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от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5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лет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до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30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лет;</w:t>
            </w:r>
          </w:p>
        </w:tc>
      </w:tr>
      <w:tr w:rsidR="00F026DC" w:rsidRPr="00B87ADC" w:rsidTr="00B87ADC">
        <w:tc>
          <w:tcPr>
            <w:tcW w:w="1809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0</w:t>
            </w:r>
          </w:p>
        </w:tc>
        <w:tc>
          <w:tcPr>
            <w:tcW w:w="6202" w:type="dxa"/>
            <w:shd w:val="clear" w:color="auto" w:fill="auto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для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облигаций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иными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сроком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обращения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и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видом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выплачиваемого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дохода.</w:t>
            </w:r>
          </w:p>
        </w:tc>
      </w:tr>
    </w:tbl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Шестой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седьмой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разряды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(X6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X7)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идентификационного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номера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указывают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эмитента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имеют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значения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соответственно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"B"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"R"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("Bank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of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Russia").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Восьмой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девятый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разряды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(X8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X9)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идентификационного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номера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указывают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год,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котором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осуществляется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присвоение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идентификационного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номера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соответствующему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Указанным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разрядам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присваиваются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значения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двух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последних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цифр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года,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котором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осуществляется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присвоение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идентификационного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номера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соответствующему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Дополнительному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присваивается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идентификационный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номер,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присвоенный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которому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он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дополнительным.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Выпуск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оформляется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сертификатом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Размещение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производится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порядке,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устанавливаемом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Комитетом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политике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соответствии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утвержденным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Советом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директоров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решением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числе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форме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аукциона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(аукционов)).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Решением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может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быть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предусмотрено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размещение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отдельными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частями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(траншами)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течение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размещения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этого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выпуска.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Размещение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начинается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ранее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3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дней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даты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раскрытия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информации,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содержащейся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решении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путем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опубликования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странице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сети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"Интернет"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осуществляется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течение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срока,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установленного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решении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России.</w:t>
      </w:r>
    </w:p>
    <w:p w:rsidR="00F026DC" w:rsidRPr="00A03603" w:rsidRDefault="00F026DC" w:rsidP="000C53CF">
      <w:pPr>
        <w:widowControl w:val="0"/>
        <w:tabs>
          <w:tab w:val="left" w:pos="540"/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  <w:sectPr w:rsidR="00F026DC" w:rsidRPr="00A03603" w:rsidSect="00A03603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03603">
        <w:rPr>
          <w:sz w:val="28"/>
          <w:szCs w:val="28"/>
        </w:rPr>
        <w:t>Информация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принятии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Советом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директоров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решения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размещении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утверждении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Советом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директоров</w:t>
      </w:r>
      <w:r w:rsidR="000C53CF">
        <w:rPr>
          <w:sz w:val="28"/>
          <w:szCs w:val="28"/>
        </w:rPr>
        <w:t xml:space="preserve"> 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решения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завершении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размещения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исполнении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обязательств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облигациям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раскрывается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позднее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5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дней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даты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наступления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соответствующего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события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путем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опубликования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официального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сообщения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"Вестнике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России"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(или)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странице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сети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"Интернет",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также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может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передаваться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информационные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агентства.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Информация,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содержащаяся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решении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размещается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странице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сети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"Интернет",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также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может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быть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опубликована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"Вестнике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России"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(или)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передана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информационные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агентства.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Дополнительная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информация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размещении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может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распространяться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использованием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технических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возможностей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уполномоченного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организатора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торговли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:rsidR="000C53CF" w:rsidRDefault="000C53CF" w:rsidP="000C53CF">
      <w:pPr>
        <w:tabs>
          <w:tab w:val="left" w:pos="924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ХАРАКТЕРИСТИКА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2.1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Развитие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Создание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после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августовского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кризиса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1998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экстренной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мерой,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призванной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сгладить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негативные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последствия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замораживания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государственных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условиях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обострения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проблем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банковской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системы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могли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занять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освободившуюся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нишу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как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краткосрочный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рублевый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высоколиквидный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безрисковый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Однако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период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жесткой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нехватки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свободных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денежных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размещения,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предлагаемая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(60—80%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годовых)</w:t>
      </w:r>
      <w:r w:rsidRPr="00A03603">
        <w:rPr>
          <w:rStyle w:val="ab"/>
          <w:rFonts w:ascii="Times New Roman" w:hAnsi="Times New Roman"/>
          <w:color w:val="auto"/>
          <w:sz w:val="28"/>
          <w:szCs w:val="28"/>
          <w:lang w:val="ru-RU"/>
        </w:rPr>
        <w:footnoteReference w:id="3"/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устраивала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дилеров,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оборот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течение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сентября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незначительным.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Негативно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интерес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участников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повлияли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также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значительные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колебания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курса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доллара,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имевшие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место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сентябре.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Высокая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волатильность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валютного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позволяла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его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участникам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надеяться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более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высокую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сравнению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доходностью,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предлагаемой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вновь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размещаемым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инструментам.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Уже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начале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октября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организации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начали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проявлять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реальный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интерес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обусловлено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преодолением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кризиса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рублевых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ресурсов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стабилизацией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обменного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курса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течение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второй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половины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сентября.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Число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дилеров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постоянно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увеличивалось.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наибольший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прирост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числа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участников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произошел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второй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половине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сентября,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после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как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начал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реально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функционировать.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Структура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дилеров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значительно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отличалась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структуры,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которая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присуща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ГКО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ОФЗ.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Если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государственных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наиболее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активно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проявляли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себя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московские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участники,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состав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дилеров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более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диверсифицирован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территориальной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структуре.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Наиболее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активными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участниками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региональные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мелкие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которые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меньше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прочих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затронуты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кризисом.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Таким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основном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удалось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сохранить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клиентуру,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они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имели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достаточный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временно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свободных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ресурсов.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Хотя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создан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начале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сентября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1998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его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реальное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функционирование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началось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конце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сентября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—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начале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октября.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Первый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аукцион,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котором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состоялось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первичное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прошел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30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сентября.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аукционы,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проведении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которых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объявлял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признаны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несостоявшимися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из-за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заниженных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предлагаемых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дилерами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заявках.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Однако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началу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октября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процентные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ставки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несколько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снизились,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проведение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аукционов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размещению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новых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приобрело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регулярный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характер.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обороты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октябрь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(первый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месяц,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когда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торги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облигациям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приобретать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заметный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объем)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составили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90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млн.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рублей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номиналу.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увеличением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активности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участников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октябре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—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ноябре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происходило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снижение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вторичном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80%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годовых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сентябрь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55%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—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октябре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41%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—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ноябре.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Некоторое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увеличение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процентных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ставок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произошло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конце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ноября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—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начале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декабря,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вызвано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резким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увеличением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курса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доллара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связи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завершением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моратория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внешним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долгам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оттоком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рублевого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валютный.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второй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половине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декабря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ситуация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валютном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стабилизировалась,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повлияло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некоторое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снижение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середине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месяца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54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44%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годовых.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Начиная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середины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месяца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снова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наметился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доходности,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вызванный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сезонными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факторами: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конце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перед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встала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необходимость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закрытия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балансов,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связи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продавать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часть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имеющихся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Одновременно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декабре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наблюдалась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наибольшая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активность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участников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вторичном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—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обороты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месяц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составили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более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152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C53CF" w:rsidRPr="00A03603">
        <w:rPr>
          <w:rFonts w:ascii="Times New Roman" w:hAnsi="Times New Roman"/>
          <w:color w:val="auto"/>
          <w:sz w:val="28"/>
          <w:szCs w:val="28"/>
          <w:lang w:val="ru-RU"/>
        </w:rPr>
        <w:t>млн.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рублей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номиналу.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середины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января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1999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возобновил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функционирование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государственных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возобновление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обращения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ГКО—ОФЗ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практически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сказалось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объеме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торгов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облигациям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Средний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оборот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январь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составил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145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C53CF" w:rsidRPr="00A03603">
        <w:rPr>
          <w:rFonts w:ascii="Times New Roman" w:hAnsi="Times New Roman"/>
          <w:color w:val="auto"/>
          <w:sz w:val="28"/>
          <w:szCs w:val="28"/>
          <w:lang w:val="ru-RU"/>
        </w:rPr>
        <w:t>млн.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рублей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день.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сохранялся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достаточно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высокий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спрос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стороны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участников,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благодаря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чему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смог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вторичных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торгах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реализовать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практически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весь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ходе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аукционов.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17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февраля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1999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погашен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последний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новых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временно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приостановлено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связи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возникшими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вопросами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правомерности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собственных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Законодательство,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действовавшее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момент,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содержало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четкого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описания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процедуры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эмиссии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Применение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же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порядка,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описанного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Федеральном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законе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«О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регламентирующего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корпоративных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необоснованным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следующим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причинам.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Федеральный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закон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«О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регулирует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обращение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обязательств,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выпущенных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эмитентами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финансирования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расходов.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целях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защиты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интересов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инвесторов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предотвращения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обязательств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высоким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риском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дефолта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предприятия,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эмитирующие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целью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привлечения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заемных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должны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пройти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через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предусмотренные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законом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процедуры.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Однако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соблюдение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данных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процедур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отношении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является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нецелесообразным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связи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тем,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эмитирует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целью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привлечения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финансирования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расходов,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целью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реализации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денежно-кредитной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политики.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Поскольку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управление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ликвидностью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носит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оперативный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характер,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должен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иметь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возможность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гибкого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принятия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решений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объемах,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предусмотренных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законодательством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Однако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июлю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1999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существовавшие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ранее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проблемы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устранены: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8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июля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1999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вступил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силу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закон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«О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внесении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дополнений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Федеральный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закон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«О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Российской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Федерации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(Банке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России)»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Федеральный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закон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«О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бумаг»,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разрешавший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осуществлять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эмиссию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собственных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двух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номинальным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объемом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млрд.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каждый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состоялось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аукционе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6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сентября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2001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аукционе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размещению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14-дневных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продано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сумму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420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млн.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номиналу,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средневзвешенная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составила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99,6%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номинала,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средневзвешенной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9,7%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годовых.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аукционе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размещению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21-дневных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продано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сумму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435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C53CF" w:rsidRPr="00A03603">
        <w:rPr>
          <w:rFonts w:ascii="Times New Roman" w:hAnsi="Times New Roman"/>
          <w:color w:val="auto"/>
          <w:sz w:val="28"/>
          <w:szCs w:val="28"/>
          <w:lang w:val="ru-RU"/>
        </w:rPr>
        <w:t>млн.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номиналу,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средневзвешенная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равнялась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99,4%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номинала,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средневзвешенной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10,3%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годовых.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Спрос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размещаемые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невысоким: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21%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эмиссии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14-дневных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22%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эмиссии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21-дневных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есть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незначительно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превышен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уровень,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необходимый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признания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аукциона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состоявшимся.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аукционе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приняли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24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организации,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основном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региональные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банки.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сравнению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2-недельными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депозитами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премия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исходя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средневзвешенной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аукционной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14-дневному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составила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0,68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процентного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пункта,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21-дневный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доходностью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0,32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процентного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пункта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выше,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депозиты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месяц.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Значительный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интерес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стороны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региональных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объясняется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наличием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избыточной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регионах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отсутствием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там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более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привлекательных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краткосрочных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инструментов.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московских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проблема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нехватки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краткосрочных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вложения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свободных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период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столь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острой,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они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выставили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заявки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неприемлемой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доходности.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Следует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учесть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также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необходимость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предварительного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однодневного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депонирования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аукционах,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соответственно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снижает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фактическую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вложений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Результаты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эмиссии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могли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более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значительными,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если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участники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уверены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регулярном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поддержке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вторичного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Активность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вторичном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низкой.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вторичном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течение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всего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периода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обращения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(до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конца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сентября)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каждым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заключено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всего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две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сделки: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14-дневным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доходностью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8,4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8,7%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годовых,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21-дневным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7,3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9%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годовых.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Среднемесячный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простой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индикатор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рыночного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портфеля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составил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7,78%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годовых,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индикатор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рыночного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оборота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7,95%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годовых.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Небольшой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вторичном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объясняется,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частности,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тем,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данные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имели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весьма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короткий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период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обращения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купившие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аукционах,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предпочитали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держать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погашения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(эффективность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купли-продажи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краткосрочных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значительно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снижается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из-за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необходимости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уплаты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комиссионного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вознаграждения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бирже),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также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тем,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уровень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денежном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анализируемый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период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близок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оптимальному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крупные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испытывали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потребности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дополнительных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инструментах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регулирования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ликвидности.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октября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2004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середину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февраля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2005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совокупный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оборот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вторичных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торгах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составил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25,9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="000C53CF" w:rsidRPr="00A03603">
        <w:rPr>
          <w:rFonts w:ascii="Times New Roman" w:hAnsi="Times New Roman"/>
          <w:color w:val="auto"/>
          <w:sz w:val="28"/>
          <w:szCs w:val="28"/>
          <w:lang w:val="ru-RU"/>
        </w:rPr>
        <w:t>млрд.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связи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подписанием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Президентом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Российской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Федерации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Федерального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закона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18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июня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2005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№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61-ФЗ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«О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внесении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изменений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Федеральный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закон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«О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бумаг»,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Федеральный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закон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«О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защите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прав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законных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интересов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инвесторов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Федеральный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закон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«О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Российской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Федерации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(Банке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России)»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предоставлено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право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осуществлять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эмиссию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без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государственной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регистрации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без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государственной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регистрации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отчета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итогах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выпуска.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Данный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федеральный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закон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позволил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минимальные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сроки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использовать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данный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инструментарий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оперативно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влиять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банковской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уровень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процентных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ставок.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второй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половины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марта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2005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начал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ежедневно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выставлять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двусторонние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котировки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покупку-продажу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целях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обеспечения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возможности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участникам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временно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свободных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денежных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продажи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Данная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практика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способствовала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постепенному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повышению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как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следствие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расширению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стерилизационных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возможностей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Однако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операциям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поддерживалась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относительно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невысоком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уровне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(преимущественно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3,5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4,5%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годовых),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чтобы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вызвать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роста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ставок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денежного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условиях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формирования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высокого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уровня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свободной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2006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банковском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секторе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приняты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меры,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направленные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ограничение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роста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денежного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предложения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счет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активизации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применения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стерилизационных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инструментов.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целях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принимал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решения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повышении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процентных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ставок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инструментам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постоянного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действия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депозитным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операциям,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проводимым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стандартных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условиях.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Указанные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изменения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сопровождались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соответствующей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корректировкой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ставок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депозитным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операциям,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проводимым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аукционной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основе,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операциям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облигациями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(ОБР).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январь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сентябрь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2006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средневзвешенная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составила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4,9%.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ставок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операциям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отразился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увеличении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объемов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абсорбируемой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ликвидности.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целом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январь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сентябрь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счет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проведения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кредитными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организациями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депозитных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абсорбировал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229,1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млрд.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рублей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(50,4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млрд.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рублей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соответствующий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период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2005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года)</w:t>
      </w:r>
      <w:r w:rsidRPr="00A03603">
        <w:rPr>
          <w:rStyle w:val="ab"/>
          <w:rFonts w:ascii="Times New Roman" w:hAnsi="Times New Roman"/>
          <w:color w:val="auto"/>
          <w:sz w:val="28"/>
          <w:szCs w:val="28"/>
          <w:lang w:val="ru-RU"/>
        </w:rPr>
        <w:footnoteReference w:id="4"/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реализации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денежно-кредитной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политики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январе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мае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2007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активизировал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проведение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депозитных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(ОБР).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Задолженность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депозитным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операциям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операциям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кредитными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организациями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возросла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январь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май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2007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1,4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трлн.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рублей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против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0,3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трлн.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рублей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же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период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2006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Pr="00A03603">
        <w:rPr>
          <w:rStyle w:val="ab"/>
          <w:rFonts w:ascii="Times New Roman" w:hAnsi="Times New Roman"/>
          <w:color w:val="auto"/>
          <w:sz w:val="28"/>
          <w:szCs w:val="28"/>
          <w:lang w:val="ru-RU"/>
        </w:rPr>
        <w:footnoteReference w:id="5"/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2007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произошло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изменение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схемы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Вместо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продажи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долгосрочных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шестимесячной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офертой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начал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краткосрочные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сроком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погашения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7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месяцев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шестимесячным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опционом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"пут".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Первый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краткосрочных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объемом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250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млрд.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рублей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состоялся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15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марта.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Как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прежде,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проводится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ежеквартально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последующим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регулярным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доразмещением.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аукционы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размещению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новых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сопровождаются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предложением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досрочном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выкупе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уже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обращающегося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выпуска.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2.2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Центральный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основным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проводником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политики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органом,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осуществляющим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регулирование.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регулирование,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являясь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одной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составляющих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экономической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политики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государства,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одновременно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позволяет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сочетать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макроэкономическое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воздействие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возможностями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быстрой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корректировки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регулирующих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мер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служит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инструментом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оперативной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гибкой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поддержки.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Главной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целью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политики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государства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поддержание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стабильности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национальной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единицы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кредитно-банковской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системы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страны.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Промежуточные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приоритеты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политики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изменяются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зависимости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конкретной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экономической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ситуации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стране.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Опыт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многих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стран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свидетельствует,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административные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меры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регулирования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играют,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одной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стороны,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определенную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положительную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роль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условиях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отсутствия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развитых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финансовых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рынков.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Однако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они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приводят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существенному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снижению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уровня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инфляции.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другой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стороны,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развитие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финансовых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рынков,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создание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новых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финансовых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инструментов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значительной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степени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ослабили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действенность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административного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регулирования.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связи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этим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центральные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постепенно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отказываться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применения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этих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80-е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века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постепенно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перешли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использование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преимущественно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рыночных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инструментов.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Основными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рыночными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инструментами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политики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являются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установление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минимальных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резервных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требований,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регулирование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официальной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учетной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ставки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открытом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Операции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открытом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–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наиболее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действенный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гибкий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рыночный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инструмент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политики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центрального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обеспечивающий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эффективное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воздействие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банковский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следовательно,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экономику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целом.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Последствия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открытом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предсказуемы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краткосрочны,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вызывают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заданную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реакцию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Проведение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открытом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преследует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следующие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цели: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сокращение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увеличение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объемов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избыточных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резервов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воздействие,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таким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образом,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потенциал;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влияние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уровень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процентных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ставок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через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величину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избыточных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банковских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резервов;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упорядоченного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государственных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бумаг;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влияние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векселей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коммерческих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бумаг;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влияние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валютные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международные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капиталов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через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изменение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процентных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ставок.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Операции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открытом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становятся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основным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инструментом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проведения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политики.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точки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зрения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управления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ликвидностью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балансов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организаций,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всех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инструментов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проведения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политики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участием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государственных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являются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одним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наиболее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гибких,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оперативных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следовательно,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эффективных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инструментов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политики.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Операции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являются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одним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наиболее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популярных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быстро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развивающихся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видов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финансовых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стран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развитой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экономикой.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Бурный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этих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США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странах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Европы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1990-е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особенно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2000-е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привел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тому,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объемы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сегодня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превосходят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объемы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спот-рынка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(объемы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купли/продажи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облигаций).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соответствии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принятой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международной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практикой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относятся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классу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так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называемых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«операций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возвратной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основе».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Зарубежные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эксперты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определяют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следующим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образом: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«РЕПО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продажа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одновременным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соглашением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выкупе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эквивалентных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установленную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дату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будущем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требованию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первоначальную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стоимость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плюс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проценты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пользование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средствами».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Иначе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говоря,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представляет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собой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обмен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двумя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контрагентами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последующим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обратным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обменом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этими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активами.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Таким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образом,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экономической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сути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кредитованием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под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активом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(ценными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бумагами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средствами),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оформленным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куплей/продажей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Стоимость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продаже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выступает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качестве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суммы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основного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долга.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соответствии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этим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выкупе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происходят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возврат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суммы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основного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долга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уплата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процентов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пользование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средствами,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которые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вместе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образуют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стоимость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выкупе.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Продажа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также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называется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«первой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частью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РЕПО»,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время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выкуп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–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«второй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частью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РЕПО».</w:t>
      </w:r>
    </w:p>
    <w:p w:rsidR="00F026DC" w:rsidRPr="00A03603" w:rsidRDefault="00F026DC" w:rsidP="000C53CF">
      <w:pPr>
        <w:pStyle w:val="a3"/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присущ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ряд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уникальных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черт,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наличие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которых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обеспечило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широкое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распространение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этого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типа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операций: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переход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права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собственности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покупке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отличие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кредитования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под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залог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бумаг),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дает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покупателю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лучшую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сравнению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положением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кредитора-залогодержателя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защищенность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случае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неисполнения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обязательства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выкупу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(возврату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продавцом,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иначе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говоря,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дефолте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продавца;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покупатель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может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свободно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распоряжаться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бумагами,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приобретенными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(так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выкуп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производится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тех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были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проданы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эквивалентных),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позволяет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ему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только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предоставить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средства,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извлекать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дополнительные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выгоды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распоряжения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бумагами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(например,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продаже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использовании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качестве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обеспечения);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высокая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гибкость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выражающаяся,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частности,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возможности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участника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рамках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одного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соглашения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привлекать/предоставлять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средства;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возможность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участника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эффективно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управлять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рисками,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возникающими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предоставлении/привлечении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активов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счет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проработанной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системы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соответствующих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механизмов.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Ключевым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преимуществом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кредитор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получает,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говорят,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«двойную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защиту»: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дефолте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контрагента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он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реализует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обеспечение,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обесценении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(например,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результате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дефолта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эмитента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являющихся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заемщик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исполняет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обязательство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возврату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полученных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Таким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образом,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риск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потери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всей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суммы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предоставленных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может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реализоваться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кредитора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только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случае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одновременного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дефолта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контрагента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обесценения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обеспечения.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Иначе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говоря,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заключении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вместо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предоставления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необеспеченного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риск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заемщика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замещается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кредитора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рыночным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риском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(т.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риском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изменения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рыночной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стоимости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обеспечения)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риском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ликвидности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(т.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дефолте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контрагента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окажется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невозможным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оперативно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получить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необходимом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объеме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реализации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обеспечения).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управления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этими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рисками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существуют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следующие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механизмы: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1)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начальная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маржа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дисконт,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представляют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себя,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сущности,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одно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же,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именно,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величину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превышения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стоимости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над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суммой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предоставляемых/получаемых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(разница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только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том,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начальная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маржа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рассчитывается,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исходя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суммы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дисконт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посредством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уменьшения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стоимости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обеспечения;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использование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начальной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маржи,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дисконта,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устанавливается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соглашением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сторон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РЕПО);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2)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поддержание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маржи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течение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(периода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времени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исполнением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датой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второй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результате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наращивания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процентов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ставке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предоставленные/полученные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изменения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рыночной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стоимости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являющихся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установленная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заключении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величина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начальной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маржи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дисконта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изменяется.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сохранения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рисков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согласованных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рамках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стороны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могут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договориться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поддержании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первоначального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уровня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маржи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дисконта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посредством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внесения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одним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контрагентом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другому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соответствующей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суммы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количества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маржевого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взноса.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Таким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образом,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если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рыночная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стоимость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падает,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покупатель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требует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дополнительное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возврат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если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рыночная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стоимость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растет,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продавец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требует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дополнительной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суммы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возврат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обеспечения.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Практика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совершения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существовала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середины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1990-х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виде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либо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заключения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международных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номинированными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иностранной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валюте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бумагами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и/или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зарубежными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контрагентами)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соответствии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нормами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иностранного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права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положениями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типового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соглашения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сделках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либо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внутреннем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виде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заключения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двух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связанных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малосвязанных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договоров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купли/продажи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обычно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без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указания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Именно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ГЦБ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российский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финансовый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обязан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развитием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Исторически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ГЦБ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были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введены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прямого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против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закрытия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коротких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позиций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Участников.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запуск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состоялся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октябре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1996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Затем,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сентября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1997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начал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проведение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аукционов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прямого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два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вида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активно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использовались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ГЦБ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момента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запуска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августовского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кризиса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1998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года,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когда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проведение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всех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ГКО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ОФЗ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числе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проведение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выпусками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ГКО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ОФЗ)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было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приостановлено.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Указанные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выше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регулировались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Приказом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15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июня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1995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№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02-125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«Об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утверждении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новой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редакции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Положения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обслуживании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обращении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государственных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краткосрочных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бескупонных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связи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началом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региональных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ГКО».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условиях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отсутствия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упоминания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гражданском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законодательстве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данное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Положение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определяло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«договоры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(сделки)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купли/продажи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обязательством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обратного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выкупа».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одной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стороны,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указывалось,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заключаются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основании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единой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заявки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путем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одновременной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регистрации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двух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частей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РЕПО: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которой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исполнение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производится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заключения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также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второй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которой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исполнение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производится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установленный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отличный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дня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заключения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стороны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приложениях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именовались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Кредитором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Заемщиком.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другой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стороны,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торговалась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скорее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ставка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(только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РЕПО).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Кроме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того,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данном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документе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отсутствовали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любые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упоминания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всех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ранее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рассматривавшихся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механизмах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условиях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отсутствия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дисконтирования,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маржирования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элементов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системы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управления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рисками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также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учетом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сохранения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принципа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анонимности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аналогично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спот-рынку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ГЦБ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ключевой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вопрос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исполнения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обязательств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решался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счет: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1)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наличия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контрагентов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который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всегда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исполняет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обязательства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перед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которым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всегда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стараются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исполнить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обязательства;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2)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установления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жестких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ограничений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условия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частности,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(сначала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только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день,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впоследствии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дня)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исполнения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второй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(фиксировалась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каждый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каждого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РЕПО);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3)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установления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каждого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дилера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лимита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проведения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зависимости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размера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портфеля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ГЦБ;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4)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автоматического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исполнения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вторых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частей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Незадолго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кризиса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июле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1998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ГЦБ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было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введено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«Дилер-Инвестор»,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проведение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которого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(как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всех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других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ГКО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ОФЗ)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было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приостановлено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17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августа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1998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ходе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кризиса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условиях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приостановки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всех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ГКО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ОФЗ)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8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октября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1998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начал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проведение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аукционов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закрытия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«коротких»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позиций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выпусками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которые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просуществовали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ГЦБ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февраля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1999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когда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были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погашены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последние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выпущенные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1998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</w:t>
      </w:r>
      <w:r w:rsidRPr="00A03603">
        <w:rPr>
          <w:rStyle w:val="ab"/>
          <w:sz w:val="28"/>
          <w:szCs w:val="28"/>
        </w:rPr>
        <w:footnoteReference w:id="6"/>
      </w:r>
      <w:r w:rsidRPr="00A03603">
        <w:rPr>
          <w:sz w:val="28"/>
          <w:szCs w:val="28"/>
        </w:rPr>
        <w:t>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Затем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октября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1999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ГЦБ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были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введены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междилерского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Однако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из-за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неудачного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времени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запуска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(рынок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ГЦБ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был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разрушен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кризисом),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также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нерешенности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ряда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проблем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бухгалтерского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учета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налогообложения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неоправданных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ценовых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ограничений,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установленных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целях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сохранения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гарантий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исполнения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вторых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частей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данные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междилерского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были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востребованы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рынком.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Новым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импульсом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развитии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государственными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облигациями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послужил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запуск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августе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2003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междилерского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соответствии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Положением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25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марта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2003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№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220-П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"О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порядке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заключения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исполнения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государственными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бумагами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Российской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Федерации".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Механизм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проведения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подобных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соответствует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современной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практике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развитых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предусматривает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такие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механизмы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управления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рисками,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дисконтирование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поддержание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маржи.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Положении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№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220-П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сделана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попытка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последовательно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подробно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описать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особенности,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связанные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юридической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формой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экономическим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содержанием,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также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порядок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заключения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исполнения.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целях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Положения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№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220-П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определяется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«двусторонняя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продаже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(покупке)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(далее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первая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обязательством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обратной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покупки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(продажи)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же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же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количестве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(далее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вторая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через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определенный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условиями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такой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определенной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условиями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такой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цене».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продавец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(далее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Первоначальный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продавец)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покупателем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второй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покупатель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(далее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Первоначальный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покупатель)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продавцом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второй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Кроме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того,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там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же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однозначно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описаны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переходы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права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собственности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проведении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отличает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кредитования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под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залог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облигаций: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«Право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собственности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являющиеся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предметом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купли-продажи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переходит: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результате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исполнения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Первоначального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продавца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Первоначальному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покупателю;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результате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исполнения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второй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части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Первоначального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покупателя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Первоначальному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продавцу».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Лишь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осенью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2004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началось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формирование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полноценного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междилерского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когда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регулярные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обороты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пришли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смену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единичным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операциям.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Бурный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междилерского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произошел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2005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обороты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итогам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года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достигли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315</w:t>
      </w:r>
      <w:r w:rsidR="000C53CF">
        <w:rPr>
          <w:sz w:val="28"/>
          <w:szCs w:val="28"/>
        </w:rPr>
        <w:t xml:space="preserve"> </w:t>
      </w:r>
      <w:r w:rsidR="000C53CF" w:rsidRPr="00A03603">
        <w:rPr>
          <w:sz w:val="28"/>
          <w:szCs w:val="28"/>
        </w:rPr>
        <w:t>млрд.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руб.,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11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превышает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уровень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2004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Количество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заключенных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2005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составило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более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4,5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тыс.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шт.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Сформировался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круг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постоянно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работающих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участников,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который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вошло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большинство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основных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участников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российского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финансового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всего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многообразия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выделились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ключевые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которые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пришлись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основные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обороты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этим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операциям: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7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14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дней.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Новые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рекорды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междилерского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были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поставлены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2006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говорит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дальнейшем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крайне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активном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развитии: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оборот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данных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3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квартала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2006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2,5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превысил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оборот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весь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2005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достиг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791,8</w:t>
      </w:r>
      <w:r w:rsidR="000C53CF">
        <w:rPr>
          <w:sz w:val="28"/>
          <w:szCs w:val="28"/>
        </w:rPr>
        <w:t xml:space="preserve"> </w:t>
      </w:r>
      <w:r w:rsidR="000C53CF" w:rsidRPr="00A03603">
        <w:rPr>
          <w:sz w:val="28"/>
          <w:szCs w:val="28"/>
        </w:rPr>
        <w:t>млрд.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руб.;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количество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3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квартала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2006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составило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8,7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тыс.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шт.,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увеличившись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сравнению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2005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почти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раза;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количество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дилеров,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заключивших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междилерского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течение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3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кварталов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2006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превысило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90.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Таким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образом,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можно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утверждать,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междилерского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важным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динамично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развивающимся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сегментом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позволяющим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участникам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эффективно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привлекать/предоставлять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средства,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высоконадежными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бумагами.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Среди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2006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продолжают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преобладать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7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14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дней,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которые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сформировались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качестве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ключевых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еще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2005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Однако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структура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междилерского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разрезе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претерпела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существенные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изменения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наблюдается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сокращение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Наибольший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объем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2005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приходился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14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дней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(34,7%),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затем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следовали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7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дней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(28,8%)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день1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(8,7%).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2006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произошло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значительное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сокращение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доли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оборотах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14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дней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17%,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причем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дня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увеличилась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более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3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27,6%.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Лидирующие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позиции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2006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занимает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7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дней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(29,3%),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хотя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оборотах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претерпела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существенных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изменений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сравнению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2005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мере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развития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междилерского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индикаторы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уровня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процентных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ставок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7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14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дней,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которые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являются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ключевыми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сроками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становятся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все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более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более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репрезентативными,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начиная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выполнять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роль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важных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индикаторов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Наблюдается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схожая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динамика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средневзвешенных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ставок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ставок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межбанковского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кредитования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(МБК).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Средневзвешенные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ставки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превышают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ставки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МБК,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однако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целом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спрэд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ними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постепенно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сокращается.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Более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того,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ставки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менее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волатильны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сравнению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ставками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МБК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период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сокращения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банковской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ликвидности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процентных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ставок.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Немаловажным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аспектом,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характеризующим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междилерского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структура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обеспечения,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есть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которыми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заключаются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Несмотря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факт,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междилерского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можно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заключать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любыми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облигациями,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обращающимися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государственных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ММВБ,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настоящее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время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достаточно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четко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определился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перечень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выступающих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обеспечением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сделкам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ним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относятся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наиболее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ликвидные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ОФЗ,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числе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эталонные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выпуски.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результате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10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наиболее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ликвидных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выпусков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ОФЗ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приходится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90,1%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совокупного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оборота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междилерского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целях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дальнейшего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развития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междилерского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середине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октября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2006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ММВБ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был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введен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новый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временной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регламент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торгов,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клиринга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расчетов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междилерского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Основной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задачей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изменения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временного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регламента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стала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отстыковка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расчетов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итогам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проведения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рейсами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обработки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платежей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позволяет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участникам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более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эффективно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управлять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средствами,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числе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переводить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деньги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исполнения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обязательств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сделкам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условиях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финансового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кризиса,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который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«догнал»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российский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середине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сентября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2008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года,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значение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операций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основного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инструмента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«поставки»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ликвидности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падающую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банковскую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систему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возросло.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основным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источником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ликвидности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сентября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2008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года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стал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2009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году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финансовые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институты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значительной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степени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адаптировались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экономической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ситуации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высокой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волатильности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финансовых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инструментов.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2009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году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итоги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аукционов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прямого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являются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подтверждением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того,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что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государство,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лице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РФ,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остается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банковской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системы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основным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источником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ликвидности.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Предметом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сделок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прямого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РЕПО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настоящее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время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является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достаточно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широкий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перечень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государственных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том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числе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субфедеральных)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корпоративных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облигаций,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обладающих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соответствующими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инвестиционными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характеристиками.</w:t>
      </w:r>
    </w:p>
    <w:p w:rsidR="000C53CF" w:rsidRDefault="000C53CF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2.3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как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инструмент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политики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В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политике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ОБР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выполняют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следующую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роль:</w:t>
      </w:r>
    </w:p>
    <w:p w:rsidR="00F026DC" w:rsidRPr="00A03603" w:rsidRDefault="00F026DC" w:rsidP="000C53CF">
      <w:pPr>
        <w:pStyle w:val="BulletsMain"/>
        <w:widowControl w:val="0"/>
        <w:numPr>
          <w:ilvl w:val="0"/>
          <w:numId w:val="1"/>
        </w:numPr>
        <w:tabs>
          <w:tab w:val="left" w:pos="851"/>
          <w:tab w:val="left" w:pos="924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Разделение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денежно-кредитной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политики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государственного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долга;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Необходимость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разделения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функций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привлечения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финансирования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бюджетного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дефицита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управления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банковской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ликвидностью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связана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различиями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задачах,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стоящих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перед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Министерством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банком.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странах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рыночной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экономикой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существует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четкое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разграничение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полномочий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Министерства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Функцией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Министерства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является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управление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государственными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финансами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соответственно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привлечение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финансирования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дефицита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государственного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бюджета.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целью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Минфин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выпускает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длительным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сроком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обращения,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многих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странах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выпускаются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бессрочные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облигации.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Функцией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является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проведение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денежно-кредитной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политики,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направленной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поддержание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национальной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валюты.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развивающихся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странах,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где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находятся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стадии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становления,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ощущается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острый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дефицит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денежно-кредитной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политики.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Поэтому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таких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стран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регулирования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уровня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процентных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ставок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эмитируют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собственные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(в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частности,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такая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практика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нашла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применение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Бразилии,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Мексике,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Венесуэле,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Польше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др.).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дальнейшем,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мере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развития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рынков,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использования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изменяются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либо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исчезает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потребность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применении,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прекращает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этому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пути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пошел,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частности,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Мексики.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развитых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странах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необходимость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эмиссии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собственных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центральными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зачастую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связана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тем,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профицит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бюджета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позволяет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правительствам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данных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стран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обходиться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без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привлечения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заимствований.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Монетарные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органы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власти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таких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стран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нуждаются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инструменте,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заменяющем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государственные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облигации.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целью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таких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стран,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как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Бельгия,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Финляндия,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Нидерланды,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выпускают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собственные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бумаги.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возможность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обсуждалась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протяжении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нескольких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лет.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Однако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момент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первоочередной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задачей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развитие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рыночных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покрытия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дефицита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бюджета.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Государственные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имели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короткий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обращения,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активно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использовал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целях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денежно-кредитного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регулирования.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параметрами,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аналогичными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государственным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облигациям,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мог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создать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нежелательную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конкуренцию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ГКО—ОФЗ.</w:t>
      </w:r>
    </w:p>
    <w:p w:rsidR="00F026DC" w:rsidRPr="00A03603" w:rsidRDefault="00F026DC" w:rsidP="000C53CF">
      <w:pPr>
        <w:pStyle w:val="BulletsMain"/>
        <w:widowControl w:val="0"/>
        <w:numPr>
          <w:ilvl w:val="0"/>
          <w:numId w:val="1"/>
        </w:numPr>
        <w:tabs>
          <w:tab w:val="left" w:pos="851"/>
          <w:tab w:val="left" w:pos="924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обеспечение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системы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рефинансирования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коммерческих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банков;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выполняет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функцию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кредитора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последней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инстанции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организует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систему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рефинансирования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коммерческих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сентября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предоставление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осуществлялось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форме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ломбардных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под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залог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ГКО—ОФЗ.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После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реструктуризации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государственные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потеряли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ликвидность,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полноценное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функционирование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системы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рефинансирования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невозможным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из-за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отсутствия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адекватного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обеспечения.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Возникла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необходимость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введении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новых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регулирования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банковской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ликвидности.</w:t>
      </w:r>
    </w:p>
    <w:p w:rsidR="00F026DC" w:rsidRPr="00A03603" w:rsidRDefault="00F026DC" w:rsidP="000C53CF">
      <w:pPr>
        <w:pStyle w:val="BulletsMain"/>
        <w:widowControl w:val="0"/>
        <w:numPr>
          <w:ilvl w:val="0"/>
          <w:numId w:val="1"/>
        </w:numPr>
        <w:tabs>
          <w:tab w:val="left" w:pos="851"/>
          <w:tab w:val="left" w:pos="924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Pr="00A03603">
        <w:rPr>
          <w:rFonts w:ascii="Times New Roman" w:hAnsi="Times New Roman"/>
          <w:color w:val="auto"/>
          <w:sz w:val="28"/>
          <w:szCs w:val="28"/>
        </w:rPr>
        <w:t>терилизация</w:t>
      </w:r>
      <w:r w:rsidR="000C53C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</w:rPr>
        <w:t>избыточного</w:t>
      </w:r>
      <w:r w:rsidR="000C53C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</w:rPr>
        <w:t>денежного</w:t>
      </w:r>
      <w:r w:rsidR="000C53C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</w:rPr>
        <w:t>предложения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;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кризис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привел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необходимости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принятия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мер,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влекущих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собой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умеренную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эмиссию.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предоставление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денежных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носит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целевой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характер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призвано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помочь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именно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институтам,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проблемы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которых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окажут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наиболее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неблагоприятное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влияние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ситуацию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стране.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же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время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даже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такая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умеренная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эмиссия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увеличивает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предложение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денег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провоцирует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инфляции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падение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курса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рубля.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условиях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необходимо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создание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рублевого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инструмента,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способного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альтернативой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вложениям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валюту,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стерилизации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избыточного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денежного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предложения.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дают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возможность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изымать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именно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тех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которые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данный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момент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имеют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временно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свободные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денежные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средства,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таким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образом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проводить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целевую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стерилизацию.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текущей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ситуации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важная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позитивная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роль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будет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состоять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увеличении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срока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связывания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свободных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банковских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резервов.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Первоначально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эмиссия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будет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способствовать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удлинению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среднего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срока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заимствований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мере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того,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как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будут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замещать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неликвидные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долгосрочные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депозиты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(со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сроком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3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месяца).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Продолжением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процесса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будет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кредитными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организациями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части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которые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настоящее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время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находятся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корреспондентских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счетах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влекут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собой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большей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инфляционной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нагрузки,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любые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другие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привлечению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платной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основе.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же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время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возникающее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отдельные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моменты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избыточное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предложение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денег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представляет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собой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более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серьезную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угрозу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валютному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курсу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уровню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потенциальная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возможность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того,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все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держатели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одновременно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захотят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изъять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средства.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Определяя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параметры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эмиссии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(объем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выпуска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сроки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обращения)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получает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возможность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изымать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избыточную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именно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период,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который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приходится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максимальный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инфляционный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навес.</w:t>
      </w:r>
    </w:p>
    <w:p w:rsidR="00F026DC" w:rsidRPr="00A03603" w:rsidRDefault="00F026DC" w:rsidP="000C53CF">
      <w:pPr>
        <w:pStyle w:val="BulletsMain"/>
        <w:widowControl w:val="0"/>
        <w:numPr>
          <w:ilvl w:val="0"/>
          <w:numId w:val="1"/>
        </w:numPr>
        <w:tabs>
          <w:tab w:val="left" w:pos="851"/>
          <w:tab w:val="left" w:pos="924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</w:t>
      </w:r>
      <w:r w:rsidRPr="00A03603">
        <w:rPr>
          <w:rFonts w:ascii="Times New Roman" w:hAnsi="Times New Roman"/>
          <w:color w:val="auto"/>
          <w:sz w:val="28"/>
          <w:szCs w:val="28"/>
        </w:rPr>
        <w:t>правление</w:t>
      </w:r>
      <w:r w:rsidR="000C53C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</w:rPr>
        <w:t>внутренними</w:t>
      </w:r>
      <w:r w:rsidR="000C53C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</w:rPr>
        <w:t>процентными</w:t>
      </w:r>
      <w:r w:rsidR="000C53C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</w:rPr>
        <w:t>ставками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кризиса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система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управления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процентными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ставками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состояла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двух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элементов: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определение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ориентиров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верхней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нижней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границ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коридора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путем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установления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ставок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ломбардным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депозитным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операциям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оперативное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регулирование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уровня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процентных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ставок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внутри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коридора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через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проведение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операций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ГКО—ОФЗ.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После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замораживания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госдолга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потребовалось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введение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нового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инструмента.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настоящий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момент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эмиссия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большим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спектром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сроков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обращения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предоставит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распоряжение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эффективный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позволяющий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влиять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уровень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процентных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ставок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вложениям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</w:t>
      </w:r>
      <w:r w:rsidR="000C53CF" w:rsidRP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включительно.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очередь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организации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получат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высоколиквидный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вложения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временно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свободных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средств.</w:t>
      </w:r>
    </w:p>
    <w:p w:rsidR="00F026DC" w:rsidRPr="00A03603" w:rsidRDefault="00F026DC" w:rsidP="000C53CF">
      <w:pPr>
        <w:pStyle w:val="MGlava"/>
        <w:keepNext w:val="0"/>
        <w:widowControl w:val="0"/>
        <w:tabs>
          <w:tab w:val="left" w:pos="851"/>
          <w:tab w:val="left" w:pos="924"/>
        </w:tabs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b w:val="0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b w:val="0"/>
          <w:color w:val="auto"/>
          <w:sz w:val="28"/>
          <w:szCs w:val="28"/>
          <w:lang w:val="ru-RU"/>
        </w:rPr>
        <w:t>финансовом</w:t>
      </w:r>
      <w:r w:rsidR="000C53CF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b w:val="0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b w:val="0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b w:val="0"/>
          <w:color w:val="auto"/>
          <w:sz w:val="28"/>
          <w:szCs w:val="28"/>
          <w:lang w:val="ru-RU"/>
        </w:rPr>
        <w:t>выполняют</w:t>
      </w:r>
      <w:r w:rsidR="000C53CF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следующую</w:t>
      </w:r>
      <w:r w:rsidR="000C53CF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b w:val="0"/>
          <w:color w:val="auto"/>
          <w:sz w:val="28"/>
          <w:szCs w:val="28"/>
          <w:lang w:val="ru-RU"/>
        </w:rPr>
        <w:t>роль:</w:t>
      </w:r>
    </w:p>
    <w:p w:rsidR="00F026DC" w:rsidRPr="00A03603" w:rsidRDefault="00F026DC" w:rsidP="000C53CF">
      <w:pPr>
        <w:pStyle w:val="BulletsMain"/>
        <w:widowControl w:val="0"/>
        <w:numPr>
          <w:ilvl w:val="0"/>
          <w:numId w:val="1"/>
        </w:numPr>
        <w:tabs>
          <w:tab w:val="left" w:pos="851"/>
          <w:tab w:val="left" w:pos="924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Формирование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рыночной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оценки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стоимости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денежных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средств;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настоящее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время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одной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основных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проблем,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стоящих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перед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участниками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рынков,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является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отсутствие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ориентиров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стоимости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ресурсов.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условиях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низколиквидного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государственного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долга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практически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полной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остановке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межбанковского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распоряжении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коммерческих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остались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только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прямого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рефинансирования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определяется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участники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могут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напрямую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влиять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уровень.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отличие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доходности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нерыночных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ставки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облигациям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являются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результатом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балансирования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спроса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предложения.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Поэтому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являются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инструментом,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гибко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реагирующим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изменение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рыночной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конъюнктуры.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наличии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достаточного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спроса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ставки,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формирующиеся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вполне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смогут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ориентиром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стоимости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заимствований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участников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рынка.</w:t>
      </w:r>
    </w:p>
    <w:p w:rsidR="00F026DC" w:rsidRPr="00A03603" w:rsidRDefault="00F026DC" w:rsidP="000C53CF">
      <w:pPr>
        <w:pStyle w:val="BulletsMain"/>
        <w:widowControl w:val="0"/>
        <w:numPr>
          <w:ilvl w:val="0"/>
          <w:numId w:val="1"/>
        </w:numPr>
        <w:tabs>
          <w:tab w:val="left" w:pos="851"/>
          <w:tab w:val="left" w:pos="924"/>
        </w:tabs>
        <w:spacing w:line="36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Pr="00A03603">
        <w:rPr>
          <w:rFonts w:ascii="Times New Roman" w:hAnsi="Times New Roman"/>
          <w:color w:val="auto"/>
          <w:sz w:val="28"/>
          <w:szCs w:val="28"/>
        </w:rPr>
        <w:t>озрождение</w:t>
      </w:r>
      <w:r w:rsidR="000C53C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</w:rPr>
        <w:t>межбанковских</w:t>
      </w:r>
      <w:r w:rsidR="000C53C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</w:rPr>
        <w:t>операций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F026DC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Необходимым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условием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возрождения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межбанковского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является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наличие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развития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высоколиквидных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инструментов,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которые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могут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использованы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качестве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обеспечения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кредитов.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настоящий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момент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объемы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торгов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как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корпоративном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так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государственных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бумаг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невысоки.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условиях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эмиссия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предоставит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коммерческим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столь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необходимый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будет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способствовать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возрождению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МБК.</w:t>
      </w:r>
    </w:p>
    <w:p w:rsidR="00CF0C11" w:rsidRDefault="00CF0C11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0C53CF" w:rsidRDefault="000C53C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3.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АНАЛИЗ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Торговля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облигациями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осуществляется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через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торговую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систему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ММВБ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1998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использованием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тех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же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технических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же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правилам,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торговля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ГКО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ОФЗ.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соответствии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Законом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торгам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допущены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только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банки.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9"/>
        <w:gridCol w:w="616"/>
        <w:gridCol w:w="630"/>
        <w:gridCol w:w="672"/>
        <w:gridCol w:w="686"/>
        <w:gridCol w:w="672"/>
        <w:gridCol w:w="672"/>
        <w:gridCol w:w="685"/>
        <w:gridCol w:w="910"/>
        <w:gridCol w:w="766"/>
        <w:gridCol w:w="866"/>
        <w:gridCol w:w="580"/>
      </w:tblGrid>
      <w:tr w:rsidR="00F026DC" w:rsidRPr="00B87ADC" w:rsidTr="00B87ADC">
        <w:trPr>
          <w:trHeight w:val="405"/>
        </w:trPr>
        <w:tc>
          <w:tcPr>
            <w:tcW w:w="9571" w:type="dxa"/>
            <w:gridSpan w:val="13"/>
            <w:shd w:val="clear" w:color="auto" w:fill="auto"/>
            <w:noWrap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Объем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торгов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на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ММВБ</w:t>
            </w:r>
          </w:p>
        </w:tc>
      </w:tr>
      <w:tr w:rsidR="000C53CF" w:rsidRPr="00B87ADC" w:rsidTr="00B87ADC">
        <w:trPr>
          <w:trHeight w:val="495"/>
        </w:trPr>
        <w:tc>
          <w:tcPr>
            <w:tcW w:w="1816" w:type="dxa"/>
            <w:gridSpan w:val="2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b/>
                <w:bCs/>
                <w:sz w:val="20"/>
                <w:szCs w:val="20"/>
              </w:rPr>
            </w:pPr>
            <w:r w:rsidRPr="00B87ADC">
              <w:rPr>
                <w:b/>
                <w:bCs/>
                <w:sz w:val="20"/>
                <w:szCs w:val="20"/>
              </w:rPr>
              <w:t>Вид</w:t>
            </w:r>
            <w:r w:rsidR="000C53CF" w:rsidRPr="00B87ADC">
              <w:rPr>
                <w:b/>
                <w:bCs/>
                <w:sz w:val="20"/>
                <w:szCs w:val="20"/>
              </w:rPr>
              <w:t xml:space="preserve"> </w:t>
            </w:r>
            <w:r w:rsidRPr="00B87ADC">
              <w:rPr>
                <w:b/>
                <w:bCs/>
                <w:sz w:val="20"/>
                <w:szCs w:val="20"/>
              </w:rPr>
              <w:t>финансового</w:t>
            </w:r>
            <w:r w:rsidR="000C53CF" w:rsidRPr="00B87ADC">
              <w:rPr>
                <w:b/>
                <w:bCs/>
                <w:sz w:val="20"/>
                <w:szCs w:val="20"/>
              </w:rPr>
              <w:t xml:space="preserve"> </w:t>
            </w:r>
            <w:r w:rsidRPr="00B87ADC">
              <w:rPr>
                <w:b/>
                <w:bCs/>
                <w:sz w:val="20"/>
                <w:szCs w:val="20"/>
              </w:rPr>
              <w:t>инструмента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b/>
                <w:bCs/>
                <w:sz w:val="20"/>
                <w:szCs w:val="20"/>
              </w:rPr>
            </w:pPr>
            <w:r w:rsidRPr="00B87ADC">
              <w:rPr>
                <w:b/>
                <w:bCs/>
                <w:sz w:val="20"/>
                <w:szCs w:val="20"/>
              </w:rPr>
              <w:t>1998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b/>
                <w:bCs/>
                <w:sz w:val="20"/>
                <w:szCs w:val="20"/>
              </w:rPr>
            </w:pPr>
            <w:r w:rsidRPr="00B87ADC">
              <w:rPr>
                <w:b/>
                <w:bCs/>
                <w:sz w:val="20"/>
                <w:szCs w:val="20"/>
              </w:rPr>
              <w:t>1999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b/>
                <w:bCs/>
                <w:sz w:val="20"/>
                <w:szCs w:val="20"/>
              </w:rPr>
            </w:pPr>
            <w:r w:rsidRPr="00B87ADC"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b/>
                <w:bCs/>
                <w:sz w:val="20"/>
                <w:szCs w:val="20"/>
              </w:rPr>
            </w:pPr>
            <w:r w:rsidRPr="00B87ADC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b/>
                <w:bCs/>
                <w:sz w:val="20"/>
                <w:szCs w:val="20"/>
              </w:rPr>
            </w:pPr>
            <w:r w:rsidRPr="00B87ADC"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b/>
                <w:bCs/>
                <w:sz w:val="20"/>
                <w:szCs w:val="20"/>
              </w:rPr>
            </w:pPr>
            <w:r w:rsidRPr="00B87ADC"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b/>
                <w:bCs/>
                <w:sz w:val="20"/>
                <w:szCs w:val="20"/>
              </w:rPr>
            </w:pPr>
            <w:r w:rsidRPr="00B87ADC"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b/>
                <w:bCs/>
                <w:sz w:val="20"/>
                <w:szCs w:val="20"/>
              </w:rPr>
            </w:pPr>
            <w:r w:rsidRPr="00B87ADC">
              <w:rPr>
                <w:b/>
                <w:bCs/>
                <w:sz w:val="20"/>
                <w:szCs w:val="20"/>
              </w:rPr>
              <w:t>2005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b/>
                <w:bCs/>
                <w:sz w:val="20"/>
                <w:szCs w:val="20"/>
              </w:rPr>
            </w:pPr>
            <w:r w:rsidRPr="00B87ADC">
              <w:rPr>
                <w:b/>
                <w:bCs/>
                <w:sz w:val="20"/>
                <w:szCs w:val="20"/>
              </w:rPr>
              <w:t>2006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b/>
                <w:bCs/>
                <w:sz w:val="20"/>
                <w:szCs w:val="20"/>
              </w:rPr>
            </w:pPr>
            <w:r w:rsidRPr="00B87ADC">
              <w:rPr>
                <w:b/>
                <w:bCs/>
                <w:sz w:val="20"/>
                <w:szCs w:val="20"/>
              </w:rPr>
              <w:t>2007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b/>
                <w:bCs/>
                <w:sz w:val="20"/>
                <w:szCs w:val="20"/>
              </w:rPr>
            </w:pPr>
            <w:r w:rsidRPr="00B87ADC">
              <w:rPr>
                <w:b/>
                <w:bCs/>
                <w:sz w:val="20"/>
                <w:szCs w:val="20"/>
              </w:rPr>
              <w:t>2008</w:t>
            </w:r>
          </w:p>
        </w:tc>
      </w:tr>
      <w:tr w:rsidR="000C53CF" w:rsidRPr="00B87ADC" w:rsidTr="00B87ADC">
        <w:trPr>
          <w:trHeight w:val="591"/>
        </w:trPr>
        <w:tc>
          <w:tcPr>
            <w:tcW w:w="817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ОБР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млрд</w:t>
            </w:r>
            <w:r w:rsidR="000C53CF" w:rsidRPr="00B87ADC">
              <w:rPr>
                <w:sz w:val="20"/>
                <w:szCs w:val="20"/>
              </w:rPr>
              <w:t xml:space="preserve"> </w:t>
            </w:r>
            <w:r w:rsidRPr="00B87ADC">
              <w:rPr>
                <w:sz w:val="20"/>
                <w:szCs w:val="20"/>
              </w:rPr>
              <w:t>руб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6,82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2,8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—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1,29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—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—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34,50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264,615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377,68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7682,82</w:t>
            </w:r>
          </w:p>
        </w:tc>
        <w:tc>
          <w:tcPr>
            <w:tcW w:w="580" w:type="dxa"/>
            <w:shd w:val="clear" w:color="auto" w:fill="auto"/>
            <w:vAlign w:val="center"/>
          </w:tcPr>
          <w:p w:rsidR="00F026DC" w:rsidRPr="00B87ADC" w:rsidRDefault="00F026DC" w:rsidP="00B87ADC">
            <w:pPr>
              <w:widowControl w:val="0"/>
              <w:tabs>
                <w:tab w:val="left" w:pos="851"/>
                <w:tab w:val="left" w:pos="924"/>
              </w:tabs>
              <w:spacing w:line="360" w:lineRule="auto"/>
              <w:ind w:left="-112" w:right="-99"/>
              <w:jc w:val="center"/>
              <w:rPr>
                <w:sz w:val="20"/>
                <w:szCs w:val="20"/>
              </w:rPr>
            </w:pPr>
            <w:r w:rsidRPr="00B87ADC">
              <w:rPr>
                <w:sz w:val="20"/>
                <w:szCs w:val="20"/>
              </w:rPr>
              <w:t>215,45</w:t>
            </w:r>
          </w:p>
        </w:tc>
      </w:tr>
    </w:tbl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наглядности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данные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объеме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торгов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ММВБ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представлены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диаграмме: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F026DC" w:rsidRPr="00A03603" w:rsidRDefault="009E60AB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auto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45pt;height:170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">
            <v:imagedata r:id="rId11" o:title=""/>
            <o:lock v:ext="edit" aspectratio="f"/>
          </v:shape>
        </w:pic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диаграмме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можем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видеть,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1998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2004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ММВБ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незначительным,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либо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же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торгов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участием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вообще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состоялось.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2004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наблюдается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резкое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увеличение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объемов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торгов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связано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тем,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исключением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очень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коротких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периодов,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2000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достаточно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высоком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уровне.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Российская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банковская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система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характеризуется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избытком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денежных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ресурсов.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2007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наблюдается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резкий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скачок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-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торгов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участием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увеличился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более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сравнению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2006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годом.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Такая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активизация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связана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реализацией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денежно-кредитной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политики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условиях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формирования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высокого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уровня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свободной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банковском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секторе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приняты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меры,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направленные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ограничение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роста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денежного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предложения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счет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активизации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применения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стерилизационных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инструментов,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одним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которых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является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2008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наблюдается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снижение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объемов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торгов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уровня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ниже,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2006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году.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объясняется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началом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Мирового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финансового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кризиса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2008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году,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когда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банковской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системы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резко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снизилась,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испытывали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серьезные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потребности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финансировании.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данной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ситуации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размещение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большого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объема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было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нецелесообразным.</w:t>
      </w:r>
    </w:p>
    <w:p w:rsidR="00F026DC" w:rsidRPr="00B87ADC" w:rsidRDefault="00CF0C11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FFFFFF"/>
          <w:sz w:val="28"/>
          <w:szCs w:val="28"/>
          <w:lang w:val="ru-RU"/>
        </w:rPr>
      </w:pPr>
      <w:r w:rsidRPr="00B87ADC">
        <w:rPr>
          <w:rFonts w:ascii="Times New Roman" w:hAnsi="Times New Roman"/>
          <w:color w:val="FFFFFF"/>
          <w:sz w:val="28"/>
          <w:szCs w:val="28"/>
          <w:lang w:val="ru-RU"/>
        </w:rPr>
        <w:t>банк ценный бумага облигация</w:t>
      </w:r>
    </w:p>
    <w:p w:rsidR="00EE5E78" w:rsidRDefault="00EE5E7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ЗАКЛЮЧЕНИЕ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распоряжении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имеются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инструменты,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позволяющие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изымать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избыточную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краткосрочную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коммерческих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таким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инструментам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можно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отнести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отчисления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фонд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обязательного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резервирования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(ФОР)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депозиты.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Однако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отчисления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ФОР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носят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обязательный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характер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применяются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всем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независимо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текущего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состояния.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Депозиты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являются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чуть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более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гибким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инструментом,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они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могут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служить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индикатором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рыночной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стоимости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заимствований.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Привлекая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депозиты,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указывает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желаемый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нижний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уровень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процентной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ставки,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коммерческие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могут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его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принимать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или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нет,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имеют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возможности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участвовать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определении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уровня.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Кроме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того,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безотзывность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неликвидность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депозитов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позволяют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коммерческим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использовать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ежедневного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управления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своей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ликвидностью.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этом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следует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отметить,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отвлекают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инвесторов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вложений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реальный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сектор.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Серьезный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инвестор,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стремящийся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сократить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риск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дефолта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своим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обязательствам,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управляет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средствами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таким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образом,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чтобы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поддерживать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баланс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между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срочностью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активов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пассивов.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Срок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окупаемости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прямых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инвестиций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неизмеримо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выше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сроков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обращения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Поэтому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средства,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привлеченные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короткий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срок,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могут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инвестированы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банками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производство,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зато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могут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быть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использованы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приобретения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управления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краткосрочной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ликвидностью.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отсутствие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же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облигаций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единственным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по-настоящему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ликвидным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инструментом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распоряжении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являются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валютные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интервенции,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стимулирующие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давление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курс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рубля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соответственно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отрицательно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влияющие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экономику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целом.</w:t>
      </w:r>
    </w:p>
    <w:p w:rsidR="00F026DC" w:rsidRPr="00A03603" w:rsidRDefault="00F026DC" w:rsidP="000C53CF">
      <w:pPr>
        <w:pStyle w:val="MainText"/>
        <w:widowControl w:val="0"/>
        <w:tabs>
          <w:tab w:val="left" w:pos="851"/>
          <w:tab w:val="left" w:pos="924"/>
        </w:tabs>
        <w:spacing w:line="360" w:lineRule="auto"/>
        <w:ind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Кроме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того,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согласно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Федеральному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закону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«О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Центральном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банке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Российской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Федерации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(Банке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России)»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круг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потенциальных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владельцев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ОБР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ограничен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кредитными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организациями,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тогда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как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подавляющая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часть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прямых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инвестиций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осуществляется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предприятиями,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инвестиционными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институтами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иными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организациями,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не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имеющими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больших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объемов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краткосрочных</w:t>
      </w:r>
      <w:r w:rsidR="000C53CF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обязательств.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:rsidR="00EE5E78" w:rsidRDefault="00EE5E7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СПИСОК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ЛИТЕРАТУРЫ:</w:t>
      </w:r>
    </w:p>
    <w:p w:rsidR="00F026DC" w:rsidRPr="00A03603" w:rsidRDefault="00F026DC" w:rsidP="000C53CF">
      <w:pPr>
        <w:widowControl w:val="0"/>
        <w:tabs>
          <w:tab w:val="left" w:pos="851"/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</w:p>
    <w:p w:rsidR="00F026DC" w:rsidRPr="00A03603" w:rsidRDefault="00F026DC" w:rsidP="00EE5E78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2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О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рынке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ценных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бумаг: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Федеральный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закон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22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апреля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1996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№39-ФЗ.</w:t>
      </w:r>
    </w:p>
    <w:p w:rsidR="00F026DC" w:rsidRPr="00A03603" w:rsidRDefault="00F026DC" w:rsidP="00EE5E78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2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03603">
        <w:rPr>
          <w:bCs/>
          <w:sz w:val="28"/>
          <w:szCs w:val="28"/>
        </w:rPr>
        <w:t>О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Центральном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банке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Российской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Федерации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(Банке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России):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Федеральный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закон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от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10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июля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2002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года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N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86-ФЗ.</w:t>
      </w:r>
    </w:p>
    <w:p w:rsidR="00F026DC" w:rsidRPr="00A03603" w:rsidRDefault="00F026DC" w:rsidP="00EE5E78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2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Основные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направления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единой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государственной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политики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2007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год.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РФ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30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октября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2006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года.</w:t>
      </w:r>
    </w:p>
    <w:p w:rsidR="00F026DC" w:rsidRPr="00A03603" w:rsidRDefault="00F026DC" w:rsidP="00EE5E78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2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Основные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направления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единой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государственной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политики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2008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год.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РФ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от18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июня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2007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года.</w:t>
      </w:r>
    </w:p>
    <w:p w:rsidR="00F026DC" w:rsidRPr="00A03603" w:rsidRDefault="00F026DC" w:rsidP="00EE5E78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2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Основные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направления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единой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государственной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денежно-кредитной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политики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на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2009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год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период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2010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2011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годов.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ЦБ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РФ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от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17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октября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2008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года.</w:t>
      </w:r>
    </w:p>
    <w:p w:rsidR="00F026DC" w:rsidRPr="00A03603" w:rsidRDefault="00F026DC" w:rsidP="00EE5E78">
      <w:pPr>
        <w:pStyle w:val="1"/>
        <w:keepNext w:val="0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24"/>
        </w:tabs>
        <w:spacing w:before="0" w:after="0" w:line="360" w:lineRule="auto"/>
        <w:ind w:left="0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03603">
        <w:rPr>
          <w:rFonts w:ascii="Times New Roman" w:hAnsi="Times New Roman" w:cs="Times New Roman"/>
          <w:b w:val="0"/>
          <w:sz w:val="28"/>
          <w:szCs w:val="28"/>
        </w:rPr>
        <w:t>Биржевое</w:t>
      </w:r>
      <w:r w:rsidR="000C5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3603">
        <w:rPr>
          <w:rFonts w:ascii="Times New Roman" w:hAnsi="Times New Roman" w:cs="Times New Roman"/>
          <w:b w:val="0"/>
          <w:sz w:val="28"/>
          <w:szCs w:val="28"/>
        </w:rPr>
        <w:t>обозрение</w:t>
      </w:r>
      <w:r w:rsidR="000C5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3603">
        <w:rPr>
          <w:rFonts w:ascii="Times New Roman" w:hAnsi="Times New Roman" w:cs="Times New Roman"/>
          <w:b w:val="0"/>
          <w:sz w:val="28"/>
          <w:szCs w:val="28"/>
        </w:rPr>
        <w:t>№1(39)</w:t>
      </w:r>
      <w:r w:rsidR="000C5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3603">
        <w:rPr>
          <w:rFonts w:ascii="Times New Roman" w:hAnsi="Times New Roman" w:cs="Times New Roman"/>
          <w:b w:val="0"/>
          <w:sz w:val="28"/>
          <w:szCs w:val="28"/>
        </w:rPr>
        <w:t>-</w:t>
      </w:r>
      <w:r w:rsidR="000C5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3603">
        <w:rPr>
          <w:rFonts w:ascii="Times New Roman" w:hAnsi="Times New Roman" w:cs="Times New Roman"/>
          <w:b w:val="0"/>
          <w:sz w:val="28"/>
          <w:szCs w:val="28"/>
        </w:rPr>
        <w:t>январь</w:t>
      </w:r>
      <w:r w:rsidR="000C5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03603">
        <w:rPr>
          <w:rFonts w:ascii="Times New Roman" w:hAnsi="Times New Roman" w:cs="Times New Roman"/>
          <w:b w:val="0"/>
          <w:sz w:val="28"/>
          <w:szCs w:val="28"/>
        </w:rPr>
        <w:t>2007г.</w:t>
      </w:r>
    </w:p>
    <w:p w:rsidR="00F026DC" w:rsidRPr="00A03603" w:rsidRDefault="00F026DC" w:rsidP="00EE5E78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2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Биржевое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обозрение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№1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(52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февраль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2008г.</w:t>
      </w:r>
    </w:p>
    <w:p w:rsidR="00F026DC" w:rsidRPr="00A03603" w:rsidRDefault="00F026DC" w:rsidP="00EE5E78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2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03603">
        <w:rPr>
          <w:sz w:val="28"/>
          <w:szCs w:val="28"/>
        </w:rPr>
        <w:t>Вестник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Банка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России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№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60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(404)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-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29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сентября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1999</w:t>
      </w:r>
      <w:r w:rsidR="000C53CF">
        <w:rPr>
          <w:sz w:val="28"/>
          <w:szCs w:val="28"/>
        </w:rPr>
        <w:t xml:space="preserve"> </w:t>
      </w:r>
      <w:r w:rsidRPr="00A03603">
        <w:rPr>
          <w:sz w:val="28"/>
          <w:szCs w:val="28"/>
        </w:rPr>
        <w:t>г.</w:t>
      </w:r>
    </w:p>
    <w:p w:rsidR="00F026DC" w:rsidRPr="00A03603" w:rsidRDefault="00F026DC" w:rsidP="00EE5E78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2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03603">
        <w:rPr>
          <w:bCs/>
          <w:sz w:val="28"/>
          <w:szCs w:val="28"/>
        </w:rPr>
        <w:t>Департамент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исследований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и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информации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Банка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России.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Обзор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финансового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рынка.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Первое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полугодие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2009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года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№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2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(67).</w:t>
      </w:r>
    </w:p>
    <w:p w:rsidR="00F026DC" w:rsidRPr="00A03603" w:rsidRDefault="00F026DC" w:rsidP="00EE5E78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2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03603">
        <w:rPr>
          <w:bCs/>
          <w:sz w:val="28"/>
          <w:szCs w:val="28"/>
        </w:rPr>
        <w:t>Рынок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ценных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бумаг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№22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–</w:t>
      </w:r>
      <w:r w:rsidR="000C53CF">
        <w:rPr>
          <w:bCs/>
          <w:sz w:val="28"/>
          <w:szCs w:val="28"/>
        </w:rPr>
        <w:t xml:space="preserve"> </w:t>
      </w:r>
      <w:r w:rsidRPr="00A03603">
        <w:rPr>
          <w:bCs/>
          <w:sz w:val="28"/>
          <w:szCs w:val="28"/>
        </w:rPr>
        <w:t>2004г.</w:t>
      </w:r>
    </w:p>
    <w:p w:rsidR="00F026DC" w:rsidRPr="00A03603" w:rsidRDefault="00F026DC" w:rsidP="00EE5E78">
      <w:pPr>
        <w:pStyle w:val="a7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24"/>
        </w:tabs>
        <w:spacing w:line="360" w:lineRule="auto"/>
        <w:ind w:left="0" w:firstLine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A03603">
        <w:rPr>
          <w:rFonts w:ascii="Times New Roman" w:hAnsi="Times New Roman"/>
          <w:color w:val="auto"/>
          <w:sz w:val="28"/>
          <w:szCs w:val="28"/>
        </w:rPr>
        <w:t>http</w:t>
      </w:r>
      <w:r w:rsidRPr="00A03603">
        <w:rPr>
          <w:rFonts w:ascii="Times New Roman" w:hAnsi="Times New Roman"/>
          <w:color w:val="auto"/>
          <w:sz w:val="28"/>
          <w:szCs w:val="28"/>
          <w:lang w:val="ru-RU"/>
        </w:rPr>
        <w:t>://</w:t>
      </w:r>
      <w:r w:rsidRPr="00B87ADC">
        <w:rPr>
          <w:rFonts w:ascii="Times New Roman" w:hAnsi="Times New Roman"/>
          <w:bCs/>
          <w:color w:val="auto"/>
          <w:sz w:val="28"/>
          <w:szCs w:val="28"/>
        </w:rPr>
        <w:t>www</w:t>
      </w:r>
      <w:r w:rsidRPr="00B87ADC">
        <w:rPr>
          <w:rFonts w:ascii="Times New Roman" w:hAnsi="Times New Roman"/>
          <w:bCs/>
          <w:color w:val="auto"/>
          <w:sz w:val="28"/>
          <w:szCs w:val="28"/>
          <w:lang w:val="ru-RU"/>
        </w:rPr>
        <w:t>.</w:t>
      </w:r>
      <w:r w:rsidRPr="00B87ADC">
        <w:rPr>
          <w:rFonts w:ascii="Times New Roman" w:hAnsi="Times New Roman"/>
          <w:bCs/>
          <w:color w:val="auto"/>
          <w:sz w:val="28"/>
          <w:szCs w:val="28"/>
        </w:rPr>
        <w:t>micex</w:t>
      </w:r>
      <w:r w:rsidRPr="00B87ADC">
        <w:rPr>
          <w:rFonts w:ascii="Times New Roman" w:hAnsi="Times New Roman"/>
          <w:bCs/>
          <w:color w:val="auto"/>
          <w:sz w:val="28"/>
          <w:szCs w:val="28"/>
          <w:lang w:val="ru-RU"/>
        </w:rPr>
        <w:t>.</w:t>
      </w:r>
      <w:r w:rsidRPr="00B87ADC">
        <w:rPr>
          <w:rFonts w:ascii="Times New Roman" w:hAnsi="Times New Roman"/>
          <w:bCs/>
          <w:color w:val="auto"/>
          <w:sz w:val="28"/>
          <w:szCs w:val="28"/>
        </w:rPr>
        <w:t>ru</w:t>
      </w:r>
    </w:p>
    <w:p w:rsidR="00F026DC" w:rsidRPr="00A03603" w:rsidRDefault="00F026DC" w:rsidP="00EE5E78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851"/>
          <w:tab w:val="left" w:pos="92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A03603">
        <w:rPr>
          <w:bCs/>
          <w:sz w:val="28"/>
          <w:szCs w:val="28"/>
          <w:lang w:val="en-US"/>
        </w:rPr>
        <w:t>http</w:t>
      </w:r>
      <w:r w:rsidRPr="00A03603">
        <w:rPr>
          <w:bCs/>
          <w:sz w:val="28"/>
          <w:szCs w:val="28"/>
        </w:rPr>
        <w:t>://</w:t>
      </w:r>
      <w:hyperlink r:id="rId12" w:history="1">
        <w:r w:rsidRPr="00A03603">
          <w:rPr>
            <w:rStyle w:val="a8"/>
            <w:bCs/>
            <w:color w:val="auto"/>
            <w:sz w:val="28"/>
            <w:szCs w:val="28"/>
            <w:u w:val="none"/>
            <w:lang w:val="en-US"/>
          </w:rPr>
          <w:t>www</w:t>
        </w:r>
        <w:r w:rsidRPr="00A03603">
          <w:rPr>
            <w:rStyle w:val="a8"/>
            <w:bCs/>
            <w:color w:val="auto"/>
            <w:sz w:val="28"/>
            <w:szCs w:val="28"/>
            <w:u w:val="none"/>
          </w:rPr>
          <w:t>.</w:t>
        </w:r>
        <w:r w:rsidRPr="00A03603">
          <w:rPr>
            <w:rStyle w:val="a8"/>
            <w:bCs/>
            <w:color w:val="auto"/>
            <w:sz w:val="28"/>
            <w:szCs w:val="28"/>
            <w:u w:val="none"/>
            <w:lang w:val="en-US"/>
          </w:rPr>
          <w:t>cbr</w:t>
        </w:r>
        <w:r w:rsidRPr="00A03603">
          <w:rPr>
            <w:rStyle w:val="a8"/>
            <w:bCs/>
            <w:color w:val="auto"/>
            <w:sz w:val="28"/>
            <w:szCs w:val="28"/>
            <w:u w:val="none"/>
          </w:rPr>
          <w:t>.</w:t>
        </w:r>
        <w:r w:rsidRPr="00A03603">
          <w:rPr>
            <w:rStyle w:val="a8"/>
            <w:bCs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F026DC" w:rsidRPr="00B87ADC" w:rsidRDefault="00F026DC" w:rsidP="000C53CF">
      <w:pPr>
        <w:widowControl w:val="0"/>
        <w:tabs>
          <w:tab w:val="left" w:pos="851"/>
          <w:tab w:val="left" w:pos="92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FFFFFF"/>
          <w:sz w:val="28"/>
          <w:szCs w:val="28"/>
        </w:rPr>
      </w:pPr>
      <w:bookmarkStart w:id="0" w:name="_GoBack"/>
      <w:bookmarkEnd w:id="0"/>
    </w:p>
    <w:sectPr w:rsidR="00F026DC" w:rsidRPr="00B87ADC" w:rsidSect="00A03603">
      <w:type w:val="continuous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04A" w:rsidRDefault="009D504A" w:rsidP="00F026DC">
      <w:r>
        <w:separator/>
      </w:r>
    </w:p>
  </w:endnote>
  <w:endnote w:type="continuationSeparator" w:id="0">
    <w:p w:rsidR="009D504A" w:rsidRDefault="009D504A" w:rsidP="00F0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Swis721 BdOul BT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CF" w:rsidRDefault="000C53CF" w:rsidP="000C53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C53CF" w:rsidRDefault="000C53C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CF" w:rsidRDefault="000C53CF" w:rsidP="000C53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7ADC">
      <w:rPr>
        <w:rStyle w:val="a6"/>
        <w:noProof/>
      </w:rPr>
      <w:t>2</w:t>
    </w:r>
    <w:r>
      <w:rPr>
        <w:rStyle w:val="a6"/>
      </w:rPr>
      <w:fldChar w:fldCharType="end"/>
    </w:r>
  </w:p>
  <w:p w:rsidR="000C53CF" w:rsidRDefault="000C53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04A" w:rsidRDefault="009D504A" w:rsidP="00F026DC">
      <w:r>
        <w:separator/>
      </w:r>
    </w:p>
  </w:footnote>
  <w:footnote w:type="continuationSeparator" w:id="0">
    <w:p w:rsidR="009D504A" w:rsidRDefault="009D504A" w:rsidP="00F026DC">
      <w:r>
        <w:continuationSeparator/>
      </w:r>
    </w:p>
  </w:footnote>
  <w:footnote w:id="1">
    <w:p w:rsidR="009D504A" w:rsidRDefault="000C53CF" w:rsidP="000C53CF">
      <w:pPr>
        <w:pStyle w:val="a9"/>
        <w:jc w:val="both"/>
      </w:pPr>
      <w:r w:rsidRPr="000C53CF">
        <w:rPr>
          <w:rStyle w:val="ab"/>
        </w:rPr>
        <w:footnoteRef/>
      </w:r>
      <w:r w:rsidRPr="000C53CF">
        <w:t xml:space="preserve"> Положение ЦБР от 29 марта </w:t>
      </w:r>
      <w:smartTag w:uri="urn:schemas-microsoft-com:office:smarttags" w:element="metricconverter">
        <w:smartTagPr>
          <w:attr w:name="ProductID" w:val="2006 г"/>
        </w:smartTagPr>
        <w:r w:rsidRPr="000C53CF">
          <w:t>2006 г</w:t>
        </w:r>
      </w:smartTag>
      <w:r w:rsidRPr="000C53CF">
        <w:t>. N 284-П "О порядке эмиссии облигаций Банка России"</w:t>
      </w:r>
    </w:p>
  </w:footnote>
  <w:footnote w:id="2">
    <w:p w:rsidR="009D504A" w:rsidRDefault="000C53CF" w:rsidP="000C53CF">
      <w:pPr>
        <w:pStyle w:val="a9"/>
        <w:jc w:val="both"/>
      </w:pPr>
      <w:r w:rsidRPr="000C53CF">
        <w:rPr>
          <w:rStyle w:val="ab"/>
        </w:rPr>
        <w:footnoteRef/>
      </w:r>
      <w:r w:rsidRPr="000C53CF">
        <w:t xml:space="preserve"> Приказ Федеральной службы по финансовым рынкам от 9 августа </w:t>
      </w:r>
      <w:smartTag w:uri="urn:schemas-microsoft-com:office:smarttags" w:element="metricconverter">
        <w:smartTagPr>
          <w:attr w:name="ProductID" w:val="2005 г"/>
        </w:smartTagPr>
        <w:r w:rsidRPr="000C53CF">
          <w:t>2005 г</w:t>
        </w:r>
      </w:smartTag>
      <w:r w:rsidRPr="000C53CF">
        <w:t>. N 05-27/пз-н "Об утверждении Порядка присвоения идентификационного номера выпуску (дополнительному выпуску) облигаций Центрального банка Российской Федерации (Банка России)"</w:t>
      </w:r>
    </w:p>
  </w:footnote>
  <w:footnote w:id="3">
    <w:p w:rsidR="009D504A" w:rsidRDefault="000C53CF" w:rsidP="000C53CF">
      <w:pPr>
        <w:pStyle w:val="a9"/>
        <w:jc w:val="both"/>
      </w:pPr>
      <w:r w:rsidRPr="000C53CF">
        <w:rPr>
          <w:rStyle w:val="ab"/>
        </w:rPr>
        <w:footnoteRef/>
      </w:r>
      <w:r w:rsidRPr="000C53CF">
        <w:t xml:space="preserve"> Вестник Банка России № 60 (404) - 29 сентября </w:t>
      </w:r>
      <w:smartTag w:uri="urn:schemas-microsoft-com:office:smarttags" w:element="metricconverter">
        <w:smartTagPr>
          <w:attr w:name="ProductID" w:val="1999 г"/>
        </w:smartTagPr>
        <w:r w:rsidRPr="000C53CF">
          <w:t>1999 г</w:t>
        </w:r>
      </w:smartTag>
      <w:r w:rsidRPr="000C53CF">
        <w:t>.</w:t>
      </w:r>
    </w:p>
  </w:footnote>
  <w:footnote w:id="4">
    <w:p w:rsidR="009D504A" w:rsidRDefault="000C53CF" w:rsidP="000C53CF">
      <w:pPr>
        <w:autoSpaceDE w:val="0"/>
        <w:autoSpaceDN w:val="0"/>
        <w:adjustRightInd w:val="0"/>
        <w:ind w:left="360"/>
        <w:jc w:val="both"/>
      </w:pPr>
      <w:r w:rsidRPr="000C53CF">
        <w:rPr>
          <w:rStyle w:val="ab"/>
          <w:sz w:val="20"/>
        </w:rPr>
        <w:footnoteRef/>
      </w:r>
      <w:r w:rsidRPr="000C53CF">
        <w:rPr>
          <w:sz w:val="20"/>
          <w:szCs w:val="20"/>
        </w:rPr>
        <w:t xml:space="preserve"> Основные направления единой государственной денежно-кредитной политики на 2007 год. </w:t>
      </w:r>
    </w:p>
  </w:footnote>
  <w:footnote w:id="5">
    <w:p w:rsidR="009D504A" w:rsidRDefault="000C53CF" w:rsidP="000C53CF">
      <w:pPr>
        <w:autoSpaceDE w:val="0"/>
        <w:autoSpaceDN w:val="0"/>
        <w:adjustRightInd w:val="0"/>
        <w:ind w:left="360"/>
        <w:jc w:val="both"/>
      </w:pPr>
      <w:r w:rsidRPr="000C53CF">
        <w:rPr>
          <w:rStyle w:val="ab"/>
          <w:sz w:val="20"/>
        </w:rPr>
        <w:footnoteRef/>
      </w:r>
      <w:r w:rsidRPr="000C53CF">
        <w:rPr>
          <w:sz w:val="20"/>
          <w:szCs w:val="20"/>
        </w:rPr>
        <w:t xml:space="preserve"> Основные направления единой государственной денежно-кредитной политики на 2008 год.</w:t>
      </w:r>
    </w:p>
  </w:footnote>
  <w:footnote w:id="6">
    <w:p w:rsidR="009D504A" w:rsidRDefault="000C53CF" w:rsidP="000C53CF">
      <w:pPr>
        <w:pStyle w:val="a9"/>
        <w:jc w:val="both"/>
      </w:pPr>
      <w:r w:rsidRPr="000C53CF">
        <w:rPr>
          <w:rStyle w:val="ab"/>
        </w:rPr>
        <w:footnoteRef/>
      </w:r>
      <w:r w:rsidRPr="000C53CF">
        <w:t xml:space="preserve"> </w:t>
      </w:r>
      <w:r w:rsidRPr="000C53CF">
        <w:rPr>
          <w:color w:val="000000"/>
        </w:rPr>
        <w:t>Биржевое обозрение №1(39) - январь 2007г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CF" w:rsidRPr="00A03603" w:rsidRDefault="000C53CF" w:rsidP="00A03603">
    <w:pPr>
      <w:pStyle w:val="ac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3CF" w:rsidRPr="00A03603" w:rsidRDefault="000C53CF" w:rsidP="00A03603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4AE028A"/>
    <w:lvl w:ilvl="0">
      <w:numFmt w:val="bullet"/>
      <w:lvlText w:val="*"/>
      <w:lvlJc w:val="left"/>
    </w:lvl>
  </w:abstractNum>
  <w:abstractNum w:abstractNumId="1">
    <w:nsid w:val="6C1C2EFA"/>
    <w:multiLevelType w:val="hybridMultilevel"/>
    <w:tmpl w:val="E3DC2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6DC"/>
    <w:rsid w:val="00020345"/>
    <w:rsid w:val="00022D70"/>
    <w:rsid w:val="000631A2"/>
    <w:rsid w:val="00077D15"/>
    <w:rsid w:val="00086AA6"/>
    <w:rsid w:val="000A14DB"/>
    <w:rsid w:val="000B3504"/>
    <w:rsid w:val="000C53CF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A179F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9D504A"/>
    <w:rsid w:val="009E60AB"/>
    <w:rsid w:val="00A03603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87ADC"/>
    <w:rsid w:val="00BB47F9"/>
    <w:rsid w:val="00BC07AA"/>
    <w:rsid w:val="00BD331E"/>
    <w:rsid w:val="00C11D3B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CF0C11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E5E78"/>
    <w:rsid w:val="00EF5ADE"/>
    <w:rsid w:val="00F026DC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EB88609-C0F6-4214-826A-2C10C12F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6DC"/>
    <w:rPr>
      <w:rFonts w:ascii="Times New Roman" w:eastAsia="Malgun Gothic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26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026DC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F026DC"/>
    <w:pPr>
      <w:keepNext/>
      <w:jc w:val="center"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026DC"/>
    <w:rPr>
      <w:rFonts w:ascii="Arial" w:eastAsia="Malgun Gothic" w:hAnsi="Arial" w:cs="Arial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F026DC"/>
    <w:rPr>
      <w:rFonts w:ascii="Times New Roman" w:eastAsia="Malgun Gothic" w:hAnsi="Times New Roman" w:cs="Times New Roman"/>
      <w:sz w:val="20"/>
      <w:szCs w:val="20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F026DC"/>
    <w:rPr>
      <w:rFonts w:ascii="Times New Roman" w:eastAsia="Malgun Gothic" w:hAnsi="Times New Roman" w:cs="Times New Roman"/>
      <w:b/>
      <w:sz w:val="20"/>
      <w:szCs w:val="20"/>
      <w:lang w:val="x-none" w:eastAsia="ru-RU"/>
    </w:rPr>
  </w:style>
  <w:style w:type="paragraph" w:customStyle="1" w:styleId="MainText">
    <w:name w:val="MainText"/>
    <w:rsid w:val="00F026DC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Malgun Gothic" w:hAnsi="PragmaticaC" w:cs="Times New Roman"/>
      <w:color w:val="000000"/>
      <w:sz w:val="19"/>
      <w:lang w:val="en-US"/>
    </w:rPr>
  </w:style>
  <w:style w:type="paragraph" w:customStyle="1" w:styleId="MGlava">
    <w:name w:val="MGlava"/>
    <w:basedOn w:val="MainText"/>
    <w:next w:val="MainText"/>
    <w:rsid w:val="00F026DC"/>
    <w:pPr>
      <w:keepNext/>
      <w:spacing w:before="113" w:after="113"/>
      <w:ind w:left="567" w:firstLine="0"/>
      <w:jc w:val="left"/>
    </w:pPr>
    <w:rPr>
      <w:b/>
    </w:rPr>
  </w:style>
  <w:style w:type="paragraph" w:customStyle="1" w:styleId="BulletsMain">
    <w:name w:val="BulletsMain"/>
    <w:basedOn w:val="MainText"/>
    <w:next w:val="MainText"/>
    <w:rsid w:val="00F026DC"/>
    <w:pPr>
      <w:tabs>
        <w:tab w:val="left" w:pos="567"/>
      </w:tabs>
      <w:ind w:left="567" w:hanging="567"/>
    </w:pPr>
  </w:style>
  <w:style w:type="paragraph" w:styleId="a3">
    <w:name w:val="Normal (Web)"/>
    <w:basedOn w:val="a"/>
    <w:uiPriority w:val="99"/>
    <w:rsid w:val="00F026DC"/>
  </w:style>
  <w:style w:type="paragraph" w:styleId="a4">
    <w:name w:val="footer"/>
    <w:basedOn w:val="a"/>
    <w:link w:val="a5"/>
    <w:uiPriority w:val="99"/>
    <w:rsid w:val="00F026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F026DC"/>
    <w:rPr>
      <w:rFonts w:ascii="Times New Roman" w:eastAsia="Malgun Gothic" w:hAnsi="Times New Roman" w:cs="Times New Roman"/>
      <w:sz w:val="24"/>
      <w:szCs w:val="24"/>
      <w:lang w:val="x-none" w:eastAsia="ru-RU"/>
    </w:rPr>
  </w:style>
  <w:style w:type="character" w:styleId="a6">
    <w:name w:val="page number"/>
    <w:uiPriority w:val="99"/>
    <w:rsid w:val="00F026DC"/>
    <w:rPr>
      <w:rFonts w:cs="Times New Roman"/>
    </w:rPr>
  </w:style>
  <w:style w:type="paragraph" w:customStyle="1" w:styleId="a7">
    <w:name w:val="Осн. текст"/>
    <w:rsid w:val="00F026DC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" w:eastAsia="Malgun Gothic" w:hAnsi="Pragmatica" w:cs="Times New Roman"/>
      <w:color w:val="000000"/>
      <w:lang w:val="en-US"/>
    </w:rPr>
  </w:style>
  <w:style w:type="character" w:styleId="a8">
    <w:name w:val="Hyperlink"/>
    <w:uiPriority w:val="99"/>
    <w:rsid w:val="00F026DC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F026DC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F026DC"/>
    <w:rPr>
      <w:rFonts w:ascii="Times New Roman" w:eastAsia="Malgun Gothic" w:hAnsi="Times New Roman" w:cs="Times New Roman"/>
      <w:sz w:val="20"/>
      <w:szCs w:val="20"/>
      <w:lang w:val="x-none" w:eastAsia="ru-RU"/>
    </w:rPr>
  </w:style>
  <w:style w:type="character" w:styleId="ab">
    <w:name w:val="footnote reference"/>
    <w:uiPriority w:val="99"/>
    <w:semiHidden/>
    <w:rsid w:val="00F026DC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semiHidden/>
    <w:unhideWhenUsed/>
    <w:rsid w:val="00A036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A03603"/>
    <w:rPr>
      <w:rFonts w:ascii="Times New Roman" w:eastAsia="Malgun Gothic" w:hAnsi="Times New Roman" w:cs="Times New Roman"/>
      <w:sz w:val="24"/>
      <w:szCs w:val="24"/>
      <w:lang w:val="x-none" w:eastAsia="ru-RU"/>
    </w:rPr>
  </w:style>
  <w:style w:type="table" w:styleId="ae">
    <w:name w:val="Table Grid"/>
    <w:basedOn w:val="a1"/>
    <w:uiPriority w:val="59"/>
    <w:rsid w:val="000C53C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cb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8026</Words>
  <Characters>45751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53670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2014-03-26T10:04:00Z</dcterms:created>
  <dcterms:modified xsi:type="dcterms:W3CDTF">2014-03-26T10:04:00Z</dcterms:modified>
</cp:coreProperties>
</file>