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14" w:rsidRPr="00A70B14" w:rsidRDefault="00A70B14" w:rsidP="00E32353">
      <w:pPr>
        <w:pStyle w:val="af8"/>
      </w:pPr>
      <w:r>
        <w:t>Содержание</w:t>
      </w:r>
    </w:p>
    <w:p w:rsidR="00E32353" w:rsidRDefault="00E32353" w:rsidP="00A70B14"/>
    <w:p w:rsidR="008B7000" w:rsidRDefault="008B7000">
      <w:pPr>
        <w:pStyle w:val="22"/>
        <w:rPr>
          <w:smallCaps w:val="0"/>
          <w:noProof/>
          <w:sz w:val="24"/>
          <w:szCs w:val="24"/>
        </w:rPr>
      </w:pPr>
      <w:r w:rsidRPr="000F2160">
        <w:rPr>
          <w:rStyle w:val="af0"/>
          <w:noProof/>
        </w:rPr>
        <w:t>1. Сущность облигаций, их виды и отличия от других ценных бумаг. современная характеристика российского рынка облигаций</w:t>
      </w:r>
    </w:p>
    <w:p w:rsidR="008B7000" w:rsidRDefault="008B7000">
      <w:pPr>
        <w:pStyle w:val="22"/>
        <w:rPr>
          <w:smallCaps w:val="0"/>
          <w:noProof/>
          <w:sz w:val="24"/>
          <w:szCs w:val="24"/>
        </w:rPr>
      </w:pPr>
      <w:r w:rsidRPr="000F2160">
        <w:rPr>
          <w:rStyle w:val="af0"/>
          <w:noProof/>
        </w:rPr>
        <w:t>2. Российский рынок государственных облигаций</w:t>
      </w:r>
    </w:p>
    <w:p w:rsidR="008B7000" w:rsidRDefault="008B7000">
      <w:pPr>
        <w:pStyle w:val="22"/>
        <w:rPr>
          <w:smallCaps w:val="0"/>
          <w:noProof/>
          <w:sz w:val="24"/>
          <w:szCs w:val="24"/>
        </w:rPr>
      </w:pPr>
      <w:r w:rsidRPr="000F2160">
        <w:rPr>
          <w:rStyle w:val="af0"/>
          <w:noProof/>
        </w:rPr>
        <w:t>3. Определения</w:t>
      </w:r>
    </w:p>
    <w:p w:rsidR="008B7000" w:rsidRDefault="008B7000">
      <w:pPr>
        <w:pStyle w:val="22"/>
        <w:rPr>
          <w:smallCaps w:val="0"/>
          <w:noProof/>
          <w:sz w:val="24"/>
          <w:szCs w:val="24"/>
        </w:rPr>
      </w:pPr>
      <w:r w:rsidRPr="000F2160">
        <w:rPr>
          <w:rStyle w:val="af0"/>
          <w:noProof/>
        </w:rPr>
        <w:t>4. Практическая часть</w:t>
      </w:r>
    </w:p>
    <w:p w:rsidR="008B7000" w:rsidRDefault="008B7000">
      <w:pPr>
        <w:pStyle w:val="22"/>
        <w:rPr>
          <w:smallCaps w:val="0"/>
          <w:noProof/>
          <w:sz w:val="24"/>
          <w:szCs w:val="24"/>
        </w:rPr>
      </w:pPr>
      <w:r w:rsidRPr="000F2160">
        <w:rPr>
          <w:rStyle w:val="af0"/>
          <w:noProof/>
        </w:rPr>
        <w:t>Список используемой литературы</w:t>
      </w:r>
    </w:p>
    <w:p w:rsidR="00A70B14" w:rsidRDefault="00A70B14" w:rsidP="00A70B14"/>
    <w:p w:rsidR="00A70B14" w:rsidRPr="00A70B14" w:rsidRDefault="00E32353" w:rsidP="00E32353">
      <w:pPr>
        <w:pStyle w:val="2"/>
      </w:pPr>
      <w:r>
        <w:br w:type="page"/>
      </w:r>
      <w:bookmarkStart w:id="0" w:name="_Toc249125243"/>
      <w:r w:rsidR="004C55CB" w:rsidRPr="00A70B14">
        <w:t>1</w:t>
      </w:r>
      <w:r w:rsidR="00A70B14" w:rsidRPr="00A70B14">
        <w:t xml:space="preserve">. </w:t>
      </w:r>
      <w:r w:rsidRPr="00A70B14">
        <w:t xml:space="preserve">Сущность облигаций, их виды и отличия от других ценных бумаг. </w:t>
      </w:r>
      <w:r w:rsidR="008B7000">
        <w:t>С</w:t>
      </w:r>
      <w:r w:rsidRPr="00A70B14">
        <w:t>овременная характеристика российского рынка облигаций</w:t>
      </w:r>
      <w:bookmarkEnd w:id="0"/>
    </w:p>
    <w:p w:rsidR="00E32353" w:rsidRDefault="00E32353" w:rsidP="00A70B14"/>
    <w:p w:rsidR="00A70B14" w:rsidRDefault="00F75AB4" w:rsidP="00A70B14">
      <w:r w:rsidRPr="00A70B14">
        <w:t>Виды ценных бумаг в мире чрезвычайно разнообразны, однако их принято подразделять на группы по тому или ному признаку</w:t>
      </w:r>
      <w:r w:rsidR="00A70B14" w:rsidRPr="00A70B14">
        <w:t xml:space="preserve">. </w:t>
      </w:r>
      <w:r w:rsidRPr="00A70B14">
        <w:t xml:space="preserve">Ценные бумаги классифицируются по эмитентам, времени обращения, способу выплаты дохода, экономической природе, уровню риска, территориям и </w:t>
      </w:r>
      <w:r w:rsidR="00A70B14">
        <w:t>т.д.</w:t>
      </w:r>
    </w:p>
    <w:p w:rsidR="00A70B14" w:rsidRDefault="00F75AB4" w:rsidP="00A70B14">
      <w:r w:rsidRPr="00A70B14">
        <w:t>по эмитентам</w:t>
      </w:r>
      <w:r w:rsidR="00A70B14" w:rsidRPr="00A70B14">
        <w:t xml:space="preserve">: </w:t>
      </w:r>
      <w:r w:rsidRPr="00A70B14">
        <w:t>частные, государственные, международные</w:t>
      </w:r>
      <w:r w:rsidR="00A70B14" w:rsidRPr="00A70B14">
        <w:t>;</w:t>
      </w:r>
    </w:p>
    <w:p w:rsidR="00A70B14" w:rsidRDefault="00F75AB4" w:rsidP="00A70B14">
      <w:r w:rsidRPr="00A70B14">
        <w:t>по признаку принадлежности прав</w:t>
      </w:r>
      <w:r w:rsidR="00A70B14" w:rsidRPr="00A70B14">
        <w:t xml:space="preserve">: </w:t>
      </w:r>
      <w:r w:rsidRPr="00A70B14">
        <w:t>именные и ценные бумаги на предъявителя</w:t>
      </w:r>
      <w:r w:rsidR="00A70B14" w:rsidRPr="00A70B14">
        <w:t>;</w:t>
      </w:r>
    </w:p>
    <w:p w:rsidR="00A70B14" w:rsidRDefault="00F75AB4" w:rsidP="00A70B14">
      <w:r w:rsidRPr="00A70B14">
        <w:t>также по признаку принадлежности прав выделяют</w:t>
      </w:r>
      <w:r w:rsidR="00A70B14" w:rsidRPr="00A70B14">
        <w:t xml:space="preserve">: </w:t>
      </w:r>
      <w:r w:rsidRPr="00A70B14">
        <w:t>долевые, долговые, производные ценные бумаги</w:t>
      </w:r>
      <w:r w:rsidR="00A70B14" w:rsidRPr="00A70B14">
        <w:t>;</w:t>
      </w:r>
    </w:p>
    <w:p w:rsidR="00A70B14" w:rsidRDefault="00F75AB4" w:rsidP="00A70B14">
      <w:r w:rsidRPr="00A70B14">
        <w:t>можно также выделить классические виды ценных бумаг, производные ценные бумаги и финансовые инструменты</w:t>
      </w:r>
      <w:r w:rsidR="00A70B14" w:rsidRPr="00A70B14">
        <w:t>.</w:t>
      </w:r>
    </w:p>
    <w:p w:rsidR="00F75AB4" w:rsidRPr="00A70B14" w:rsidRDefault="00F75AB4" w:rsidP="00A70B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3240"/>
        <w:gridCol w:w="1620"/>
        <w:gridCol w:w="2880"/>
      </w:tblGrid>
      <w:tr w:rsidR="00AA160A" w:rsidRPr="001F7BC1" w:rsidTr="001F7BC1">
        <w:trPr>
          <w:jc w:val="center"/>
        </w:trPr>
        <w:tc>
          <w:tcPr>
            <w:tcW w:w="8928" w:type="dxa"/>
            <w:gridSpan w:val="4"/>
            <w:shd w:val="clear" w:color="auto" w:fill="auto"/>
          </w:tcPr>
          <w:p w:rsidR="00AA160A" w:rsidRPr="00A70B14" w:rsidRDefault="00AA160A" w:rsidP="00E32353">
            <w:pPr>
              <w:pStyle w:val="af9"/>
            </w:pPr>
            <w:r w:rsidRPr="00A70B14">
              <w:t>Ценные бумаги</w:t>
            </w:r>
          </w:p>
        </w:tc>
      </w:tr>
      <w:tr w:rsidR="00AA160A" w:rsidRPr="001F7BC1" w:rsidTr="001F7BC1">
        <w:trPr>
          <w:jc w:val="center"/>
        </w:trPr>
        <w:tc>
          <w:tcPr>
            <w:tcW w:w="4428" w:type="dxa"/>
            <w:gridSpan w:val="2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Классические ценные бумаги</w:t>
            </w:r>
          </w:p>
        </w:tc>
        <w:tc>
          <w:tcPr>
            <w:tcW w:w="1620" w:type="dxa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Производные</w:t>
            </w:r>
          </w:p>
        </w:tc>
        <w:tc>
          <w:tcPr>
            <w:tcW w:w="2880" w:type="dxa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Финансовые инструменты</w:t>
            </w:r>
          </w:p>
        </w:tc>
      </w:tr>
      <w:tr w:rsidR="00F75AB4" w:rsidRPr="001F7BC1" w:rsidTr="001F7BC1">
        <w:trPr>
          <w:jc w:val="center"/>
        </w:trPr>
        <w:tc>
          <w:tcPr>
            <w:tcW w:w="1188" w:type="dxa"/>
            <w:shd w:val="clear" w:color="auto" w:fill="auto"/>
          </w:tcPr>
          <w:p w:rsidR="00F75AB4" w:rsidRPr="00A70B14" w:rsidRDefault="00AA160A" w:rsidP="00E32353">
            <w:pPr>
              <w:pStyle w:val="af9"/>
            </w:pPr>
            <w:r w:rsidRPr="00A70B14">
              <w:t>Долевые</w:t>
            </w:r>
          </w:p>
        </w:tc>
        <w:tc>
          <w:tcPr>
            <w:tcW w:w="3240" w:type="dxa"/>
            <w:shd w:val="clear" w:color="auto" w:fill="auto"/>
          </w:tcPr>
          <w:p w:rsidR="00F75AB4" w:rsidRPr="00A70B14" w:rsidRDefault="00AA160A" w:rsidP="00E32353">
            <w:pPr>
              <w:pStyle w:val="af9"/>
            </w:pPr>
            <w:r w:rsidRPr="00A70B14">
              <w:t>Долговые</w:t>
            </w:r>
          </w:p>
        </w:tc>
        <w:tc>
          <w:tcPr>
            <w:tcW w:w="1620" w:type="dxa"/>
            <w:shd w:val="clear" w:color="auto" w:fill="auto"/>
          </w:tcPr>
          <w:p w:rsidR="00F75AB4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Опционы</w:t>
            </w:r>
          </w:p>
        </w:tc>
        <w:tc>
          <w:tcPr>
            <w:tcW w:w="2880" w:type="dxa"/>
            <w:shd w:val="clear" w:color="auto" w:fill="auto"/>
          </w:tcPr>
          <w:p w:rsidR="00F75AB4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Векселя</w:t>
            </w:r>
          </w:p>
        </w:tc>
      </w:tr>
      <w:tr w:rsidR="00AA160A" w:rsidRPr="001F7BC1" w:rsidTr="001F7BC1">
        <w:trPr>
          <w:jc w:val="center"/>
        </w:trPr>
        <w:tc>
          <w:tcPr>
            <w:tcW w:w="1188" w:type="dxa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Акции</w:t>
            </w:r>
          </w:p>
        </w:tc>
        <w:tc>
          <w:tcPr>
            <w:tcW w:w="3240" w:type="dxa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Частные облигации</w:t>
            </w:r>
          </w:p>
        </w:tc>
        <w:tc>
          <w:tcPr>
            <w:tcW w:w="1620" w:type="dxa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Фьючерсы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Депозитные и сберегательные сертификаты</w:t>
            </w:r>
          </w:p>
        </w:tc>
      </w:tr>
      <w:tr w:rsidR="00AA160A" w:rsidRPr="001F7BC1" w:rsidTr="001F7BC1">
        <w:trPr>
          <w:jc w:val="center"/>
        </w:trPr>
        <w:tc>
          <w:tcPr>
            <w:tcW w:w="1188" w:type="dxa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</w:p>
        </w:tc>
        <w:tc>
          <w:tcPr>
            <w:tcW w:w="3240" w:type="dxa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Государственные облигации</w:t>
            </w:r>
          </w:p>
        </w:tc>
        <w:tc>
          <w:tcPr>
            <w:tcW w:w="1620" w:type="dxa"/>
            <w:shd w:val="clear" w:color="auto" w:fill="auto"/>
          </w:tcPr>
          <w:p w:rsidR="00AA160A" w:rsidRPr="001F7BC1" w:rsidRDefault="00AA160A" w:rsidP="00E32353">
            <w:pPr>
              <w:pStyle w:val="af9"/>
              <w:rPr>
                <w:i/>
                <w:iCs/>
              </w:rPr>
            </w:pPr>
            <w:r w:rsidRPr="001F7BC1">
              <w:rPr>
                <w:i/>
                <w:iCs/>
              </w:rPr>
              <w:t>Варранты</w:t>
            </w:r>
          </w:p>
        </w:tc>
        <w:tc>
          <w:tcPr>
            <w:tcW w:w="2880" w:type="dxa"/>
            <w:vMerge/>
            <w:shd w:val="clear" w:color="auto" w:fill="auto"/>
          </w:tcPr>
          <w:p w:rsidR="00AA160A" w:rsidRPr="00A70B14" w:rsidRDefault="00AA160A" w:rsidP="00E32353">
            <w:pPr>
              <w:pStyle w:val="af9"/>
            </w:pPr>
          </w:p>
        </w:tc>
      </w:tr>
    </w:tbl>
    <w:p w:rsidR="00A70B14" w:rsidRPr="00A70B14" w:rsidRDefault="00AA160A" w:rsidP="008B7000">
      <w:r w:rsidRPr="00A70B14">
        <w:t>Рисунок 1</w:t>
      </w:r>
      <w:r w:rsidR="00A70B14" w:rsidRPr="00A70B14">
        <w:t xml:space="preserve">. </w:t>
      </w:r>
      <w:r w:rsidRPr="00A70B14">
        <w:t>Классификация ценных бумаг</w:t>
      </w:r>
    </w:p>
    <w:p w:rsidR="00E32353" w:rsidRDefault="00E32353" w:rsidP="008B7000"/>
    <w:p w:rsidR="00A70B14" w:rsidRDefault="00861A6C" w:rsidP="008B7000">
      <w:r w:rsidRPr="00A70B14">
        <w:t>Облигации</w:t>
      </w:r>
      <w:r w:rsidR="00A70B14" w:rsidRPr="00A70B14">
        <w:t xml:space="preserve"> - </w:t>
      </w:r>
      <w:r w:rsidRPr="00A70B14">
        <w:t>это долговые документы корпораций и правительства</w:t>
      </w:r>
      <w:r w:rsidR="00A70B14" w:rsidRPr="00A70B14">
        <w:t xml:space="preserve">. </w:t>
      </w:r>
      <w:r w:rsidRPr="00A70B14">
        <w:t>Владелец облигации получает доход по заранее оговоренной ставке, который обычно выплачивается раз в полгода, плюс номинальную стоимость облигации</w:t>
      </w:r>
      <w:r w:rsidR="00A70B14">
        <w:t xml:space="preserve"> (</w:t>
      </w:r>
      <w:r w:rsidRPr="00A70B14">
        <w:t>допустим, 1000 долл</w:t>
      </w:r>
      <w:r w:rsidR="00A70B14" w:rsidRPr="00A70B14">
        <w:t xml:space="preserve">) </w:t>
      </w:r>
      <w:r w:rsidRPr="00A70B14">
        <w:t>к моменту погашения</w:t>
      </w:r>
      <w:r w:rsidR="00A70B14">
        <w:t xml:space="preserve"> (</w:t>
      </w:r>
      <w:r w:rsidRPr="00A70B14">
        <w:t>обычно через 20 или 40 лет</w:t>
      </w:r>
      <w:r w:rsidR="00A70B14" w:rsidRPr="00A70B14">
        <w:t xml:space="preserve">). </w:t>
      </w:r>
      <w:r w:rsidRPr="00A70B14">
        <w:t>Если вы купили облигацию за 1000 долл</w:t>
      </w:r>
      <w:r w:rsidR="00A70B14" w:rsidRPr="00A70B14">
        <w:t xml:space="preserve">. </w:t>
      </w:r>
      <w:r w:rsidRPr="00A70B14">
        <w:t>с выплатой 9% годовых раз в полгода, то вы будете получать по 45 долл</w:t>
      </w:r>
      <w:r w:rsidR="00A70B14" w:rsidRPr="00A70B14">
        <w:t xml:space="preserve">. </w:t>
      </w:r>
      <w:r w:rsidRPr="00A70B14">
        <w:t>каждые шесть месяцев</w:t>
      </w:r>
      <w:r w:rsidR="00A70B14">
        <w:t xml:space="preserve"> (</w:t>
      </w:r>
      <w:r w:rsidRPr="00A70B14">
        <w:t xml:space="preserve">1/2 года </w:t>
      </w:r>
      <w:r w:rsidR="009B2F28"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>
            <v:imagedata r:id="rId7" o:title=""/>
          </v:shape>
        </w:pict>
      </w:r>
      <w:r w:rsidRPr="00A70B14">
        <w:t xml:space="preserve"> 9% </w:t>
      </w:r>
      <w:r w:rsidR="009B2F28">
        <w:rPr>
          <w:position w:val="-4"/>
        </w:rPr>
        <w:pict>
          <v:shape id="_x0000_i1026" type="#_x0000_t75" style="width:9pt;height:9.75pt">
            <v:imagedata r:id="rId8" o:title=""/>
          </v:shape>
        </w:pict>
      </w:r>
      <w:r w:rsidRPr="00A70B14">
        <w:t xml:space="preserve"> 1000 долл</w:t>
      </w:r>
      <w:r w:rsidR="00A70B14" w:rsidRPr="00A70B14">
        <w:t>),</w:t>
      </w:r>
      <w:r w:rsidRPr="00A70B14">
        <w:t xml:space="preserve"> а к моменту погашения вы получите 1000 долл</w:t>
      </w:r>
      <w:r w:rsidR="00A70B14" w:rsidRPr="00A70B14">
        <w:t xml:space="preserve">. </w:t>
      </w:r>
      <w:r w:rsidRPr="00A70B14">
        <w:t>в качестве номинальной стоимости облигации</w:t>
      </w:r>
      <w:r w:rsidR="00A70B14" w:rsidRPr="00A70B14">
        <w:t xml:space="preserve">. </w:t>
      </w:r>
      <w:r w:rsidRPr="00A70B14">
        <w:t>Разумеется, инвестор может купить и продать облигацию до срока погашения по курсу, который будет отличаться от номинала</w:t>
      </w:r>
      <w:r w:rsidR="00A70B14" w:rsidRPr="00A70B14">
        <w:t xml:space="preserve">. </w:t>
      </w:r>
      <w:r w:rsidRPr="00A70B14">
        <w:t>Благодаря множеству сочетаний доходности и риска эти бумаги так же популярны среди инвесторов, как и обыкновенные акции</w:t>
      </w:r>
      <w:r w:rsidR="00A70B14" w:rsidRPr="00A70B14">
        <w:t>.</w:t>
      </w:r>
    </w:p>
    <w:p w:rsidR="00A70B14" w:rsidRDefault="00D310D3" w:rsidP="008B7000">
      <w:r w:rsidRPr="00A70B14">
        <w:t xml:space="preserve">Облигации </w:t>
      </w:r>
      <w:r w:rsidR="00A70B14">
        <w:t>-</w:t>
      </w:r>
      <w:r w:rsidRPr="00A70B14">
        <w:t xml:space="preserve"> самый надежный объект инвестирования</w:t>
      </w:r>
      <w:r w:rsidR="00A70B14" w:rsidRPr="00A70B14">
        <w:t xml:space="preserve">. </w:t>
      </w:r>
      <w:r w:rsidRPr="00A70B14">
        <w:t>Не смотря на специфику эмиссии и характеристики каждого вида облигаций все они являются долговыми обязательствами, свидетельством о кредите, предоставленном инвестором</w:t>
      </w:r>
      <w:r w:rsidR="00A70B14">
        <w:t xml:space="preserve"> (</w:t>
      </w:r>
      <w:r w:rsidRPr="00A70B14">
        <w:t>владельцем облигации</w:t>
      </w:r>
      <w:r w:rsidR="00A70B14" w:rsidRPr="00A70B14">
        <w:t xml:space="preserve">) </w:t>
      </w:r>
      <w:r w:rsidRPr="00A70B14">
        <w:t>заемщику</w:t>
      </w:r>
      <w:r w:rsidR="00A70B14">
        <w:t xml:space="preserve"> (</w:t>
      </w:r>
      <w:r w:rsidRPr="00A70B14">
        <w:t>эмитенту</w:t>
      </w:r>
      <w:r w:rsidR="00A70B14" w:rsidRPr="00A70B14">
        <w:t xml:space="preserve">). </w:t>
      </w:r>
      <w:r w:rsidRPr="00A70B14">
        <w:t>За пользование занятыми деньгами эмитент облигаций должен выплачивать их держателю вознаграждение в виде процента в течение всего срока владения облигациями</w:t>
      </w:r>
      <w:r w:rsidR="00A70B14" w:rsidRPr="00A70B14">
        <w:t xml:space="preserve">. </w:t>
      </w:r>
      <w:r w:rsidRPr="00A70B14">
        <w:t>Общая сумма, подлежащая</w:t>
      </w:r>
      <w:r w:rsidR="00A70B14" w:rsidRPr="00A70B14">
        <w:t xml:space="preserve"> </w:t>
      </w:r>
      <w:r w:rsidRPr="00A70B14">
        <w:t>возврату, называется номинальной стоимостью</w:t>
      </w:r>
      <w:r w:rsidR="00A70B14" w:rsidRPr="00A70B14">
        <w:t xml:space="preserve">. </w:t>
      </w:r>
      <w:r w:rsidR="00C708CD" w:rsidRPr="00A70B14">
        <w:t xml:space="preserve">Дату возврата суммы займа принято называть датой погашения облигации, ставку процента </w:t>
      </w:r>
      <w:r w:rsidR="00A70B14">
        <w:t>-</w:t>
      </w:r>
      <w:r w:rsidR="00C708CD" w:rsidRPr="00A70B14">
        <w:t xml:space="preserve"> купоном, время хождения облигации </w:t>
      </w:r>
      <w:r w:rsidR="00A70B14">
        <w:t>-</w:t>
      </w:r>
      <w:r w:rsidR="00C708CD" w:rsidRPr="00A70B14">
        <w:t xml:space="preserve"> сроком обращения</w:t>
      </w:r>
      <w:r w:rsidR="00A70B14" w:rsidRPr="00A70B14">
        <w:t xml:space="preserve">. </w:t>
      </w:r>
      <w:r w:rsidR="00C708CD" w:rsidRPr="00A70B14">
        <w:t>Облигации обладают номинальной</w:t>
      </w:r>
      <w:r w:rsidR="00A70B14">
        <w:t xml:space="preserve"> (</w:t>
      </w:r>
      <w:r w:rsidR="00C708CD" w:rsidRPr="00A70B14">
        <w:t>база для перерасчетов и начисления процентов, печатается на облигации</w:t>
      </w:r>
      <w:r w:rsidR="00A70B14" w:rsidRPr="00A70B14">
        <w:t>),</w:t>
      </w:r>
      <w:r w:rsidR="00C708CD" w:rsidRPr="00A70B14">
        <w:t xml:space="preserve"> выкупной</w:t>
      </w:r>
      <w:r w:rsidR="00A70B14">
        <w:t xml:space="preserve"> (</w:t>
      </w:r>
      <w:r w:rsidR="00C708CD" w:rsidRPr="00A70B14">
        <w:t>по которой эмитент выкупает облигацию по истечении срока займа</w:t>
      </w:r>
      <w:r w:rsidR="00A70B14" w:rsidRPr="00A70B14">
        <w:t xml:space="preserve">) </w:t>
      </w:r>
      <w:r w:rsidR="00C708CD" w:rsidRPr="00A70B14">
        <w:t>и курсовой</w:t>
      </w:r>
      <w:r w:rsidR="00A70B14">
        <w:t xml:space="preserve"> (</w:t>
      </w:r>
      <w:r w:rsidR="00C708CD" w:rsidRPr="00A70B14">
        <w:t>складывается в зависимости от спроса и предложения на рынке ценных бумаг</w:t>
      </w:r>
      <w:r w:rsidR="00A70B14" w:rsidRPr="00A70B14">
        <w:t xml:space="preserve">) </w:t>
      </w:r>
      <w:r w:rsidR="00C708CD" w:rsidRPr="00A70B14">
        <w:t>стоимостью</w:t>
      </w:r>
      <w:r w:rsidR="00A70B14" w:rsidRPr="00A70B14">
        <w:t>.</w:t>
      </w:r>
    </w:p>
    <w:p w:rsidR="00E32353" w:rsidRDefault="00E32353" w:rsidP="008B7000"/>
    <w:p w:rsidR="00A70B14" w:rsidRDefault="008B7000" w:rsidP="00E32353">
      <w:pPr>
        <w:pStyle w:val="2"/>
      </w:pPr>
      <w:bookmarkStart w:id="1" w:name="_Toc249125244"/>
      <w:r>
        <w:t xml:space="preserve">2. </w:t>
      </w:r>
      <w:r w:rsidR="00C708CD" w:rsidRPr="00A70B14">
        <w:t>Российский р</w:t>
      </w:r>
      <w:r w:rsidR="009C48FC" w:rsidRPr="00A70B14">
        <w:t>ынок государственных облигаций</w:t>
      </w:r>
      <w:bookmarkEnd w:id="1"/>
    </w:p>
    <w:p w:rsidR="00E32353" w:rsidRPr="00E32353" w:rsidRDefault="00E32353" w:rsidP="00E32353"/>
    <w:p w:rsidR="00A70B14" w:rsidRDefault="009C48FC" w:rsidP="00A70B14">
      <w:r w:rsidRPr="00A70B14">
        <w:t>Осенью 1992 г</w:t>
      </w:r>
      <w:r w:rsidR="00A70B14" w:rsidRPr="00A70B14">
        <w:t xml:space="preserve">. </w:t>
      </w:r>
      <w:r w:rsidRPr="00A70B14">
        <w:t>Центральный банк пригласил все крупные российские банки принять участие в формировании государственных краткосрочных облигаций</w:t>
      </w:r>
      <w:r w:rsidR="00A70B14">
        <w:t xml:space="preserve"> (</w:t>
      </w:r>
      <w:r w:rsidRPr="00A70B14">
        <w:t>ГКО</w:t>
      </w:r>
      <w:r w:rsidR="00A70B14" w:rsidRPr="00A70B14">
        <w:t xml:space="preserve">). </w:t>
      </w:r>
      <w:r w:rsidRPr="00A70B14">
        <w:t>Тогда откликнулись только шесть банков</w:t>
      </w:r>
      <w:r w:rsidR="00A70B14" w:rsidRPr="00A70B14">
        <w:t xml:space="preserve">. </w:t>
      </w:r>
      <w:r w:rsidRPr="00A70B14">
        <w:t>С мая 1993 г</w:t>
      </w:r>
      <w:r w:rsidR="00A70B14" w:rsidRPr="00A70B14">
        <w:t xml:space="preserve">. </w:t>
      </w:r>
      <w:r w:rsidRPr="00A70B14">
        <w:t>рынок ГКО начал функционировать</w:t>
      </w:r>
      <w:r w:rsidR="00A70B14" w:rsidRPr="00A70B14">
        <w:t xml:space="preserve">. </w:t>
      </w:r>
      <w:r w:rsidRPr="00A70B14">
        <w:t>Сейчас на рынке ГКО торгуют свыше 50 банков</w:t>
      </w:r>
      <w:r w:rsidR="00A70B14" w:rsidRPr="00A70B14">
        <w:t xml:space="preserve">. </w:t>
      </w:r>
      <w:r w:rsidRPr="00A70B14">
        <w:t>ГКО</w:t>
      </w:r>
      <w:r w:rsidR="00A70B14" w:rsidRPr="00A70B14">
        <w:t xml:space="preserve"> - </w:t>
      </w:r>
      <w:r w:rsidRPr="00A70B14">
        <w:t>это беспроцентные краткосрочные государственные облигации, которые выпускаются в безбумажной электронной</w:t>
      </w:r>
      <w:r w:rsidR="003A6A70" w:rsidRPr="00A70B14">
        <w:t xml:space="preserve"> </w:t>
      </w:r>
      <w:r w:rsidRPr="00A70B14">
        <w:t xml:space="preserve">форме с дисконтом, </w:t>
      </w:r>
      <w:r w:rsidR="00A70B14">
        <w:t>т.е.</w:t>
      </w:r>
      <w:r w:rsidR="00A70B14" w:rsidRPr="00A70B14">
        <w:t xml:space="preserve"> </w:t>
      </w:r>
      <w:r w:rsidRPr="00A70B14">
        <w:t>их доходность определяется как разница между ценой покупки и курсом продажи</w:t>
      </w:r>
      <w:r w:rsidR="00A70B14" w:rsidRPr="00A70B14">
        <w:t xml:space="preserve">. </w:t>
      </w:r>
      <w:r w:rsidRPr="00A70B14">
        <w:t>Эмиссия ГКО проводится еженедельно</w:t>
      </w:r>
      <w:r w:rsidR="00A70B14" w:rsidRPr="00A70B14">
        <w:t xml:space="preserve">. </w:t>
      </w:r>
      <w:r w:rsidRPr="00A70B14">
        <w:t>Эмитентом облигаций является Министерство финансов России, обслуживает обращение Центральный банк России</w:t>
      </w:r>
      <w:r w:rsidR="00A70B14" w:rsidRPr="00A70B14">
        <w:t xml:space="preserve">. </w:t>
      </w:r>
      <w:r w:rsidRPr="00A70B14">
        <w:t>Первичное размещение и вторичное обращение облигаций производятся в электронной сети Московской межбанковской валютной биржи</w:t>
      </w:r>
      <w:r w:rsidR="00A70B14">
        <w:t xml:space="preserve"> (</w:t>
      </w:r>
      <w:r w:rsidRPr="00A70B14">
        <w:t>ММВБ</w:t>
      </w:r>
      <w:r w:rsidR="00A70B14" w:rsidRPr="00A70B14">
        <w:t xml:space="preserve">). </w:t>
      </w:r>
      <w:r w:rsidRPr="00A70B14">
        <w:t>Срок обращения облигаций каждого выпуска составляет три, шесть и двенадцать месяцев</w:t>
      </w:r>
      <w:r w:rsidR="00A70B14" w:rsidRPr="00A70B14">
        <w:t xml:space="preserve">. </w:t>
      </w:r>
      <w:r w:rsidRPr="00A70B14">
        <w:t>Потенциальными владельцами ГКО являются юридические и физические лица</w:t>
      </w:r>
      <w:r w:rsidR="00A70B14" w:rsidRPr="00A70B14">
        <w:t xml:space="preserve">. </w:t>
      </w:r>
      <w:r w:rsidRPr="00A70B14">
        <w:t>Первичное размещение ГКО производится на ежемесячных аукционах по цене ниже номинала</w:t>
      </w:r>
      <w:r w:rsidR="00A70B14">
        <w:t xml:space="preserve"> (</w:t>
      </w:r>
      <w:r w:rsidRPr="00A70B14">
        <w:t>с дисконтом</w:t>
      </w:r>
      <w:r w:rsidR="00A70B14" w:rsidRPr="00A70B14">
        <w:t>),</w:t>
      </w:r>
      <w:r w:rsidRPr="00A70B14">
        <w:t xml:space="preserve"> погашение</w:t>
      </w:r>
      <w:r w:rsidR="00A70B14" w:rsidRPr="00A70B14">
        <w:t xml:space="preserve"> - </w:t>
      </w:r>
      <w:r w:rsidRPr="00A70B14">
        <w:t>по номинальной стоимости</w:t>
      </w:r>
      <w:r w:rsidR="00A70B14" w:rsidRPr="00A70B14">
        <w:t xml:space="preserve">. </w:t>
      </w:r>
      <w:r w:rsidRPr="00A70B14">
        <w:t>Вторичное обращение облигаций происходит на ежедневных торгах на ММВБ по рыночной стоимости</w:t>
      </w:r>
      <w:r w:rsidR="00A70B14" w:rsidRPr="00A70B14">
        <w:t xml:space="preserve">. </w:t>
      </w:r>
      <w:r w:rsidRPr="00A70B14">
        <w:t>Объем первого выпуска облигаций ГКО составлял 1 млн</w:t>
      </w:r>
      <w:r w:rsidR="00A70B14" w:rsidRPr="00A70B14">
        <w:t xml:space="preserve">. </w:t>
      </w:r>
      <w:r w:rsidRPr="00A70B14">
        <w:t>руб</w:t>
      </w:r>
      <w:r w:rsidR="00A70B14" w:rsidRPr="00A70B14">
        <w:t xml:space="preserve">. </w:t>
      </w:r>
      <w:r w:rsidRPr="00A70B14">
        <w:t>Номинальная стоимость одной облигации первоначально составляла 100 000 руб</w:t>
      </w:r>
      <w:r w:rsidR="00A70B14" w:rsidRPr="00A70B14">
        <w:t xml:space="preserve">. </w:t>
      </w:r>
      <w:r w:rsidRPr="00A70B14">
        <w:t>Сегодня объемы эмиссии составляют триллионы рублей, а номинальная стоимость облигации</w:t>
      </w:r>
      <w:r w:rsidR="00A70B14" w:rsidRPr="00A70B14">
        <w:t xml:space="preserve"> - </w:t>
      </w:r>
      <w:r w:rsidRPr="00A70B14">
        <w:t>1 млн руб</w:t>
      </w:r>
      <w:r w:rsidR="00A70B14" w:rsidRPr="00A70B14">
        <w:t>.</w:t>
      </w:r>
    </w:p>
    <w:p w:rsidR="00A70B14" w:rsidRDefault="009C48FC" w:rsidP="00A70B14">
      <w:r w:rsidRPr="00A70B14">
        <w:t>Привлекательность ГКО состоит в следующем</w:t>
      </w:r>
      <w:r w:rsidR="00A70B14" w:rsidRPr="00A70B14">
        <w:t xml:space="preserve">. </w:t>
      </w:r>
      <w:r w:rsidRPr="00A70B14">
        <w:t>Во-первых, рынок государственных краткосрочных облигаций является высоконадежным рынком, так как он обеспечивает погашение облигаций по стоимости по истечении срока, на который они выпущены</w:t>
      </w:r>
      <w:r w:rsidR="00A70B14" w:rsidRPr="00A70B14">
        <w:t xml:space="preserve">. </w:t>
      </w:r>
      <w:r w:rsidRPr="00A70B14">
        <w:t>Во-вторых, рынок государственных краткосрочных обязательств</w:t>
      </w:r>
      <w:r w:rsidR="00A70B14" w:rsidRPr="00A70B14">
        <w:t xml:space="preserve"> - </w:t>
      </w:r>
      <w:r w:rsidRPr="00A70B14">
        <w:t>это доходный рынок</w:t>
      </w:r>
      <w:r w:rsidR="00A70B14" w:rsidRPr="00A70B14">
        <w:t xml:space="preserve">. </w:t>
      </w:r>
      <w:r w:rsidRPr="00A70B14">
        <w:t>Он реализует возможность физических и юридических лиц выгодно разместить свои средства</w:t>
      </w:r>
      <w:r w:rsidR="00A70B14" w:rsidRPr="00A70B14">
        <w:t xml:space="preserve">. </w:t>
      </w:r>
      <w:r w:rsidRPr="00A70B14">
        <w:t>Причем доходность этого рынка зачастую превышает доходность рынка кредитных и валютных операций</w:t>
      </w:r>
      <w:r w:rsidR="00A70B14" w:rsidRPr="00A70B14">
        <w:t xml:space="preserve">. </w:t>
      </w:r>
      <w:r w:rsidRPr="00A70B14">
        <w:t>Рынок ГКО</w:t>
      </w:r>
      <w:r w:rsidR="00A70B14" w:rsidRPr="00A70B14">
        <w:t xml:space="preserve"> - </w:t>
      </w:r>
      <w:r w:rsidRPr="00A70B14">
        <w:t>фактически первый классический фондовый рынок с колебаниями курса акций, на которых можно</w:t>
      </w:r>
      <w:r w:rsidR="00A70B14">
        <w:t xml:space="preserve"> "</w:t>
      </w:r>
      <w:r w:rsidRPr="00A70B14">
        <w:t>играть</w:t>
      </w:r>
      <w:r w:rsidR="00A70B14">
        <w:t>", т.е.</w:t>
      </w:r>
      <w:r w:rsidR="00A70B14" w:rsidRPr="00A70B14">
        <w:t xml:space="preserve"> </w:t>
      </w:r>
      <w:r w:rsidRPr="00A70B14">
        <w:t>извлекать денежный доход</w:t>
      </w:r>
      <w:r w:rsidR="00A70B14" w:rsidRPr="00A70B14">
        <w:t xml:space="preserve">. </w:t>
      </w:r>
      <w:r w:rsidRPr="00A70B14">
        <w:t>При этом доход по государственным ценным бумагам не облагается налогом</w:t>
      </w:r>
      <w:r w:rsidR="00A70B14" w:rsidRPr="00A70B14">
        <w:t xml:space="preserve">. </w:t>
      </w:r>
      <w:r w:rsidRPr="00A70B14">
        <w:t>В-третьих, достоинство рынка ГКО заключается в том, что это совершенно открытый, наблюдаемый рынок</w:t>
      </w:r>
      <w:r w:rsidR="00A70B14" w:rsidRPr="00A70B14">
        <w:t xml:space="preserve">. </w:t>
      </w:r>
      <w:r w:rsidRPr="00A70B14">
        <w:t xml:space="preserve">Правомерность сделок на нем контролируется представителями Минфина РФ, </w:t>
      </w:r>
      <w:r w:rsidR="003A6A70" w:rsidRPr="00A70B14">
        <w:t>ЦБ РФ</w:t>
      </w:r>
      <w:r w:rsidRPr="00A70B14">
        <w:t xml:space="preserve"> и биржи</w:t>
      </w:r>
      <w:r w:rsidR="00A70B14" w:rsidRPr="00A70B14">
        <w:t xml:space="preserve">. </w:t>
      </w:r>
      <w:r w:rsidRPr="00A70B14">
        <w:t>Рынок ГКО позволил государству привлечь в 1994 г</w:t>
      </w:r>
      <w:r w:rsidR="00A70B14" w:rsidRPr="00A70B14">
        <w:t xml:space="preserve">. </w:t>
      </w:r>
      <w:r w:rsidRPr="00A70B14">
        <w:t>около 6 трлн руб</w:t>
      </w:r>
      <w:r w:rsidR="00A70B14" w:rsidRPr="00A70B14">
        <w:t>.</w:t>
      </w:r>
      <w:r w:rsidR="00A70B14">
        <w:t xml:space="preserve"> (</w:t>
      </w:r>
      <w:r w:rsidRPr="00A70B14">
        <w:t>с учетом погашения облигаций</w:t>
      </w:r>
      <w:r w:rsidR="00A70B14" w:rsidRPr="00A70B14">
        <w:t>),</w:t>
      </w:r>
      <w:r w:rsidRPr="00A70B14">
        <w:t xml:space="preserve"> в 1995 г</w:t>
      </w:r>
      <w:r w:rsidR="00A70B14" w:rsidRPr="00A70B14">
        <w:t>. -</w:t>
      </w:r>
      <w:r w:rsidR="00A70B14">
        <w:t xml:space="preserve"> </w:t>
      </w:r>
      <w:r w:rsidRPr="00A70B14">
        <w:t>около 10 трлн руб</w:t>
      </w:r>
      <w:r w:rsidR="00A70B14" w:rsidRPr="00A70B14">
        <w:t xml:space="preserve">. </w:t>
      </w:r>
      <w:r w:rsidRPr="00A70B14">
        <w:t>Это</w:t>
      </w:r>
      <w:r w:rsidR="00A70B14" w:rsidRPr="00A70B14">
        <w:t xml:space="preserve"> - </w:t>
      </w:r>
      <w:r w:rsidRPr="00A70B14">
        <w:t>средства банков и населения, которые используются для неинфляционного закрытия бюджетного дефицита</w:t>
      </w:r>
      <w:r w:rsidR="00A70B14" w:rsidRPr="00A70B14">
        <w:t>.</w:t>
      </w:r>
    </w:p>
    <w:p w:rsidR="00A70B14" w:rsidRDefault="009C48FC" w:rsidP="00A70B14">
      <w:r w:rsidRPr="00A70B14">
        <w:t>Качественный скачок в развитии рынка государственных ценных бумаг связан с выпуском летом 1995 г</w:t>
      </w:r>
      <w:r w:rsidR="00A70B14" w:rsidRPr="00A70B14">
        <w:t xml:space="preserve">. </w:t>
      </w:r>
      <w:r w:rsidRPr="00A70B14">
        <w:t>облигаций Федерального займа</w:t>
      </w:r>
      <w:r w:rsidR="00A70B14">
        <w:t xml:space="preserve"> (</w:t>
      </w:r>
      <w:r w:rsidRPr="00A70B14">
        <w:t>ОФЗ</w:t>
      </w:r>
      <w:r w:rsidR="00A70B14" w:rsidRPr="00A70B14">
        <w:t>).</w:t>
      </w:r>
    </w:p>
    <w:p w:rsidR="00A70B14" w:rsidRDefault="009C48FC" w:rsidP="00A70B14">
      <w:r w:rsidRPr="00A70B14">
        <w:t>ОФЗ</w:t>
      </w:r>
      <w:r w:rsidR="00A70B14" w:rsidRPr="00A70B14">
        <w:t xml:space="preserve"> - </w:t>
      </w:r>
      <w:r w:rsidRPr="00A70B14">
        <w:t>это среднесрочные государственные облигации, которые выпускаются в безбумажной</w:t>
      </w:r>
      <w:r w:rsidR="00A70B14">
        <w:t xml:space="preserve"> (</w:t>
      </w:r>
      <w:r w:rsidRPr="00A70B14">
        <w:t>электронной</w:t>
      </w:r>
      <w:r w:rsidR="00A70B14" w:rsidRPr="00A70B14">
        <w:t xml:space="preserve">) </w:t>
      </w:r>
      <w:r w:rsidRPr="00A70B14">
        <w:t>форме с изменяемым процентным купоном, выплачиваемым поквартально</w:t>
      </w:r>
      <w:r w:rsidR="00A70B14" w:rsidRPr="00A70B14">
        <w:t xml:space="preserve">. </w:t>
      </w:r>
      <w:r w:rsidRPr="00A70B14">
        <w:t>Срок их обращения</w:t>
      </w:r>
      <w:r w:rsidR="00A70B14" w:rsidRPr="00A70B14">
        <w:t xml:space="preserve"> - </w:t>
      </w:r>
      <w:r w:rsidRPr="00A70B14">
        <w:t>378 и 553 дня</w:t>
      </w:r>
      <w:r w:rsidR="00A70B14">
        <w:t xml:space="preserve"> (</w:t>
      </w:r>
      <w:r w:rsidRPr="00A70B14">
        <w:t>по российскому законодательству среднесуточными являются облигации со сроком обращения более одного года</w:t>
      </w:r>
      <w:r w:rsidR="00A70B14" w:rsidRPr="00A70B14">
        <w:t>).</w:t>
      </w:r>
    </w:p>
    <w:p w:rsidR="00A70B14" w:rsidRDefault="009C48FC" w:rsidP="00A70B14">
      <w:r w:rsidRPr="00A70B14">
        <w:t>Облигации Федерального займа, так же как и ГКО, продаются ниже номинала, а погашаются по номиналу, обеспечивая доход по этим облигациям</w:t>
      </w:r>
      <w:r w:rsidR="00A70B14" w:rsidRPr="00A70B14">
        <w:t xml:space="preserve">. </w:t>
      </w:r>
      <w:r w:rsidRPr="00A70B14">
        <w:t>Но, помимо этого дохода, ОФЗ имеют еще и купонный доход, выплачиваемый раз в квартал</w:t>
      </w:r>
      <w:r w:rsidR="00A70B14" w:rsidRPr="00A70B14">
        <w:t xml:space="preserve">. </w:t>
      </w:r>
      <w:r w:rsidRPr="00A70B14">
        <w:t>Ставка купонного дохода может изменяться в зависимости от ситуации на рынке</w:t>
      </w:r>
      <w:r w:rsidR="00A70B14" w:rsidRPr="00A70B14">
        <w:t xml:space="preserve">. </w:t>
      </w:r>
      <w:r w:rsidRPr="00A70B14">
        <w:t>Отличие ОФЗ от других государственных ценных бумаг состоит и в том, что срок их обращения впервые превышает один год</w:t>
      </w:r>
      <w:r w:rsidR="00A70B14" w:rsidRPr="00A70B14">
        <w:t xml:space="preserve">. </w:t>
      </w:r>
      <w:r w:rsidRPr="00A70B14">
        <w:t>Это обеспечивает инвесторам спокойствие на более длительный период, принося в то же время каждые три месяца купонный доход</w:t>
      </w:r>
      <w:r w:rsidR="00A70B14" w:rsidRPr="00A70B14">
        <w:t xml:space="preserve">. </w:t>
      </w:r>
      <w:r w:rsidR="003A6A70" w:rsidRPr="00A70B14">
        <w:t>В результате ОФЗ становятся при</w:t>
      </w:r>
      <w:r w:rsidRPr="00A70B14">
        <w:t>влекательными не только для предприятий, но и для российских граждан</w:t>
      </w:r>
      <w:r w:rsidR="00A70B14" w:rsidRPr="00A70B14">
        <w:t xml:space="preserve">. </w:t>
      </w:r>
      <w:r w:rsidRPr="00A70B14">
        <w:t>Не случайно примерно 80% ОФЗ куплено банками по заявкам клиентов, а не на деньги самих банков</w:t>
      </w:r>
      <w:r w:rsidR="00A70B14" w:rsidRPr="00A70B14">
        <w:t>.</w:t>
      </w:r>
    </w:p>
    <w:p w:rsidR="00A70B14" w:rsidRDefault="009C48FC" w:rsidP="00A70B14">
      <w:r w:rsidRPr="00A70B14">
        <w:t>Первый аукцион по продаже ОФЗ состоялся в июне 1995 г</w:t>
      </w:r>
      <w:r w:rsidR="00A70B14" w:rsidRPr="00A70B14">
        <w:t xml:space="preserve">. </w:t>
      </w:r>
      <w:r w:rsidRPr="00A70B14">
        <w:t>на Московской межбанковской валютной бирже</w:t>
      </w:r>
      <w:r w:rsidR="00A70B14" w:rsidRPr="00A70B14">
        <w:t xml:space="preserve">. </w:t>
      </w:r>
      <w:r w:rsidRPr="00A70B14">
        <w:t>На продажу Министерство финансов предложило облигации Федерального займа на сумму в 1 трлн руб</w:t>
      </w:r>
      <w:r w:rsidR="00A70B14" w:rsidRPr="00A70B14">
        <w:t xml:space="preserve">. </w:t>
      </w:r>
      <w:r w:rsidRPr="00A70B14">
        <w:t>Реально было куплено ценных бумаг на 587,6 млрд</w:t>
      </w:r>
      <w:r w:rsidR="00A70B14" w:rsidRPr="00A70B14">
        <w:t xml:space="preserve">. </w:t>
      </w:r>
      <w:r w:rsidRPr="00A70B14">
        <w:t>руб</w:t>
      </w:r>
      <w:r w:rsidR="00A70B14" w:rsidRPr="00A70B14">
        <w:t xml:space="preserve">. </w:t>
      </w:r>
      <w:r w:rsidRPr="00A70B14">
        <w:t>Эти результаты расцениваются специалистами как успешные, так как впервые ценные бумаги продавались на первых торгах более чем на 0,5 трлн руб</w:t>
      </w:r>
      <w:r w:rsidR="00A70B14" w:rsidRPr="00A70B14">
        <w:t>.</w:t>
      </w:r>
    </w:p>
    <w:p w:rsidR="00A70B14" w:rsidRDefault="009C48FC" w:rsidP="00A70B14">
      <w:r w:rsidRPr="00A70B14">
        <w:t>В 1995 г</w:t>
      </w:r>
      <w:r w:rsidR="00A70B14" w:rsidRPr="00A70B14">
        <w:t xml:space="preserve">. </w:t>
      </w:r>
      <w:r w:rsidRPr="00A70B14">
        <w:t>правительство России с помощью ОФЗ не только профинансировало значительную часть дефицита государственного бюджета, но и смогло снизить ажиотажный спрос на рынке краткосрочных облигаций</w:t>
      </w:r>
      <w:r w:rsidR="00A70B14" w:rsidRPr="00A70B14">
        <w:t xml:space="preserve">. </w:t>
      </w:r>
      <w:r w:rsidRPr="00A70B14">
        <w:t xml:space="preserve">Кроме того, ОФЗ являются еще одним инструментом для </w:t>
      </w:r>
      <w:r w:rsidR="003A6A70" w:rsidRPr="00A70B14">
        <w:t>диверсификации кредитных портфе</w:t>
      </w:r>
      <w:r w:rsidRPr="00A70B14">
        <w:t>лей российских инвесторов</w:t>
      </w:r>
      <w:r w:rsidR="00A70B14" w:rsidRPr="00A70B14">
        <w:t>.</w:t>
      </w:r>
    </w:p>
    <w:p w:rsidR="00A70B14" w:rsidRDefault="009C48FC" w:rsidP="00A70B14">
      <w:r w:rsidRPr="00A70B14">
        <w:t>Другими государствен</w:t>
      </w:r>
      <w:r w:rsidR="003A6A70" w:rsidRPr="00A70B14">
        <w:t>ными ценными бумагами на россий</w:t>
      </w:r>
      <w:r w:rsidRPr="00A70B14">
        <w:t>ском рынке облигаций выступают</w:t>
      </w:r>
      <w:r w:rsidR="00A70B14" w:rsidRPr="00A70B14">
        <w:t>:</w:t>
      </w:r>
    </w:p>
    <w:p w:rsidR="00A70B14" w:rsidRDefault="009C48FC" w:rsidP="00A70B14">
      <w:r w:rsidRPr="00A70B14">
        <w:t>облигации государственного сберегательного займа</w:t>
      </w:r>
      <w:r w:rsidR="00A70B14">
        <w:t xml:space="preserve"> (</w:t>
      </w:r>
      <w:r w:rsidRPr="00A70B14">
        <w:t>ОГСЗ</w:t>
      </w:r>
      <w:r w:rsidR="00A70B14" w:rsidRPr="00A70B14">
        <w:t xml:space="preserve">). </w:t>
      </w:r>
      <w:r w:rsidRPr="00A70B14">
        <w:t>Они появились в сентябре 1995 г</w:t>
      </w:r>
      <w:r w:rsidR="00A70B14" w:rsidRPr="00A70B14">
        <w:t xml:space="preserve">. </w:t>
      </w:r>
      <w:r w:rsidRPr="00A70B14">
        <w:t xml:space="preserve">с целью привлечения денежных средств широких слоев </w:t>
      </w:r>
      <w:r w:rsidR="003A6A70" w:rsidRPr="00A70B14">
        <w:t>населения для финансирования де</w:t>
      </w:r>
      <w:r w:rsidRPr="00A70B14">
        <w:t>фицита государственного бюджета</w:t>
      </w:r>
      <w:r w:rsidR="00A70B14" w:rsidRPr="00A70B14">
        <w:t xml:space="preserve">. </w:t>
      </w:r>
      <w:r w:rsidRPr="00A70B14">
        <w:t>Облигации выпускаются сроком на 1 год и имеют 4 купона, выплата процентного дохода по которым осуществляется в конце соответствующего купонного периода</w:t>
      </w:r>
      <w:r w:rsidR="00A70B14" w:rsidRPr="00A70B14">
        <w:t xml:space="preserve">. </w:t>
      </w:r>
      <w:r w:rsidRPr="00A70B14">
        <w:t>К октябрю 1996 г</w:t>
      </w:r>
      <w:r w:rsidR="00A70B14" w:rsidRPr="00A70B14">
        <w:t xml:space="preserve">. </w:t>
      </w:r>
      <w:r w:rsidRPr="00A70B14">
        <w:t>на рынке ОГСЗ размещены 8 серий облигаций номинальной стоимостью в 100 000 и 500 000 руб</w:t>
      </w:r>
      <w:r w:rsidR="00A70B14" w:rsidRPr="00A70B14">
        <w:t xml:space="preserve">. </w:t>
      </w:r>
      <w:r w:rsidRPr="00A70B14">
        <w:t>Характерной чертой рынка ОГСЗ является постоянное превышение спроса над предложением</w:t>
      </w:r>
      <w:r w:rsidR="00A70B14" w:rsidRPr="00A70B14">
        <w:t xml:space="preserve">. </w:t>
      </w:r>
      <w:r w:rsidRPr="00A70B14">
        <w:t>Это объясняется тем, что, сохраняя все основн</w:t>
      </w:r>
      <w:r w:rsidR="003A6A70" w:rsidRPr="00A70B14">
        <w:t>ые свойства государственных цен</w:t>
      </w:r>
      <w:r w:rsidRPr="00A70B14">
        <w:t>ных бумаг</w:t>
      </w:r>
      <w:r w:rsidR="00A70B14">
        <w:t xml:space="preserve"> (</w:t>
      </w:r>
      <w:r w:rsidRPr="00A70B14">
        <w:t>надежность, ликвидность, высокая доходность</w:t>
      </w:r>
      <w:r w:rsidR="00A70B14" w:rsidRPr="00A70B14">
        <w:t>),</w:t>
      </w:r>
      <w:r w:rsidRPr="00A70B14">
        <w:t xml:space="preserve"> ОГСЗ стали важным инструментом аккумуляции сбережений населения, для которых раньше доступ на рынки государственных ценных бумаг был практически закрыт</w:t>
      </w:r>
      <w:r w:rsidR="00A70B14" w:rsidRPr="00A70B14">
        <w:t>;</w:t>
      </w:r>
    </w:p>
    <w:p w:rsidR="00A70B14" w:rsidRDefault="009C48FC" w:rsidP="00A70B14">
      <w:r w:rsidRPr="00A70B14">
        <w:t>облигации внутреннего государственного валютного займа</w:t>
      </w:r>
      <w:r w:rsidR="00A70B14">
        <w:t xml:space="preserve"> (</w:t>
      </w:r>
      <w:r w:rsidRPr="00A70B14">
        <w:t>ОВГВЗ или ВВЗ</w:t>
      </w:r>
      <w:r w:rsidR="00A70B14" w:rsidRPr="00A70B14">
        <w:t xml:space="preserve">). </w:t>
      </w:r>
      <w:r w:rsidRPr="00A70B14">
        <w:t>Данными облигациями Министерство финансов формально обеспечило долговые обязательства Внешэкономбанка СССР</w:t>
      </w:r>
      <w:r w:rsidR="00A70B14" w:rsidRPr="00A70B14">
        <w:t xml:space="preserve">. </w:t>
      </w:r>
      <w:r w:rsidRPr="00A70B14">
        <w:t>Они депонированы в долларах США и являются наряду с ГКО важнейшим инструментом фондового рынка</w:t>
      </w:r>
      <w:r w:rsidR="00A70B14" w:rsidRPr="00A70B14">
        <w:t xml:space="preserve">. </w:t>
      </w:r>
      <w:r w:rsidRPr="00A70B14">
        <w:t>Облигации ВВЗ являются особой ценной бумагой, выгодно отличаясь тем, что котируются на мировых фондовых рынках</w:t>
      </w:r>
      <w:r w:rsidR="00A70B14" w:rsidRPr="00A70B14">
        <w:t xml:space="preserve">. </w:t>
      </w:r>
      <w:r w:rsidRPr="00A70B14">
        <w:t>В обращение были выпущены облигации пяти траншей со сроком погашения 1, 3, 6, 10</w:t>
      </w:r>
      <w:r w:rsidR="003A6A70" w:rsidRPr="00A70B14">
        <w:t xml:space="preserve"> </w:t>
      </w:r>
      <w:r w:rsidRPr="00A70B14">
        <w:t>и 15 лет, предусматривающие купонные выплаты в размере 3% номинала</w:t>
      </w:r>
      <w:r w:rsidR="00A70B14" w:rsidRPr="00A70B14">
        <w:t>.</w:t>
      </w:r>
    </w:p>
    <w:p w:rsidR="00A70B14" w:rsidRDefault="009C48FC" w:rsidP="00A70B14">
      <w:r w:rsidRPr="00A70B14">
        <w:t>Рынок государственных облигаций характеризуется масштабным разрастанием, что связано с неустойчивостью экономической и политической ситуации в стране, переизбытком предложения на рынке акций приватизированных предприятий, обеспечивающим низкий спрос на акции</w:t>
      </w:r>
      <w:r w:rsidR="00A70B14" w:rsidRPr="00A70B14">
        <w:t xml:space="preserve">. </w:t>
      </w:r>
      <w:r w:rsidRPr="00A70B14">
        <w:t>В этих условиях большинство потенциальных инвесторов предпочитают вкладывать средства в высокодоходные ликвидные и надежные государственные бумаги</w:t>
      </w:r>
      <w:r w:rsidR="00A70B14" w:rsidRPr="00A70B14">
        <w:t xml:space="preserve">. </w:t>
      </w:r>
      <w:r w:rsidRPr="00A70B14">
        <w:t>На середину 1996 г</w:t>
      </w:r>
      <w:r w:rsidR="00A70B14" w:rsidRPr="00A70B14">
        <w:t xml:space="preserve">. </w:t>
      </w:r>
      <w:r w:rsidRPr="00A70B14">
        <w:t>практически все рублевые сбережения российских предприятий и граждан</w:t>
      </w:r>
      <w:r w:rsidR="00A70B14">
        <w:t xml:space="preserve"> (</w:t>
      </w:r>
      <w:r w:rsidRPr="00A70B14">
        <w:t>более 90%</w:t>
      </w:r>
      <w:r w:rsidR="00A70B14" w:rsidRPr="00A70B14">
        <w:t xml:space="preserve">) </w:t>
      </w:r>
      <w:r w:rsidRPr="00A70B14">
        <w:t>были вложены в государственные ценные бумаги</w:t>
      </w:r>
      <w:r w:rsidR="00A70B14" w:rsidRPr="00A70B14">
        <w:t xml:space="preserve">. </w:t>
      </w:r>
      <w:r w:rsidRPr="00A70B14">
        <w:t>Концентрация на операциях с государственными ценными бумагами сделала российский рынок капитала более неустойчивым, а банковскую систему</w:t>
      </w:r>
      <w:r w:rsidR="00A70B14" w:rsidRPr="00A70B14">
        <w:t xml:space="preserve"> - </w:t>
      </w:r>
      <w:r w:rsidRPr="00A70B14">
        <w:t>в высшей степени зависимой от государственной политики</w:t>
      </w:r>
      <w:r w:rsidR="00A70B14" w:rsidRPr="00A70B14">
        <w:t xml:space="preserve">. </w:t>
      </w:r>
      <w:r w:rsidRPr="00A70B14">
        <w:t>Достаточно высокие уровни доходности по государственным облигациям инициируют повышение общего уровня цены заемных ресурсов, в т</w:t>
      </w:r>
      <w:r w:rsidR="008B7000">
        <w:t>.</w:t>
      </w:r>
      <w:r w:rsidR="00C708CD" w:rsidRPr="00A70B14">
        <w:t>ч</w:t>
      </w:r>
      <w:r w:rsidR="00A70B14" w:rsidRPr="00A70B14">
        <w:t xml:space="preserve">. </w:t>
      </w:r>
      <w:r w:rsidRPr="00A70B14">
        <w:t>банковского кредита</w:t>
      </w:r>
      <w:r w:rsidR="00A70B14" w:rsidRPr="00A70B14">
        <w:t xml:space="preserve"> - </w:t>
      </w:r>
      <w:r w:rsidRPr="00A70B14">
        <w:t>важнейшего источника инвестиций</w:t>
      </w:r>
      <w:r w:rsidR="00C708CD" w:rsidRPr="00A70B14">
        <w:t>,</w:t>
      </w:r>
      <w:r w:rsidR="003A6A70" w:rsidRPr="00A70B14">
        <w:t xml:space="preserve"> </w:t>
      </w:r>
      <w:r w:rsidR="00C708CD" w:rsidRPr="00A70B14">
        <w:t>ч</w:t>
      </w:r>
      <w:r w:rsidRPr="00A70B14">
        <w:t>то препятствует инвестициям в реальный сектор экономики</w:t>
      </w:r>
      <w:r w:rsidR="00A70B14" w:rsidRPr="00A70B14">
        <w:t>.</w:t>
      </w:r>
    </w:p>
    <w:p w:rsidR="00A70B14" w:rsidRDefault="009C48FC" w:rsidP="00A70B14">
      <w:r w:rsidRPr="00A70B14">
        <w:t>Главная задача совершенствования рынка ценных бумаг заключается в ликвидации однобокости его развития</w:t>
      </w:r>
      <w:r w:rsidR="00A70B14" w:rsidRPr="00A70B14">
        <w:t xml:space="preserve">. </w:t>
      </w:r>
      <w:r w:rsidRPr="00A70B14">
        <w:t>До сих пор преимущественное развитие на фондовом рынке имеют межбанковский кредит, государственные краткосрочные облигации и валютные операции</w:t>
      </w:r>
      <w:r w:rsidR="00A70B14" w:rsidRPr="00A70B14">
        <w:t xml:space="preserve">. </w:t>
      </w:r>
      <w:r w:rsidRPr="00A70B14">
        <w:t>Долгосрочные операции, связанные с инвестированием капитала в производство, остаются насущной потребностью развивающейся рыночной экономики</w:t>
      </w:r>
      <w:r w:rsidR="00A70B14" w:rsidRPr="00A70B14">
        <w:t xml:space="preserve">. </w:t>
      </w:r>
      <w:r w:rsidRPr="00A70B14">
        <w:t>Другая, не менее важная проблема</w:t>
      </w:r>
      <w:r w:rsidR="00A70B14" w:rsidRPr="00A70B14">
        <w:t xml:space="preserve"> - </w:t>
      </w:r>
      <w:r w:rsidRPr="00A70B14">
        <w:t>совершенствование правового регулирования со стороны государства</w:t>
      </w:r>
      <w:r w:rsidR="00A70B14" w:rsidRPr="00A70B14">
        <w:t xml:space="preserve">. </w:t>
      </w:r>
      <w:r w:rsidRPr="00A70B14">
        <w:t>Нормативные акты все еще имеют много противоречий, не детализированы</w:t>
      </w:r>
      <w:r w:rsidR="00A70B14" w:rsidRPr="00A70B14">
        <w:t xml:space="preserve">. </w:t>
      </w:r>
      <w:r w:rsidRPr="00A70B14">
        <w:t>Государственные органы должны усилить надзор за применением правил функционирования фондового рынка</w:t>
      </w:r>
      <w:r w:rsidR="00A70B14" w:rsidRPr="00A70B14">
        <w:t>.</w:t>
      </w:r>
    </w:p>
    <w:p w:rsidR="00A70B14" w:rsidRDefault="009C48FC" w:rsidP="00A70B14">
      <w:r w:rsidRPr="00A70B14">
        <w:t>Дальнейшее развитие рынка ценных бумаг в Р</w:t>
      </w:r>
      <w:r w:rsidR="003A6A70" w:rsidRPr="00A70B14">
        <w:t>оссии предпо</w:t>
      </w:r>
      <w:r w:rsidRPr="00A70B14">
        <w:t>лагает наращивание его объемов</w:t>
      </w:r>
      <w:r w:rsidR="00A70B14" w:rsidRPr="00A70B14">
        <w:t xml:space="preserve">. </w:t>
      </w:r>
      <w:r w:rsidRPr="00A70B14">
        <w:t>Для того чтобы российский рынок был отнесен к разряду развивающихся рынков, его объем должен быть увеличен в 10</w:t>
      </w:r>
      <w:r w:rsidR="00A70B14" w:rsidRPr="00A70B14">
        <w:t xml:space="preserve"> - </w:t>
      </w:r>
      <w:r w:rsidRPr="00A70B14">
        <w:t>15 раз, а биржевой рынок</w:t>
      </w:r>
      <w:r w:rsidR="00A70B14" w:rsidRPr="00A70B14">
        <w:t xml:space="preserve"> - </w:t>
      </w:r>
      <w:r w:rsidRPr="00A70B14">
        <w:t>в несколько десятков и даже сотен раз</w:t>
      </w:r>
      <w:r w:rsidR="00A70B14" w:rsidRPr="00A70B14">
        <w:t xml:space="preserve">. </w:t>
      </w:r>
      <w:r w:rsidRPr="00A70B14">
        <w:t>Для развитых рынков этот показатель составляет 60</w:t>
      </w:r>
      <w:r w:rsidR="00A70B14" w:rsidRPr="00A70B14">
        <w:t xml:space="preserve"> - </w:t>
      </w:r>
      <w:r w:rsidRPr="00A70B14">
        <w:t>90% ВВП</w:t>
      </w:r>
      <w:r w:rsidR="00A70B14" w:rsidRPr="00A70B14">
        <w:t xml:space="preserve">. </w:t>
      </w:r>
      <w:r w:rsidRPr="00A70B14">
        <w:t>Важным этапом в развитии фондового рынка должна стать организация вторых эмиссий приватизированных предприятий, расширение рынка облигаций за счет операций с банковскими и корпоративными облигациями, муниципальными облигациями и облигациями государственных учреждений</w:t>
      </w:r>
      <w:r w:rsidR="00A70B14" w:rsidRPr="00A70B14">
        <w:t>.</w:t>
      </w:r>
    </w:p>
    <w:p w:rsidR="00A70B14" w:rsidRDefault="009C48FC" w:rsidP="00A70B14">
      <w:r w:rsidRPr="00A70B14">
        <w:t>Структура российского финансового рынка с точки зрения инструментов, обращающихся на нем, пока не может быть признана сбалансированной и устойчивой</w:t>
      </w:r>
      <w:r w:rsidR="00A70B14" w:rsidRPr="00A70B14">
        <w:t xml:space="preserve">. </w:t>
      </w:r>
      <w:r w:rsidRPr="00A70B14">
        <w:t>Большую долю рынка занимает высокорискованный вексель</w:t>
      </w:r>
      <w:r w:rsidR="00A70B14" w:rsidRPr="00A70B14">
        <w:t xml:space="preserve">. </w:t>
      </w:r>
      <w:r w:rsidRPr="00A70B14">
        <w:t>Доля корпоративных облигаций пока невелика</w:t>
      </w:r>
      <w:r w:rsidR="00A70B14">
        <w:t xml:space="preserve"> (</w:t>
      </w:r>
      <w:r w:rsidRPr="00A70B14">
        <w:t>около 2% капитализации рынка акций</w:t>
      </w:r>
      <w:r w:rsidR="00A70B14" w:rsidRPr="00A70B14">
        <w:t xml:space="preserve">). </w:t>
      </w:r>
      <w:r w:rsidRPr="00A70B14">
        <w:t>При этом половина выпущенных облигаций не могут считаться</w:t>
      </w:r>
      <w:r w:rsidR="00A70B14">
        <w:t xml:space="preserve"> "</w:t>
      </w:r>
      <w:r w:rsidRPr="00A70B14">
        <w:t>рыночными</w:t>
      </w:r>
      <w:r w:rsidR="00A70B14">
        <w:t xml:space="preserve">" </w:t>
      </w:r>
      <w:r w:rsidRPr="00A70B14">
        <w:t>бумагами</w:t>
      </w:r>
      <w:r w:rsidR="00A70B14" w:rsidRPr="00A70B14">
        <w:t xml:space="preserve">. </w:t>
      </w:r>
      <w:r w:rsidRPr="00A70B14">
        <w:t>В последние годы выпуск облигаций стал использоваться для финансирования текущей деятельности и проектов компаний, наметился переход к рублевым займам</w:t>
      </w:r>
      <w:r w:rsidR="00A70B14" w:rsidRPr="00A70B14">
        <w:t xml:space="preserve">. </w:t>
      </w:r>
      <w:r w:rsidRPr="00A70B14">
        <w:t>Однако для рынка облигаций характерны невысокий объем торгов и крайне низкие сроки заимствования</w:t>
      </w:r>
      <w:r w:rsidR="00A70B14" w:rsidRPr="00A70B14">
        <w:t>.</w:t>
      </w:r>
    </w:p>
    <w:p w:rsidR="00A70B14" w:rsidRDefault="009C48FC" w:rsidP="00A70B14">
      <w:r w:rsidRPr="00A70B14">
        <w:t>Важными организаторами торговли сегодня по-прежнему выступают биржи</w:t>
      </w:r>
      <w:r w:rsidR="00A70B14" w:rsidRPr="00A70B14">
        <w:t xml:space="preserve">. </w:t>
      </w:r>
      <w:r w:rsidRPr="00A70B14">
        <w:t>В настоящее время в России активно действуют две фондовые биржи</w:t>
      </w:r>
      <w:r w:rsidR="00A70B14" w:rsidRPr="00A70B14">
        <w:t xml:space="preserve"> - </w:t>
      </w:r>
      <w:r w:rsidRPr="00A70B14">
        <w:t>Московская межбанковская валютная биржа</w:t>
      </w:r>
      <w:r w:rsidR="00A70B14">
        <w:t xml:space="preserve"> (</w:t>
      </w:r>
      <w:r w:rsidRPr="00A70B14">
        <w:t>ММВБ</w:t>
      </w:r>
      <w:r w:rsidR="00A70B14" w:rsidRPr="00A70B14">
        <w:t xml:space="preserve">) </w:t>
      </w:r>
      <w:r w:rsidRPr="00A70B14">
        <w:t>и объединенная площадка Фондовой биржи РТС и Фондовой биржи</w:t>
      </w:r>
      <w:r w:rsidR="00A70B14">
        <w:t xml:space="preserve"> "</w:t>
      </w:r>
      <w:r w:rsidRPr="00A70B14">
        <w:t>Санкт-Петербург</w:t>
      </w:r>
      <w:r w:rsidR="00A70B14">
        <w:t>" (</w:t>
      </w:r>
      <w:r w:rsidRPr="00A70B14">
        <w:t>РТС</w:t>
      </w:r>
      <w:r w:rsidR="00C708CD" w:rsidRPr="00A70B14">
        <w:t>-</w:t>
      </w:r>
      <w:r w:rsidRPr="00A70B14">
        <w:t>СПб</w:t>
      </w:r>
      <w:r w:rsidR="00A70B14" w:rsidRPr="00A70B14">
        <w:t xml:space="preserve">). </w:t>
      </w:r>
      <w:r w:rsidRPr="00A70B14">
        <w:t>Все остальные торговые площадки, даже имеющие лицензию организатора торговли, не играют существенной роли в биржевом обороте либо вообще не проводят торгов</w:t>
      </w:r>
      <w:r w:rsidR="00A70B14" w:rsidRPr="00A70B14">
        <w:t xml:space="preserve">. </w:t>
      </w:r>
      <w:r w:rsidRPr="00A70B14">
        <w:t>ММВБ является лидером по торговле корпоративными облигациями и рублевой торговли с акциями</w:t>
      </w:r>
      <w:r w:rsidR="00A70B14" w:rsidRPr="00A70B14">
        <w:t xml:space="preserve">. </w:t>
      </w:r>
      <w:r w:rsidRPr="00A70B14">
        <w:t>Основные торговые члены на ММВБ</w:t>
      </w:r>
      <w:r w:rsidR="00A70B14" w:rsidRPr="00A70B14">
        <w:t xml:space="preserve"> - </w:t>
      </w:r>
      <w:r w:rsidRPr="00A70B14">
        <w:t>это невысококапитализированные российские компании, ориентированные на торговлю небольшими лотами для российских клиентов</w:t>
      </w:r>
      <w:r w:rsidR="00A70B14" w:rsidRPr="00A70B14">
        <w:t xml:space="preserve">. </w:t>
      </w:r>
      <w:r w:rsidRPr="00A70B14">
        <w:t>РТС-СПб специализируется на торговле производными инструментами на акции и фондовые индексы</w:t>
      </w:r>
      <w:r w:rsidR="00A70B14" w:rsidRPr="00A70B14">
        <w:t xml:space="preserve">. </w:t>
      </w:r>
      <w:r w:rsidRPr="00A70B14">
        <w:t>Кроме корпоративных акций и облигаций на фондовом рынке обращаются государственные ценные бумаги</w:t>
      </w:r>
      <w:r w:rsidR="00A70B14" w:rsidRPr="00A70B14">
        <w:t xml:space="preserve"> - </w:t>
      </w:r>
      <w:r w:rsidRPr="00A70B14">
        <w:t>облигации, являющиеся основным инструментом внутреннего долга России</w:t>
      </w:r>
      <w:r w:rsidR="00A70B14" w:rsidRPr="00A70B14">
        <w:t xml:space="preserve">. </w:t>
      </w:r>
      <w:r w:rsidRPr="00A70B14">
        <w:t>В 2002 г</w:t>
      </w:r>
      <w:r w:rsidR="00A70B14">
        <w:t>.8</w:t>
      </w:r>
      <w:r w:rsidRPr="00A70B14">
        <w:t>9% внутреннего долга приходилось на долю ОФЗ</w:t>
      </w:r>
      <w:r w:rsidR="00A70B14" w:rsidRPr="00A70B14">
        <w:t xml:space="preserve"> - </w:t>
      </w:r>
      <w:r w:rsidRPr="00A70B14">
        <w:t>среднесрочные облигации, имеющие фиксированные или плавающие годовые, полугодовые или квартальные купоны</w:t>
      </w:r>
      <w:r w:rsidR="00C708CD" w:rsidRPr="00A70B14">
        <w:t>,</w:t>
      </w:r>
      <w:r w:rsidRPr="00A70B14">
        <w:t xml:space="preserve"> </w:t>
      </w:r>
      <w:r w:rsidR="00C708CD" w:rsidRPr="00A70B14">
        <w:t>м</w:t>
      </w:r>
      <w:r w:rsidRPr="00A70B14">
        <w:t>еньш</w:t>
      </w:r>
      <w:r w:rsidR="00C708CD" w:rsidRPr="00A70B14">
        <w:t>ая</w:t>
      </w:r>
      <w:r w:rsidRPr="00A70B14">
        <w:t xml:space="preserve"> дол</w:t>
      </w:r>
      <w:r w:rsidR="00C708CD" w:rsidRPr="00A70B14">
        <w:t>я</w:t>
      </w:r>
      <w:r w:rsidR="00A70B14" w:rsidRPr="00A70B14">
        <w:t xml:space="preserve"> - </w:t>
      </w:r>
      <w:r w:rsidRPr="00A70B14">
        <w:t>ГКО</w:t>
      </w:r>
      <w:r w:rsidR="00A70B14" w:rsidRPr="00A70B14">
        <w:t>.</w:t>
      </w:r>
    </w:p>
    <w:p w:rsidR="00A70B14" w:rsidRDefault="009C48FC" w:rsidP="00A70B14">
      <w:r w:rsidRPr="00A70B14">
        <w:t>На ММВБ сегодня обращаются лишь 30% облигаций внутреннего долга, тогда как до кризиса эта доля составляла около 80%</w:t>
      </w:r>
      <w:r w:rsidR="00A70B14" w:rsidRPr="00A70B14">
        <w:t xml:space="preserve">. </w:t>
      </w:r>
      <w:r w:rsidRPr="00A70B14">
        <w:t>Сокращение доли ценных бумаг, обращающихся на ММВБ, связано с реструктуризацией портфеля ГКО-ОФЗ Банка России в долгосрочные и низкодоходные облигации, сделавшей этот портфель нерыночным по своим характеристикам</w:t>
      </w:r>
      <w:r w:rsidR="00A70B14" w:rsidRPr="00A70B14">
        <w:t xml:space="preserve">. </w:t>
      </w:r>
      <w:r w:rsidRPr="00A70B14">
        <w:t>В настоящее время портфель Банка России составляет около половины всего внутреннего долга</w:t>
      </w:r>
      <w:r w:rsidR="00A70B14" w:rsidRPr="00A70B14">
        <w:t>.</w:t>
      </w:r>
    </w:p>
    <w:p w:rsidR="00A70B14" w:rsidRDefault="009C48FC" w:rsidP="00A70B14">
      <w:r w:rsidRPr="00A70B14">
        <w:t>С одной стороны, такая структура долга</w:t>
      </w:r>
      <w:r w:rsidR="00A70B14" w:rsidRPr="00A70B14">
        <w:t xml:space="preserve"> - </w:t>
      </w:r>
      <w:r w:rsidRPr="00A70B14">
        <w:t>это шаг назад по сравнению с его докризисными</w:t>
      </w:r>
      <w:r w:rsidR="00A70B14">
        <w:t xml:space="preserve"> (</w:t>
      </w:r>
      <w:r w:rsidRPr="00A70B14">
        <w:t>рыночными</w:t>
      </w:r>
      <w:r w:rsidR="00A70B14" w:rsidRPr="00A70B14">
        <w:t xml:space="preserve">) </w:t>
      </w:r>
      <w:r w:rsidRPr="00A70B14">
        <w:t>характеристиками</w:t>
      </w:r>
      <w:r w:rsidR="00A70B14" w:rsidRPr="00A70B14">
        <w:t xml:space="preserve">. </w:t>
      </w:r>
      <w:r w:rsidRPr="00A70B14">
        <w:t>Вместе с тем более высокая доля нерыночных инструментов делает рынок внутреннего</w:t>
      </w:r>
      <w:r w:rsidR="00F75AB4" w:rsidRPr="00A70B14">
        <w:t xml:space="preserve"> долга более стабильным, ибо та</w:t>
      </w:r>
      <w:r w:rsidRPr="00A70B14">
        <w:t>кая структура больше соответствует реальным возможностям управления долгом и хеджирования рисков по внутренним заимствованиям</w:t>
      </w:r>
      <w:r w:rsidR="00A70B14" w:rsidRPr="00A70B14">
        <w:t xml:space="preserve">. </w:t>
      </w:r>
      <w:r w:rsidRPr="00A70B14">
        <w:t>Кроме того, ГКО и ОФЗ предназначены для самого широкого круга инвесторов</w:t>
      </w:r>
      <w:r w:rsidR="00A70B14" w:rsidRPr="00A70B14">
        <w:t xml:space="preserve"> - </w:t>
      </w:r>
      <w:r w:rsidR="00F75AB4" w:rsidRPr="00A70B14">
        <w:t>резидентов и нерезидентов, кре</w:t>
      </w:r>
      <w:r w:rsidRPr="00A70B14">
        <w:t>дитных организаций, институциональных инвесторов, нефинансовых предприятий и населения</w:t>
      </w:r>
      <w:r w:rsidR="00A70B14" w:rsidRPr="00A70B14">
        <w:t xml:space="preserve">. </w:t>
      </w:r>
      <w:r w:rsidRPr="00A70B14">
        <w:t>Поэтому в структуре внутренних заимствований эти ценные бумаги останутся преобладающими</w:t>
      </w:r>
      <w:r w:rsidR="00A70B14" w:rsidRPr="00A70B14">
        <w:t>.</w:t>
      </w:r>
    </w:p>
    <w:p w:rsidR="00A70B14" w:rsidRDefault="009C48FC" w:rsidP="00A70B14">
      <w:r w:rsidRPr="00A70B14">
        <w:t>Динамика развития российского рынка ценных бумаг в долгосрочной перспективе будет определяться в основном внутренними факторами</w:t>
      </w:r>
      <w:r w:rsidR="00A70B14" w:rsidRPr="00A70B14">
        <w:t xml:space="preserve"> - </w:t>
      </w:r>
      <w:r w:rsidRPr="00A70B14">
        <w:t>проводимой экономической политикой Правительства РФ и процессом законотворчества на финансовых рынках</w:t>
      </w:r>
      <w:r w:rsidR="00A70B14" w:rsidRPr="00A70B14">
        <w:t xml:space="preserve">. </w:t>
      </w:r>
      <w:r w:rsidRPr="00A70B14">
        <w:t>Масштабы государственных внутренних заимствований определяет бюджетная политика</w:t>
      </w:r>
      <w:r w:rsidR="00A70B14" w:rsidRPr="00A70B14">
        <w:t xml:space="preserve">. </w:t>
      </w:r>
      <w:r w:rsidRPr="00A70B14">
        <w:t>В связи с этим динамика внутренних заимствований и внутреннего долга будет зависеть от двух факторов</w:t>
      </w:r>
      <w:r w:rsidR="00A70B14" w:rsidRPr="00A70B14">
        <w:t xml:space="preserve"> - </w:t>
      </w:r>
      <w:r w:rsidRPr="00A70B14">
        <w:t>сбалансированности доходов и расходов федерального бюджета, а также соотношения внутренних и внешних заимствований</w:t>
      </w:r>
      <w:r w:rsidR="00A70B14" w:rsidRPr="00A70B14">
        <w:t>.</w:t>
      </w:r>
    </w:p>
    <w:p w:rsidR="00A70B14" w:rsidRDefault="009C48FC" w:rsidP="00A70B14">
      <w:r w:rsidRPr="00A70B14">
        <w:t>На рынке корпоративных ценных бумаг в период до 2010 г</w:t>
      </w:r>
      <w:r w:rsidR="00A70B14" w:rsidRPr="00A70B14">
        <w:t xml:space="preserve">. </w:t>
      </w:r>
      <w:r w:rsidRPr="00A70B14">
        <w:t>при условии создания необходимой правовой основы ожидается возникновение двух новых крупных секторов рынка краткосрочных долговых инструментов</w:t>
      </w:r>
      <w:r w:rsidR="00A70B14" w:rsidRPr="00A70B14">
        <w:t xml:space="preserve"> - </w:t>
      </w:r>
      <w:r w:rsidRPr="00A70B14">
        <w:t>коммерческих бумаг и ипотечных ценных бумаг</w:t>
      </w:r>
      <w:r w:rsidR="00A70B14" w:rsidRPr="00A70B14">
        <w:t xml:space="preserve">. </w:t>
      </w:r>
      <w:r w:rsidRPr="00A70B14">
        <w:t>Достаточно активное внедрение новых инструментов связано с развитием финансового рынка по американской модели</w:t>
      </w:r>
      <w:r w:rsidR="00A70B14" w:rsidRPr="00A70B14">
        <w:t xml:space="preserve">. </w:t>
      </w:r>
      <w:r w:rsidRPr="00A70B14">
        <w:t>Если российский финансовый рынок пойдет по пути германской модели, развитие новых краткосрочных финансовых инструментов будет менее активным</w:t>
      </w:r>
      <w:r w:rsidR="00A70B14" w:rsidRPr="00A70B14">
        <w:t xml:space="preserve">. </w:t>
      </w:r>
      <w:r w:rsidRPr="00A70B14">
        <w:t>В государственном регулировании рынка ценных бумаг основной упор делается на раскрытие информации и защиту прав акционеров и инвесторов, а также на снижение нормативов достаточности капитала и общих входных барьеров</w:t>
      </w:r>
      <w:r w:rsidR="00A70B14" w:rsidRPr="00A70B14">
        <w:t>.</w:t>
      </w:r>
    </w:p>
    <w:p w:rsidR="00A70B14" w:rsidRDefault="009C48FC" w:rsidP="00A70B14">
      <w:r w:rsidRPr="00A70B14">
        <w:t>Развитие организованного рынка ценных бумаг в России будет сопровождаться расширением круга инструментов, обращающихся на нем, и формированием единого комплекса фондовой торговли с едиными стандартами функционирования</w:t>
      </w:r>
      <w:r w:rsidR="00A70B14" w:rsidRPr="00A70B14">
        <w:t>.</w:t>
      </w:r>
    </w:p>
    <w:p w:rsidR="00A70B14" w:rsidRPr="00A70B14" w:rsidRDefault="00E32353" w:rsidP="00E32353">
      <w:pPr>
        <w:pStyle w:val="2"/>
      </w:pPr>
      <w:r>
        <w:br w:type="page"/>
      </w:r>
      <w:bookmarkStart w:id="2" w:name="_Toc249125245"/>
      <w:r w:rsidR="008B7000">
        <w:t>3</w:t>
      </w:r>
      <w:r w:rsidR="00A70B14" w:rsidRPr="00A70B14">
        <w:t xml:space="preserve">. </w:t>
      </w:r>
      <w:r w:rsidRPr="00A70B14">
        <w:t>Определения</w:t>
      </w:r>
      <w:bookmarkEnd w:id="2"/>
    </w:p>
    <w:p w:rsidR="00E32353" w:rsidRDefault="00E32353" w:rsidP="00A70B14"/>
    <w:p w:rsidR="00A70B14" w:rsidRDefault="00F42547" w:rsidP="00A70B14">
      <w:r w:rsidRPr="00A70B14">
        <w:t>Вексель</w:t>
      </w:r>
      <w:r w:rsidR="00A70B14" w:rsidRPr="00A70B14">
        <w:t xml:space="preserve"> -</w:t>
      </w:r>
      <w:r w:rsidR="00A70B14">
        <w:t xml:space="preserve"> (</w:t>
      </w:r>
      <w:r w:rsidRPr="00A70B14">
        <w:t>нем</w:t>
      </w:r>
      <w:r w:rsidR="00A70B14" w:rsidRPr="00A70B14">
        <w:t xml:space="preserve">. </w:t>
      </w:r>
      <w:r w:rsidRPr="00A70B14">
        <w:t>Wechsel</w:t>
      </w:r>
      <w:r w:rsidR="00A70B14" w:rsidRPr="00A70B14">
        <w:t xml:space="preserve"> - </w:t>
      </w:r>
      <w:r w:rsidRPr="00A70B14">
        <w:t>букв</w:t>
      </w:r>
      <w:r w:rsidR="00A70B14" w:rsidRPr="00A70B14">
        <w:t>. -</w:t>
      </w:r>
      <w:r w:rsidR="00A70B14">
        <w:t xml:space="preserve"> </w:t>
      </w:r>
      <w:r w:rsidRPr="00A70B14">
        <w:t>обмен</w:t>
      </w:r>
      <w:r w:rsidR="00A70B14" w:rsidRPr="00A70B14">
        <w:t>),</w:t>
      </w:r>
      <w:r w:rsidRPr="00A70B14">
        <w:t xml:space="preserve"> вид ценной бумаги, денежное обязательство</w:t>
      </w:r>
      <w:r w:rsidR="00A70B14" w:rsidRPr="00A70B14">
        <w:t xml:space="preserve">. </w:t>
      </w:r>
      <w:r w:rsidRPr="00A70B14">
        <w:t>Безусловный и бесспорный долговой документ строго установленной законом формы</w:t>
      </w:r>
      <w:r w:rsidR="00F25035" w:rsidRPr="00A70B14">
        <w:t>, дающий ее владельцу</w:t>
      </w:r>
      <w:r w:rsidR="00A70B14">
        <w:t xml:space="preserve"> (</w:t>
      </w:r>
      <w:r w:rsidR="00F25035" w:rsidRPr="00A70B14">
        <w:t>векселедержателю</w:t>
      </w:r>
      <w:r w:rsidR="00A70B14" w:rsidRPr="00A70B14">
        <w:t xml:space="preserve">) </w:t>
      </w:r>
      <w:r w:rsidR="00F25035" w:rsidRPr="00A70B14">
        <w:t>безусловное право требовать уплаты обозначенной в векселе денежной суммы в предусмотренный векселем срок</w:t>
      </w:r>
      <w:r w:rsidR="00A70B14" w:rsidRPr="00A70B14">
        <w:t xml:space="preserve">. </w:t>
      </w:r>
      <w:r w:rsidRPr="00A70B14">
        <w:t>Различают вексель простой и переводный</w:t>
      </w:r>
      <w:r w:rsidR="00A70B14">
        <w:t xml:space="preserve"> (</w:t>
      </w:r>
      <w:r w:rsidRPr="00A70B14">
        <w:t>тратта</w:t>
      </w:r>
      <w:r w:rsidR="00A70B14" w:rsidRPr="00A70B14">
        <w:t xml:space="preserve">). </w:t>
      </w:r>
      <w:r w:rsidRPr="00A70B14">
        <w:t>Передача векселя от одного лица другому оформляется передаточной надписью</w:t>
      </w:r>
      <w:r w:rsidR="00A70B14" w:rsidRPr="00A70B14">
        <w:t xml:space="preserve"> - </w:t>
      </w:r>
      <w:r w:rsidRPr="00A70B14">
        <w:t>индоссаментом</w:t>
      </w:r>
      <w:r w:rsidR="00A70B14" w:rsidRPr="00A70B14">
        <w:t xml:space="preserve">. </w:t>
      </w:r>
      <w:r w:rsidRPr="00A70B14">
        <w:t>В Российской Федерации Положение о переводном и простом векселе принято в 1991</w:t>
      </w:r>
      <w:r w:rsidR="00A70B14" w:rsidRPr="00A70B14">
        <w:t xml:space="preserve">. </w:t>
      </w:r>
      <w:r w:rsidR="00F25035" w:rsidRPr="00A70B14">
        <w:t>Возникнув как кредитный инструмент, вексель стал использоваться как кредитное орудие обращения, заменяет наличные деньги, выступая в роли средства обращения и платежа</w:t>
      </w:r>
      <w:r w:rsidR="00A70B14" w:rsidRPr="00A70B14">
        <w:t xml:space="preserve">. </w:t>
      </w:r>
      <w:r w:rsidR="00F25035" w:rsidRPr="00A70B14">
        <w:t xml:space="preserve">Вексель </w:t>
      </w:r>
      <w:r w:rsidR="00A70B14">
        <w:t>-</w:t>
      </w:r>
      <w:r w:rsidR="00F25035" w:rsidRPr="00A70B14">
        <w:t xml:space="preserve"> универсальный финансовый инструмент, выполняющий кредитную и расчетную функции, служит объектом операций на рынке ценных бумаг</w:t>
      </w:r>
      <w:r w:rsidR="00A70B14" w:rsidRPr="00A70B14">
        <w:t>.</w:t>
      </w:r>
    </w:p>
    <w:p w:rsidR="00A70B14" w:rsidRDefault="00F25035" w:rsidP="00A70B14">
      <w:r w:rsidRPr="00A70B14">
        <w:t xml:space="preserve">Аллонж </w:t>
      </w:r>
      <w:r w:rsidR="00A70B14">
        <w:t>-</w:t>
      </w:r>
      <w:r w:rsidRPr="00A70B14">
        <w:t xml:space="preserve"> </w:t>
      </w:r>
      <w:r w:rsidR="00900873" w:rsidRPr="00A70B14">
        <w:t>добавочный лист, прилагаемый к векселю, на котором совершается индоссамент, если на самом векселе нет места</w:t>
      </w:r>
      <w:r w:rsidR="00A70B14" w:rsidRPr="00A70B14">
        <w:t>.</w:t>
      </w:r>
    </w:p>
    <w:p w:rsidR="00A70B14" w:rsidRDefault="00F25035" w:rsidP="00A70B14">
      <w:r w:rsidRPr="00A70B14">
        <w:t>Дилер</w:t>
      </w:r>
      <w:r w:rsidR="00A70B14" w:rsidRPr="00A70B14">
        <w:t xml:space="preserve"> - </w:t>
      </w:r>
      <w:r w:rsidR="00BA0C6B" w:rsidRPr="00A70B14">
        <w:t>отдельные лица или фирмы, занимающиеся куплей-продажей ценных бумаг, валют, различных товаров</w:t>
      </w:r>
      <w:r w:rsidR="00A70B14" w:rsidRPr="00A70B14">
        <w:t xml:space="preserve">. </w:t>
      </w:r>
      <w:r w:rsidR="00BA0C6B" w:rsidRPr="00A70B14">
        <w:t>Действуют от своего имени и за свой счет</w:t>
      </w:r>
      <w:r w:rsidR="00A70B14" w:rsidRPr="00A70B14">
        <w:t xml:space="preserve">. </w:t>
      </w:r>
      <w:r w:rsidR="00BA0C6B" w:rsidRPr="00A70B14">
        <w:t>Прибыль дилера формируется из разницы цен</w:t>
      </w:r>
      <w:r w:rsidR="00A70B14">
        <w:t xml:space="preserve"> (</w:t>
      </w:r>
      <w:r w:rsidR="00BA0C6B" w:rsidRPr="00A70B14">
        <w:t>курсов</w:t>
      </w:r>
      <w:r w:rsidR="00A70B14" w:rsidRPr="00A70B14">
        <w:t xml:space="preserve">) </w:t>
      </w:r>
      <w:r w:rsidR="00BA0C6B" w:rsidRPr="00A70B14">
        <w:t>продавца и покупателя, а также за счет изменения цен</w:t>
      </w:r>
      <w:r w:rsidR="00A70B14">
        <w:t xml:space="preserve"> (</w:t>
      </w:r>
      <w:r w:rsidR="00BA0C6B" w:rsidRPr="00A70B14">
        <w:t>курсов</w:t>
      </w:r>
      <w:r w:rsidR="00A70B14" w:rsidRPr="00A70B14">
        <w:t xml:space="preserve">) </w:t>
      </w:r>
      <w:r w:rsidR="00BA0C6B" w:rsidRPr="00A70B14">
        <w:t>во времени</w:t>
      </w:r>
      <w:r w:rsidR="00A70B14" w:rsidRPr="00A70B14">
        <w:t xml:space="preserve">. </w:t>
      </w:r>
      <w:r w:rsidR="00E41E8E" w:rsidRPr="00A70B14">
        <w:t>Брокер сводит продавца и покупателя ценных бумаг, получая за это комиссионные</w:t>
      </w:r>
      <w:r w:rsidR="00A70B14" w:rsidRPr="00A70B14">
        <w:t xml:space="preserve">. </w:t>
      </w:r>
      <w:r w:rsidR="00E41E8E" w:rsidRPr="00A70B14">
        <w:t>Дилер не только сводит продавца и покупателя, но и покупает на свое имя и за свой счет ценные бумаги, чтобы потом их перепродать, получая куртаж</w:t>
      </w:r>
      <w:r w:rsidR="00A70B14" w:rsidRPr="00A70B14">
        <w:t xml:space="preserve">. </w:t>
      </w:r>
      <w:r w:rsidR="00E41E8E" w:rsidRPr="00A70B14">
        <w:t>Поскольку доход посредников зависит от торговли ценными бумагами, они не ждут, пока явится клиент, а ищут его сами</w:t>
      </w:r>
      <w:r w:rsidR="00A70B14" w:rsidRPr="00A70B14">
        <w:t xml:space="preserve">. </w:t>
      </w:r>
      <w:r w:rsidR="00E41E8E" w:rsidRPr="00A70B14">
        <w:t>Посредник обладает высоким уровнем профессионализма в знании рынка ценных бумаг, оперативностью в своих действиях</w:t>
      </w:r>
      <w:r w:rsidR="00A70B14" w:rsidRPr="00A70B14">
        <w:t xml:space="preserve">. </w:t>
      </w:r>
      <w:r w:rsidR="00423DD3" w:rsidRPr="00A70B14">
        <w:t>В странах с развитыми финансовыми рынками брокеры и инвестиционные дилеры так же необходимы, как банкиры или бухгалтеры</w:t>
      </w:r>
      <w:r w:rsidR="00A70B14" w:rsidRPr="00A70B14">
        <w:t xml:space="preserve">. </w:t>
      </w:r>
      <w:r w:rsidR="00423DD3" w:rsidRPr="00A70B14">
        <w:t>Их профессия</w:t>
      </w:r>
      <w:r w:rsidR="00A70B14" w:rsidRPr="00A70B14">
        <w:t xml:space="preserve"> - </w:t>
      </w:r>
      <w:r w:rsidR="00423DD3" w:rsidRPr="00A70B14">
        <w:t>престижная и высокооплачиваемая</w:t>
      </w:r>
      <w:r w:rsidR="00A70B14" w:rsidRPr="00A70B14">
        <w:t xml:space="preserve">. </w:t>
      </w:r>
      <w:r w:rsidR="00423DD3" w:rsidRPr="00A70B14">
        <w:t>Известный французский художник Поль Гоген до того, как стать художником, был преуспевающим биржевым брокером с весьма значительными доходами</w:t>
      </w:r>
      <w:r w:rsidR="00A70B14">
        <w:t xml:space="preserve">.Д. </w:t>
      </w:r>
      <w:r w:rsidR="00423DD3" w:rsidRPr="00A70B14">
        <w:t>Рикардо, играя на бирже, накопил состояние в 1 млн</w:t>
      </w:r>
      <w:r w:rsidR="00A70B14" w:rsidRPr="00A70B14">
        <w:t xml:space="preserve">. </w:t>
      </w:r>
      <w:r w:rsidR="00423DD3" w:rsidRPr="00A70B14">
        <w:t xml:space="preserve">фунтов, что составляло огромную сумму, и </w:t>
      </w:r>
      <w:r w:rsidR="00A70B14">
        <w:t>Т.о.</w:t>
      </w:r>
      <w:r w:rsidR="00A70B14" w:rsidRPr="00A70B14">
        <w:t xml:space="preserve"> </w:t>
      </w:r>
      <w:r w:rsidR="00423DD3" w:rsidRPr="00A70B14">
        <w:t>превратился в одну из крупнейших фигур финансового мира</w:t>
      </w:r>
      <w:r w:rsidR="00E56384" w:rsidRPr="00A70B14">
        <w:t>,</w:t>
      </w:r>
      <w:r w:rsidR="00423DD3" w:rsidRPr="00A70B14">
        <w:t xml:space="preserve"> основал Лондонский клуб политэкономии, где был общепризнанным лидером</w:t>
      </w:r>
      <w:r w:rsidR="00A70B14" w:rsidRPr="00A70B14">
        <w:t>.</w:t>
      </w:r>
    </w:p>
    <w:p w:rsidR="00A70B14" w:rsidRDefault="00795780" w:rsidP="00A70B14">
      <w:r w:rsidRPr="00A70B14">
        <w:t xml:space="preserve">Инвестиционный консультант </w:t>
      </w:r>
      <w:r w:rsidR="00A70B14">
        <w:t>-</w:t>
      </w:r>
      <w:r w:rsidRPr="00A70B14">
        <w:t xml:space="preserve"> экономисты, специалисты по техническому и фундаментальному анализу или другие эксперты по вопросам рынка, работающие как в самой организации, так и за ее пределами</w:t>
      </w:r>
      <w:r w:rsidR="00A70B14" w:rsidRPr="00A70B14">
        <w:t xml:space="preserve">. </w:t>
      </w:r>
      <w:r w:rsidRPr="00A70B14">
        <w:t>Готовят прогнозы развития экономики, денежного рынка и рынка капитала</w:t>
      </w:r>
      <w:r w:rsidR="00A70B14" w:rsidRPr="00A70B14">
        <w:t xml:space="preserve">. </w:t>
      </w:r>
      <w:r w:rsidRPr="00A70B14">
        <w:t>Каждый такой аналитик отвечает за группу ценных бумаг, нередко относящихся к одной или нескольким отраслям</w:t>
      </w:r>
      <w:r w:rsidR="00A70B14" w:rsidRPr="00A70B14">
        <w:t>.</w:t>
      </w:r>
    </w:p>
    <w:p w:rsidR="00A70B14" w:rsidRDefault="00F25035" w:rsidP="00A70B14">
      <w:r w:rsidRPr="00A70B14">
        <w:t xml:space="preserve">Фьючерс </w:t>
      </w:r>
      <w:r w:rsidR="00A70B14">
        <w:t>-</w:t>
      </w:r>
      <w:r w:rsidRPr="00A70B14">
        <w:t xml:space="preserve"> </w:t>
      </w:r>
      <w:r w:rsidR="008618BB" w:rsidRPr="00A70B14">
        <w:t>контракт</w:t>
      </w:r>
      <w:r w:rsidR="00A70B14">
        <w:t xml:space="preserve"> (</w:t>
      </w:r>
      <w:r w:rsidR="008618BB" w:rsidRPr="00A70B14">
        <w:t>обязательство, а не право выбора в отличие от опциона</w:t>
      </w:r>
      <w:r w:rsidR="00A70B14" w:rsidRPr="00A70B14">
        <w:t xml:space="preserve">) </w:t>
      </w:r>
      <w:r w:rsidR="008618BB" w:rsidRPr="00A70B14">
        <w:t>на покупку или продажу стандартного количества определенного вида</w:t>
      </w:r>
      <w:r w:rsidR="00640C08" w:rsidRPr="00A70B14">
        <w:t xml:space="preserve"> ценных бумаг на определенную дату в будущем по цене, заранее установленной при заключении сделки</w:t>
      </w:r>
      <w:r w:rsidR="00A70B14" w:rsidRPr="00A70B14">
        <w:t xml:space="preserve">. </w:t>
      </w:r>
      <w:r w:rsidR="00640C08" w:rsidRPr="00A70B14">
        <w:t>В этих стандартных контрактах регламентируются все параметры</w:t>
      </w:r>
      <w:r w:rsidR="00A70B14" w:rsidRPr="00A70B14">
        <w:t xml:space="preserve">: </w:t>
      </w:r>
      <w:r w:rsidR="00640C08" w:rsidRPr="00A70B14">
        <w:t>срок, размеры стандартного лота, гарантийный страховой депозит</w:t>
      </w:r>
      <w:r w:rsidR="00A70B14" w:rsidRPr="00A70B14">
        <w:t xml:space="preserve">. </w:t>
      </w:r>
      <w:r w:rsidR="00640C08" w:rsidRPr="00A70B14">
        <w:t>Цель участников торговли фьючерсами, как правило, состоит не в приобретении ценных бумаг, а в игре на разнице цен</w:t>
      </w:r>
      <w:r w:rsidR="00A70B14" w:rsidRPr="00A70B14">
        <w:t xml:space="preserve">. </w:t>
      </w:r>
      <w:r w:rsidR="00640C08" w:rsidRPr="00A70B14">
        <w:t>Приобретая контракт, его владелец рассчитывает продать его по более по высокой цене, а продавец надеется на приобретение такого же контракта в будущем, но по более низкой цене</w:t>
      </w:r>
      <w:r w:rsidR="00A70B14" w:rsidRPr="00A70B14">
        <w:t xml:space="preserve">. </w:t>
      </w:r>
      <w:r w:rsidR="00640C08" w:rsidRPr="00A70B14">
        <w:t xml:space="preserve">Кроме того, фьючерсные сделки используются с целью хеджирования, </w:t>
      </w:r>
      <w:r w:rsidR="00A70B14">
        <w:t>т.е.</w:t>
      </w:r>
      <w:r w:rsidR="00A70B14" w:rsidRPr="00A70B14">
        <w:t xml:space="preserve"> </w:t>
      </w:r>
      <w:r w:rsidR="00640C08" w:rsidRPr="00A70B14">
        <w:t xml:space="preserve">страхования риска потерь от повышения цены на облигации или иные бумаги, что нежелательно для покупателя, акций или понижения </w:t>
      </w:r>
      <w:r w:rsidR="00006D24" w:rsidRPr="00A70B14">
        <w:t>ее, что невыгодно для продавца</w:t>
      </w:r>
      <w:r w:rsidR="00A70B14" w:rsidRPr="00A70B14">
        <w:t>.</w:t>
      </w:r>
    </w:p>
    <w:p w:rsidR="00A70B14" w:rsidRDefault="00F25035" w:rsidP="00A70B14">
      <w:r w:rsidRPr="00A70B14">
        <w:t>Фондовая биржа</w:t>
      </w:r>
      <w:r w:rsidR="00A70B14" w:rsidRPr="00A70B14">
        <w:t xml:space="preserve"> - </w:t>
      </w:r>
      <w:r w:rsidR="002B730A" w:rsidRPr="00A70B14">
        <w:t>это форма организации торговли ценными бумагами, осуществляемая регулярно по заранее установленным правилам</w:t>
      </w:r>
      <w:r w:rsidR="00A70B14" w:rsidRPr="00A70B14">
        <w:t xml:space="preserve">. </w:t>
      </w:r>
      <w:r w:rsidR="002B730A" w:rsidRPr="00A70B14">
        <w:t>Фондовая биржа определяет рыночную цену ценных бумаг, распространяет информацию о них</w:t>
      </w:r>
      <w:r w:rsidR="00A70B14" w:rsidRPr="00A70B14">
        <w:t xml:space="preserve">. </w:t>
      </w:r>
      <w:r w:rsidR="002B730A" w:rsidRPr="00A70B14">
        <w:t>Выполнение этих функций фондовой биржей невозможно без участия посредников</w:t>
      </w:r>
      <w:r w:rsidR="00A70B14" w:rsidRPr="00A70B14">
        <w:t xml:space="preserve"> - </w:t>
      </w:r>
      <w:r w:rsidR="002B730A" w:rsidRPr="00A70B14">
        <w:t>брокеров и инвестиционных дилеров</w:t>
      </w:r>
      <w:r w:rsidR="00A70B14" w:rsidRPr="00A70B14">
        <w:t xml:space="preserve">. </w:t>
      </w:r>
      <w:r w:rsidR="002B730A" w:rsidRPr="00A70B14">
        <w:t>Сегодня этому посвящают свою деятельность не только отдельные лица, но и целые фирмы, которые и определяют лицо современного инвестиционного бизнеса</w:t>
      </w:r>
      <w:r w:rsidR="00A70B14" w:rsidRPr="00A70B14">
        <w:t xml:space="preserve">. </w:t>
      </w:r>
      <w:r w:rsidR="002B730A" w:rsidRPr="00A70B14">
        <w:t>Они представляют универсальные инвестиционные банки, выполняющие весь комплекс операций с ценными б</w:t>
      </w:r>
      <w:r w:rsidR="00423DD3" w:rsidRPr="00A70B14">
        <w:t>у</w:t>
      </w:r>
      <w:r w:rsidR="002B730A" w:rsidRPr="00A70B14">
        <w:t>магами как на первичном, так и на вторичном рынке</w:t>
      </w:r>
      <w:r w:rsidR="00A70B14" w:rsidRPr="00A70B14">
        <w:t xml:space="preserve">. </w:t>
      </w:r>
      <w:r w:rsidR="002B730A" w:rsidRPr="00A70B14">
        <w:t>В США несколько десятков таких банков сосредоточивают в своих руках львиную долю всех операций</w:t>
      </w:r>
      <w:r w:rsidR="00A70B14" w:rsidRPr="00A70B14">
        <w:t xml:space="preserve">. </w:t>
      </w:r>
      <w:r w:rsidR="002B730A" w:rsidRPr="00A70B14">
        <w:t>Подобно товарной бирж</w:t>
      </w:r>
      <w:r w:rsidR="00423DD3" w:rsidRPr="00A70B14">
        <w:t>е на фондовой бирже ценные бума</w:t>
      </w:r>
      <w:r w:rsidR="002B730A" w:rsidRPr="00A70B14">
        <w:t>ги на торгах непосредственно не выставляются</w:t>
      </w:r>
      <w:r w:rsidR="00A70B14" w:rsidRPr="00A70B14">
        <w:t xml:space="preserve">. </w:t>
      </w:r>
      <w:r w:rsidR="002B730A" w:rsidRPr="00A70B14">
        <w:t>Они продаются и покупаются партиями, находясь на специальных банковских счетах</w:t>
      </w:r>
      <w:r w:rsidR="00A70B14" w:rsidRPr="00A70B14">
        <w:t xml:space="preserve">. </w:t>
      </w:r>
      <w:r w:rsidR="002B730A" w:rsidRPr="00A70B14">
        <w:t>К операциям на фондовой бирже допускаются не все ценные бумаги, а лишь так называемые фондовые ценности</w:t>
      </w:r>
      <w:r w:rsidR="00A70B14" w:rsidRPr="00A70B14">
        <w:rPr>
          <w:i/>
          <w:iCs/>
        </w:rPr>
        <w:t xml:space="preserve">. </w:t>
      </w:r>
      <w:r w:rsidR="002B730A" w:rsidRPr="00A70B14">
        <w:t>К основным фондовым ценностям относятся</w:t>
      </w:r>
      <w:r w:rsidR="00A70B14" w:rsidRPr="00A70B14">
        <w:t xml:space="preserve">: </w:t>
      </w:r>
      <w:r w:rsidR="002B730A" w:rsidRPr="00A70B14">
        <w:t>ценные бумаги с фиксированным доходом</w:t>
      </w:r>
      <w:r w:rsidR="00A70B14" w:rsidRPr="00A70B14">
        <w:t xml:space="preserve"> - </w:t>
      </w:r>
      <w:r w:rsidR="00423DD3" w:rsidRPr="00A70B14">
        <w:t>государственные облигации, обли</w:t>
      </w:r>
      <w:r w:rsidR="002B730A" w:rsidRPr="00A70B14">
        <w:t>гации частных компаний и банков, акции, а также сертификаты</w:t>
      </w:r>
      <w:r w:rsidR="00A70B14" w:rsidRPr="00A70B14">
        <w:t>.</w:t>
      </w:r>
    </w:p>
    <w:p w:rsidR="00A70B14" w:rsidRDefault="00E72750" w:rsidP="00A70B14">
      <w:r w:rsidRPr="00A70B14">
        <w:t xml:space="preserve">ПИФ </w:t>
      </w:r>
      <w:r w:rsidR="00A70B14">
        <w:t>-</w:t>
      </w:r>
      <w:r w:rsidRPr="00A70B14">
        <w:t xml:space="preserve"> </w:t>
      </w:r>
      <w:r w:rsidR="00900873" w:rsidRPr="00A70B14">
        <w:t xml:space="preserve">паевой инвестиционный фонд </w:t>
      </w:r>
      <w:r w:rsidR="00A70B14">
        <w:t>-</w:t>
      </w:r>
      <w:r w:rsidR="00900873" w:rsidRPr="00A70B14">
        <w:t xml:space="preserve"> имущественные комплексы без создания юридического лица, состоит из вкладов</w:t>
      </w:r>
      <w:r w:rsidR="00A70B14">
        <w:t xml:space="preserve"> (</w:t>
      </w:r>
      <w:r w:rsidR="00900873" w:rsidRPr="00A70B14">
        <w:t>инвестиционных паев</w:t>
      </w:r>
      <w:r w:rsidR="00A70B14" w:rsidRPr="00A70B14">
        <w:t xml:space="preserve">) </w:t>
      </w:r>
      <w:r w:rsidR="00900873" w:rsidRPr="00A70B14">
        <w:t>вкладчиков, инвесторов</w:t>
      </w:r>
      <w:r w:rsidR="00A70B14" w:rsidRPr="00A70B14">
        <w:t xml:space="preserve">. </w:t>
      </w:r>
      <w:r w:rsidR="00900873" w:rsidRPr="00A70B14">
        <w:t>Данный комплекс передает в доверительное управление свой инвестиционный пай управляющей компании</w:t>
      </w:r>
      <w:r w:rsidR="00A70B14" w:rsidRPr="00A70B14">
        <w:t xml:space="preserve">. </w:t>
      </w:r>
      <w:r w:rsidR="00900873" w:rsidRPr="00A70B14">
        <w:t>Может осуществлять прямые инвестиции и проектное финансирование</w:t>
      </w:r>
      <w:r w:rsidR="00A70B14" w:rsidRPr="00A70B14">
        <w:t>.</w:t>
      </w:r>
    </w:p>
    <w:p w:rsidR="00A70B14" w:rsidRDefault="00E72750" w:rsidP="00A70B14">
      <w:r w:rsidRPr="00A70B14">
        <w:t xml:space="preserve">НАУФОР </w:t>
      </w:r>
      <w:r w:rsidR="00A70B14">
        <w:t>-</w:t>
      </w:r>
      <w:r w:rsidRPr="00A70B14">
        <w:t xml:space="preserve"> </w:t>
      </w:r>
      <w:r w:rsidR="00FF2385" w:rsidRPr="00A70B14">
        <w:t>национальная ассоциация участников фондового рынка</w:t>
      </w:r>
      <w:r w:rsidR="00A70B14" w:rsidRPr="00A70B14">
        <w:t xml:space="preserve">. </w:t>
      </w:r>
      <w:r w:rsidR="00E56384" w:rsidRPr="00A70B14">
        <w:t>Объединяет внебиржевые рынки всех городов России, унифицирует правила торговли, разрабатывает стандарты договоров</w:t>
      </w:r>
      <w:r w:rsidR="00A70B14" w:rsidRPr="00A70B14">
        <w:t>.</w:t>
      </w:r>
    </w:p>
    <w:p w:rsidR="00A70B14" w:rsidRDefault="00E72750" w:rsidP="00A70B14">
      <w:r w:rsidRPr="00A70B14">
        <w:t>Привилегированная акция</w:t>
      </w:r>
      <w:r w:rsidR="00A70B14" w:rsidRPr="00A70B14">
        <w:t xml:space="preserve"> - </w:t>
      </w:r>
      <w:r w:rsidR="004B695B" w:rsidRPr="00A70B14">
        <w:t>акция, по которой выплачивается фиксированный дивиденд</w:t>
      </w:r>
      <w:r w:rsidR="00A70B14">
        <w:t xml:space="preserve"> (</w:t>
      </w:r>
      <w:r w:rsidR="004B695B" w:rsidRPr="00A70B14">
        <w:t>доход</w:t>
      </w:r>
      <w:r w:rsidR="00A70B14" w:rsidRPr="00A70B14">
        <w:t xml:space="preserve">). </w:t>
      </w:r>
      <w:r w:rsidR="004B695B" w:rsidRPr="00A70B14">
        <w:t>Привилегированная акция не дает ее владельцу права голоса, однако она гарантирует фиксированный доход</w:t>
      </w:r>
      <w:r w:rsidR="00A70B14">
        <w:t xml:space="preserve"> (</w:t>
      </w:r>
      <w:r w:rsidR="004B695B" w:rsidRPr="00A70B14">
        <w:t>дивиденд</w:t>
      </w:r>
      <w:r w:rsidR="00A70B14" w:rsidRPr="00A70B14">
        <w:t xml:space="preserve">) </w:t>
      </w:r>
      <w:r w:rsidR="004B695B" w:rsidRPr="00A70B14">
        <w:t>независимо от результатов хозяйственной деятельности акционерного общества</w:t>
      </w:r>
      <w:r w:rsidR="00A70B14" w:rsidRPr="00A70B14">
        <w:t xml:space="preserve">. </w:t>
      </w:r>
      <w:r w:rsidR="004B695B" w:rsidRPr="00A70B14">
        <w:t>При ликвидации общества владельцы привилегированных акций имеют преимущественные права на оставшиеся активы</w:t>
      </w:r>
      <w:r w:rsidR="00A70B14" w:rsidRPr="00A70B14">
        <w:t xml:space="preserve">. </w:t>
      </w:r>
      <w:r w:rsidR="004B695B" w:rsidRPr="00A70B14">
        <w:t>Привилегированные акции в ряде стран делятся на</w:t>
      </w:r>
      <w:r w:rsidR="00A70B14" w:rsidRPr="00A70B14">
        <w:t xml:space="preserve">: </w:t>
      </w:r>
      <w:r w:rsidR="004B695B" w:rsidRPr="00A70B14">
        <w:t>кумулятивные акции</w:t>
      </w:r>
      <w:r w:rsidR="00A70B14">
        <w:t xml:space="preserve"> (</w:t>
      </w:r>
      <w:r w:rsidR="004B695B" w:rsidRPr="00A70B14">
        <w:t>дают право на получение не выплаченных по решению совета директоров АО дивидендов</w:t>
      </w:r>
      <w:r w:rsidR="00A70B14" w:rsidRPr="00A70B14">
        <w:t xml:space="preserve">); </w:t>
      </w:r>
      <w:r w:rsidR="004B695B" w:rsidRPr="00A70B14">
        <w:t>некумулятивные акции</w:t>
      </w:r>
      <w:r w:rsidR="00A70B14">
        <w:t xml:space="preserve"> (</w:t>
      </w:r>
      <w:r w:rsidR="004B695B" w:rsidRPr="00A70B14">
        <w:t xml:space="preserve">дивиденды по ним могут быть не получены </w:t>
      </w:r>
      <w:r w:rsidR="00A70B14">
        <w:t>т.к</w:t>
      </w:r>
      <w:r w:rsidR="008B7000">
        <w:t>.</w:t>
      </w:r>
      <w:r w:rsidR="00A70B14" w:rsidRPr="00A70B14">
        <w:t xml:space="preserve"> </w:t>
      </w:r>
      <w:r w:rsidR="004B695B" w:rsidRPr="00A70B14">
        <w:t>эмитент может принять решение о его изменении</w:t>
      </w:r>
      <w:r w:rsidR="00A70B14" w:rsidRPr="00A70B14">
        <w:t xml:space="preserve">); </w:t>
      </w:r>
      <w:r w:rsidR="004B695B" w:rsidRPr="00A70B14">
        <w:t>акции с долей участия</w:t>
      </w:r>
      <w:r w:rsidR="00A70B14">
        <w:t xml:space="preserve"> (</w:t>
      </w:r>
      <w:r w:rsidR="004B695B" w:rsidRPr="00A70B14">
        <w:t>дают право их владельцу на долю в дополнительном дивиденде</w:t>
      </w:r>
      <w:r w:rsidR="00A70B14" w:rsidRPr="00A70B14">
        <w:t xml:space="preserve">); </w:t>
      </w:r>
      <w:r w:rsidR="004B695B" w:rsidRPr="00A70B14">
        <w:t>конвертируемые акции</w:t>
      </w:r>
      <w:r w:rsidR="00A70B14">
        <w:t xml:space="preserve"> (</w:t>
      </w:r>
      <w:r w:rsidR="004B695B" w:rsidRPr="00A70B14">
        <w:t>дают право их владельцу по собственному усмотрению и при определенных обстоятельствах обменять их на другую ценную бумагу в целях реализации прибыли, увеличения доходности и пр</w:t>
      </w:r>
      <w:r w:rsidR="00A70B14" w:rsidRPr="00A70B14">
        <w:t xml:space="preserve">). </w:t>
      </w:r>
      <w:r w:rsidR="004B695B" w:rsidRPr="00A70B14">
        <w:t>Привилегированные акции могут быть обменены на установленное количество обыкновенных акций</w:t>
      </w:r>
      <w:r w:rsidR="00A70B14" w:rsidRPr="00A70B14">
        <w:t xml:space="preserve">; </w:t>
      </w:r>
      <w:r w:rsidR="004B695B" w:rsidRPr="00A70B14">
        <w:t>акции с корректируемой ставкой дивиденда</w:t>
      </w:r>
      <w:r w:rsidR="00A70B14">
        <w:t xml:space="preserve"> (</w:t>
      </w:r>
      <w:r w:rsidR="004B695B" w:rsidRPr="00A70B14">
        <w:t>с плавающей ставкой дивиденда</w:t>
      </w:r>
      <w:r w:rsidR="00A70B14" w:rsidRPr="00A70B14">
        <w:t xml:space="preserve">) - </w:t>
      </w:r>
      <w:r w:rsidR="004B695B" w:rsidRPr="00A70B14">
        <w:t>характеризуются дивидендом, ставка которого периодически пересматривается по заранее заданной формуле, например, с учетом колебаний дохода по краткосрочным долговым обязательствам</w:t>
      </w:r>
      <w:r w:rsidR="00A70B14" w:rsidRPr="00A70B14">
        <w:t xml:space="preserve">; </w:t>
      </w:r>
      <w:r w:rsidR="004B695B" w:rsidRPr="00A70B14">
        <w:t>отзывные акции</w:t>
      </w:r>
      <w:r w:rsidR="00A70B14" w:rsidRPr="00A70B14">
        <w:t xml:space="preserve"> - </w:t>
      </w:r>
      <w:r w:rsidR="004B695B" w:rsidRPr="00A70B14">
        <w:t>могут быть отозваны эмитентом</w:t>
      </w:r>
      <w:r w:rsidR="00A70B14" w:rsidRPr="00A70B14">
        <w:t xml:space="preserve">. </w:t>
      </w:r>
      <w:r w:rsidR="004B695B" w:rsidRPr="00A70B14">
        <w:t>Привилегированные акции в отличие от облигаций не имеют даты погашения</w:t>
      </w:r>
      <w:r w:rsidR="00A70B14" w:rsidRPr="00A70B14">
        <w:t xml:space="preserve">; </w:t>
      </w:r>
      <w:r w:rsidR="004B695B" w:rsidRPr="00A70B14">
        <w:t>нередко эмитенты имеют выкупные фонды для возможного выкупа их по номинальной стоимости или с небольшой премией</w:t>
      </w:r>
      <w:r w:rsidR="00A70B14" w:rsidRPr="00A70B14">
        <w:t>.</w:t>
      </w:r>
    </w:p>
    <w:p w:rsidR="00A70B14" w:rsidRDefault="00795780" w:rsidP="00A70B14">
      <w:r w:rsidRPr="00A70B14">
        <w:t xml:space="preserve">Котировка </w:t>
      </w:r>
      <w:r w:rsidR="00A70B14">
        <w:t>- (</w:t>
      </w:r>
      <w:r w:rsidRPr="00A70B14">
        <w:t>от франц</w:t>
      </w:r>
      <w:r w:rsidR="00A70B14" w:rsidRPr="00A70B14">
        <w:t xml:space="preserve">. </w:t>
      </w:r>
      <w:r w:rsidRPr="00A70B14">
        <w:t>coter</w:t>
      </w:r>
      <w:r w:rsidR="00A70B14" w:rsidRPr="00A70B14">
        <w:t xml:space="preserve"> - </w:t>
      </w:r>
      <w:r w:rsidRPr="00A70B14">
        <w:t>букв</w:t>
      </w:r>
      <w:r w:rsidR="00A70B14" w:rsidRPr="00A70B14">
        <w:t>. -</w:t>
      </w:r>
      <w:r w:rsidR="00A70B14">
        <w:t xml:space="preserve"> </w:t>
      </w:r>
      <w:r w:rsidRPr="00A70B14">
        <w:t>нумеровать, метить</w:t>
      </w:r>
      <w:r w:rsidR="00A70B14" w:rsidRPr="00A70B14">
        <w:t>),</w:t>
      </w:r>
      <w:r w:rsidRPr="00A70B14">
        <w:t xml:space="preserve"> установление курсов иностранных валют, ценных бумаг или цен товаров на бирже</w:t>
      </w:r>
      <w:r w:rsidR="00A70B14" w:rsidRPr="00A70B14">
        <w:t>.</w:t>
      </w:r>
    </w:p>
    <w:p w:rsidR="00A70B14" w:rsidRDefault="00E72750" w:rsidP="00A70B14">
      <w:r w:rsidRPr="00A70B14">
        <w:t>Инвестор</w:t>
      </w:r>
      <w:r w:rsidR="00A70B14" w:rsidRPr="00A70B14">
        <w:t xml:space="preserve"> - </w:t>
      </w:r>
      <w:r w:rsidR="00BA0C6B" w:rsidRPr="00A70B14">
        <w:t>Индивидуальные и институциональные инвесторы</w:t>
      </w:r>
      <w:r w:rsidR="00A70B14" w:rsidRPr="00A70B14">
        <w:t xml:space="preserve">. </w:t>
      </w:r>
      <w:r w:rsidR="00BA0C6B" w:rsidRPr="00A70B14">
        <w:t>Индивидуальные инвесторы</w:t>
      </w:r>
      <w:r w:rsidR="00A70B14" w:rsidRPr="00A70B14">
        <w:t xml:space="preserve"> - </w:t>
      </w:r>
      <w:r w:rsidR="00BA0C6B" w:rsidRPr="00A70B14">
        <w:t>это частные сберегатели финансовых средств, которые выступают крупнейшими поставщиками инвестиционного капитала</w:t>
      </w:r>
      <w:r w:rsidR="00A70B14" w:rsidRPr="00A70B14">
        <w:t xml:space="preserve">. </w:t>
      </w:r>
      <w:r w:rsidR="00BA0C6B" w:rsidRPr="00A70B14">
        <w:t>Их личные сбережения принимают форму банковских депозитов, сертификатов пенсионных фондов, облигаций государственных займов, корпоративных ценных бумаг, страховых полисов</w:t>
      </w:r>
      <w:r w:rsidR="00A70B14" w:rsidRPr="00A70B14">
        <w:t xml:space="preserve">. </w:t>
      </w:r>
      <w:r w:rsidR="00BA0C6B" w:rsidRPr="00A70B14">
        <w:t>Институциональные инвесторы представляют аккумуляцию личных сбережений в финансовых институтах</w:t>
      </w:r>
      <w:r w:rsidR="00A70B14" w:rsidRPr="00A70B14">
        <w:t xml:space="preserve">. </w:t>
      </w:r>
      <w:r w:rsidR="00BA0C6B" w:rsidRPr="00A70B14">
        <w:t>Финансовые институты выступают посредниками или промежуточными заемщиками, образуя институциональную структуру финансового рынка</w:t>
      </w:r>
      <w:r w:rsidR="00A70B14" w:rsidRPr="00A70B14">
        <w:t xml:space="preserve">. </w:t>
      </w:r>
      <w:r w:rsidR="00BA0C6B" w:rsidRPr="00A70B14">
        <w:t>Основными институциональными инвесторами являются</w:t>
      </w:r>
      <w:r w:rsidR="00A70B14" w:rsidRPr="00A70B14">
        <w:t xml:space="preserve">: </w:t>
      </w:r>
      <w:r w:rsidR="00BA0C6B" w:rsidRPr="00A70B14">
        <w:t>коммерческие банки, кредитные союзы, страховые компании, пенсионные фонды, инвестиционные фонды</w:t>
      </w:r>
      <w:r w:rsidR="00A70B14" w:rsidRPr="00A70B14">
        <w:t>.</w:t>
      </w:r>
    </w:p>
    <w:p w:rsidR="00A70B14" w:rsidRPr="00A70B14" w:rsidRDefault="00E32353" w:rsidP="00E32353">
      <w:pPr>
        <w:pStyle w:val="2"/>
      </w:pPr>
      <w:r>
        <w:br w:type="page"/>
      </w:r>
      <w:bookmarkStart w:id="3" w:name="_Toc249125246"/>
      <w:r w:rsidR="008B7000">
        <w:t>4</w:t>
      </w:r>
      <w:r w:rsidRPr="00A70B14">
        <w:t>. Практическая часть</w:t>
      </w:r>
      <w:bookmarkEnd w:id="3"/>
    </w:p>
    <w:p w:rsidR="00E32353" w:rsidRDefault="00E32353" w:rsidP="00A70B14"/>
    <w:p w:rsidR="00A70B14" w:rsidRDefault="008D33D0" w:rsidP="00A70B14">
      <w:r w:rsidRPr="00A70B14">
        <w:t>1</w:t>
      </w:r>
      <w:r w:rsidR="00A70B14" w:rsidRPr="00A70B14">
        <w:t xml:space="preserve">. </w:t>
      </w:r>
      <w:r w:rsidRPr="00A70B14">
        <w:t>Существует ли в российском законодательстве исчерпывающий список ценных бумаг или к ценным бумагам могут быть отнесены любые документы, имеющие юридическую силу, составленные по установленной форме и дающие их владельцам стандартный набор прав по отношению к эмитенту</w:t>
      </w:r>
      <w:r w:rsidR="00A70B14" w:rsidRPr="00A70B14">
        <w:t>?</w:t>
      </w:r>
    </w:p>
    <w:p w:rsidR="00A70B14" w:rsidRDefault="0082407C" w:rsidP="00A70B14">
      <w:r w:rsidRPr="00A70B14">
        <w:t>Решение</w:t>
      </w:r>
      <w:r w:rsidR="00A70B14" w:rsidRPr="00A70B14">
        <w:t>.</w:t>
      </w:r>
    </w:p>
    <w:p w:rsidR="00A70B14" w:rsidRDefault="00EC2169" w:rsidP="00A70B14">
      <w:r w:rsidRPr="00A70B14">
        <w:t>Да</w:t>
      </w:r>
      <w:r w:rsidR="00A70B14" w:rsidRPr="00A70B14">
        <w:t xml:space="preserve">. </w:t>
      </w:r>
      <w:r w:rsidRPr="00A70B14">
        <w:t>Минфин России ведет Единый государственный реестр зарегистрированных в РФ ценных бумаг</w:t>
      </w:r>
      <w:r w:rsidR="00A70B14">
        <w:t xml:space="preserve"> (</w:t>
      </w:r>
      <w:r w:rsidRPr="00A70B14">
        <w:t>за исключением акций банков и чековых инвестиционных фондов</w:t>
      </w:r>
      <w:r w:rsidR="00A70B14" w:rsidRPr="00A70B14">
        <w:t xml:space="preserve">) </w:t>
      </w:r>
      <w:r w:rsidRPr="00A70B14">
        <w:t>и обеспечивает его публикацию</w:t>
      </w:r>
      <w:r w:rsidR="00A70B14" w:rsidRPr="00A70B14">
        <w:t>.</w:t>
      </w:r>
    </w:p>
    <w:p w:rsidR="00A70B14" w:rsidRDefault="008D33D0" w:rsidP="00A70B14">
      <w:r w:rsidRPr="00A70B14">
        <w:t>2</w:t>
      </w:r>
      <w:r w:rsidR="00A70B14" w:rsidRPr="00A70B14">
        <w:t xml:space="preserve">. </w:t>
      </w:r>
      <w:r w:rsidRPr="00A70B14">
        <w:t>Акция была куплена инвестором по цене 700 рублей и продана по цене 720 рублей через полгода</w:t>
      </w:r>
      <w:r w:rsidR="00A70B14" w:rsidRPr="00A70B14">
        <w:t xml:space="preserve">. </w:t>
      </w:r>
      <w:r w:rsidRPr="00A70B14">
        <w:t>Фиксированный дивиденд по акции составляет 100 рублей в год</w:t>
      </w:r>
      <w:r w:rsidR="00A70B14" w:rsidRPr="00A70B14">
        <w:t xml:space="preserve">. </w:t>
      </w:r>
      <w:r w:rsidRPr="00A70B14">
        <w:t>Определите текущую и конечную доходность акции</w:t>
      </w:r>
      <w:r w:rsidR="00A70B14" w:rsidRPr="00A70B14">
        <w:t xml:space="preserve">. </w:t>
      </w:r>
      <w:r w:rsidRPr="00A70B14">
        <w:t>Если продавец не успел получить дивиденд</w:t>
      </w:r>
      <w:r w:rsidR="00A70B14" w:rsidRPr="00A70B14">
        <w:t>?</w:t>
      </w:r>
    </w:p>
    <w:p w:rsidR="00A70B14" w:rsidRDefault="00EC2169" w:rsidP="00A70B14">
      <w:r w:rsidRPr="00A70B14">
        <w:t>Решение</w:t>
      </w:r>
      <w:r w:rsidR="00A70B14" w:rsidRPr="00A70B14">
        <w:t>.</w:t>
      </w:r>
    </w:p>
    <w:p w:rsidR="008B7000" w:rsidRDefault="00F61093" w:rsidP="00A70B14">
      <w:r w:rsidRPr="00A70B14">
        <w:t>1</w:t>
      </w:r>
      <w:r w:rsidR="00A70B14" w:rsidRPr="00A70B14">
        <w:t xml:space="preserve">. </w:t>
      </w:r>
      <w:r w:rsidRPr="00A70B14">
        <w:t xml:space="preserve">определим процентную ставку дивиденда </w:t>
      </w:r>
    </w:p>
    <w:p w:rsidR="008B7000" w:rsidRDefault="008B7000" w:rsidP="00A70B14"/>
    <w:p w:rsidR="00EC2169" w:rsidRPr="00A70B14" w:rsidRDefault="00F61093" w:rsidP="00A70B14">
      <w:r w:rsidRPr="00A70B14">
        <w:t xml:space="preserve">i = </w:t>
      </w:r>
      <w:r w:rsidRPr="00A70B14">
        <w:rPr>
          <w:lang w:val="en-US"/>
        </w:rPr>
        <w:t>I</w:t>
      </w:r>
      <w:r w:rsidRPr="00A70B14">
        <w:t>д*100/Рном</w:t>
      </w:r>
    </w:p>
    <w:p w:rsidR="00F61093" w:rsidRPr="00A70B14" w:rsidRDefault="00F61093" w:rsidP="00A70B14">
      <w:r w:rsidRPr="00A70B14">
        <w:rPr>
          <w:lang w:val="en-US"/>
        </w:rPr>
        <w:t>i</w:t>
      </w:r>
      <w:r w:rsidRPr="00A70B14">
        <w:t xml:space="preserve"> = 100*100/700 = 14,2857</w:t>
      </w:r>
    </w:p>
    <w:p w:rsidR="008B7000" w:rsidRDefault="008B7000" w:rsidP="00A70B14"/>
    <w:p w:rsidR="008B7000" w:rsidRDefault="00F61093" w:rsidP="00A70B14">
      <w:r w:rsidRPr="00A70B14">
        <w:t>2</w:t>
      </w:r>
      <w:r w:rsidR="00A70B14" w:rsidRPr="00A70B14">
        <w:t xml:space="preserve">. </w:t>
      </w:r>
      <w:r w:rsidRPr="00A70B14">
        <w:t xml:space="preserve">текущая доходность акции определяется рендитом </w:t>
      </w:r>
    </w:p>
    <w:p w:rsidR="008B7000" w:rsidRDefault="008B7000" w:rsidP="00A70B14"/>
    <w:p w:rsidR="00F61093" w:rsidRPr="00A70B14" w:rsidRDefault="00F61093" w:rsidP="00A70B14">
      <w:r w:rsidRPr="00A70B14">
        <w:t>R = I/Рпр</w:t>
      </w:r>
    </w:p>
    <w:p w:rsidR="00F61093" w:rsidRPr="00A70B14" w:rsidRDefault="00F61093" w:rsidP="00A70B14">
      <w:r w:rsidRPr="00A70B14">
        <w:t>R = 100/700 = 0,1428</w:t>
      </w:r>
    </w:p>
    <w:p w:rsidR="008B7000" w:rsidRDefault="008B7000" w:rsidP="00A70B14"/>
    <w:p w:rsidR="008B7000" w:rsidRDefault="00F61093" w:rsidP="00A70B14">
      <w:r w:rsidRPr="00A70B14">
        <w:t>3</w:t>
      </w:r>
      <w:r w:rsidR="00A70B14" w:rsidRPr="00A70B14">
        <w:t xml:space="preserve">. </w:t>
      </w:r>
      <w:r w:rsidRPr="00A70B14">
        <w:t xml:space="preserve">абсолютная величина дохода инвестора </w:t>
      </w:r>
    </w:p>
    <w:p w:rsidR="008B7000" w:rsidRDefault="008B7000" w:rsidP="00A70B14"/>
    <w:p w:rsidR="00EC2169" w:rsidRPr="00A70B14" w:rsidRDefault="00F61093" w:rsidP="00A70B14">
      <w:r w:rsidRPr="00A70B14">
        <w:t xml:space="preserve">720 </w:t>
      </w:r>
      <w:r w:rsidR="00A70B14">
        <w:t>-</w:t>
      </w:r>
      <w:r w:rsidRPr="00A70B14">
        <w:t xml:space="preserve"> 700 = 20</w:t>
      </w:r>
    </w:p>
    <w:p w:rsidR="008B7000" w:rsidRDefault="00C9360C" w:rsidP="00A70B14">
      <w:r>
        <w:br w:type="page"/>
      </w:r>
      <w:r w:rsidR="00F61093" w:rsidRPr="00A70B14">
        <w:t>4</w:t>
      </w:r>
      <w:r w:rsidR="00A70B14" w:rsidRPr="00A70B14">
        <w:t xml:space="preserve">. </w:t>
      </w:r>
      <w:r w:rsidR="00F61093" w:rsidRPr="00A70B14">
        <w:t xml:space="preserve">величина совокупного дохода </w:t>
      </w:r>
    </w:p>
    <w:p w:rsidR="008B7000" w:rsidRDefault="008B7000" w:rsidP="00A70B14"/>
    <w:p w:rsidR="00F61093" w:rsidRPr="00A70B14" w:rsidRDefault="00F61093" w:rsidP="00A70B14">
      <w:r w:rsidRPr="00A70B14">
        <w:t>20 + 100 = 120</w:t>
      </w:r>
    </w:p>
    <w:p w:rsidR="008B7000" w:rsidRDefault="008B7000" w:rsidP="00A70B14"/>
    <w:p w:rsidR="008B7000" w:rsidRDefault="00F61093" w:rsidP="00A70B14">
      <w:r w:rsidRPr="00A70B14">
        <w:t>5</w:t>
      </w:r>
      <w:r w:rsidR="00A70B14" w:rsidRPr="00A70B14">
        <w:t xml:space="preserve">. </w:t>
      </w:r>
      <w:r w:rsidRPr="00A70B14">
        <w:t xml:space="preserve">конечная доходность </w:t>
      </w:r>
    </w:p>
    <w:p w:rsidR="008B7000" w:rsidRDefault="008B7000" w:rsidP="00A70B14"/>
    <w:p w:rsidR="00F61093" w:rsidRDefault="00F61093" w:rsidP="00A70B14">
      <w:r w:rsidRPr="00A70B14">
        <w:t>120/700 = 0,1714</w:t>
      </w:r>
    </w:p>
    <w:p w:rsidR="00E32353" w:rsidRPr="00A70B14" w:rsidRDefault="00E32353" w:rsidP="00A70B14"/>
    <w:p w:rsidR="00E32353" w:rsidRDefault="00F61093" w:rsidP="00A70B14">
      <w:r w:rsidRPr="00A70B14">
        <w:t>6</w:t>
      </w:r>
      <w:r w:rsidR="00A70B14" w:rsidRPr="00A70B14">
        <w:t xml:space="preserve">. </w:t>
      </w:r>
      <w:r w:rsidRPr="00A70B14">
        <w:t xml:space="preserve">поскольку акция продается в середине финансового года, сумма дивиденда должна быть поделена между прежним и новым владельцем, используем формулу точных процентов </w:t>
      </w:r>
    </w:p>
    <w:p w:rsidR="00E32353" w:rsidRDefault="00E32353" w:rsidP="00A70B14"/>
    <w:p w:rsidR="00A70B14" w:rsidRDefault="00F61093" w:rsidP="00A70B14">
      <w:r w:rsidRPr="00A70B14">
        <w:t xml:space="preserve">Дточ = </w:t>
      </w:r>
      <w:r w:rsidR="009B2F28">
        <w:rPr>
          <w:position w:val="-24"/>
        </w:rPr>
        <w:pict>
          <v:shape id="_x0000_i1027" type="#_x0000_t75" style="width:72.75pt;height:30.75pt">
            <v:imagedata r:id="rId9" o:title=""/>
          </v:shape>
        </w:pict>
      </w:r>
    </w:p>
    <w:p w:rsidR="00E32353" w:rsidRPr="00A70B14" w:rsidRDefault="00E32353" w:rsidP="00A70B14"/>
    <w:p w:rsidR="00A70B14" w:rsidRDefault="008D33D0" w:rsidP="00A70B14">
      <w:r w:rsidRPr="00A70B14">
        <w:t>3</w:t>
      </w:r>
      <w:r w:rsidR="00A70B14" w:rsidRPr="00A70B14">
        <w:t xml:space="preserve">. </w:t>
      </w:r>
      <w:r w:rsidRPr="00A70B14">
        <w:t>Компании А и В заключили сделку РЕПО</w:t>
      </w:r>
      <w:r w:rsidR="00A70B14" w:rsidRPr="00A70B14">
        <w:t xml:space="preserve">. </w:t>
      </w:r>
      <w:r w:rsidRPr="00A70B14">
        <w:t>По первой части сделки было продано 10000 акций РАО</w:t>
      </w:r>
      <w:r w:rsidR="00A70B14">
        <w:t xml:space="preserve"> "</w:t>
      </w:r>
      <w:r w:rsidRPr="00A70B14">
        <w:t>Газпром</w:t>
      </w:r>
      <w:r w:rsidR="00A70B14">
        <w:t xml:space="preserve">" </w:t>
      </w:r>
      <w:r w:rsidRPr="00A70B14">
        <w:t>по цене 250 рублей за акцию сроком на 3 месяца под 10% годовых</w:t>
      </w:r>
      <w:r w:rsidR="00A70B14" w:rsidRPr="00A70B14">
        <w:t xml:space="preserve">. </w:t>
      </w:r>
      <w:r w:rsidRPr="00A70B14">
        <w:t>Какая цена должна быть оговорена во второй части РЕПО</w:t>
      </w:r>
      <w:r w:rsidR="00A70B14" w:rsidRPr="00A70B14">
        <w:t>?</w:t>
      </w:r>
    </w:p>
    <w:p w:rsidR="00A70B14" w:rsidRDefault="0076501E" w:rsidP="00A70B14">
      <w:r w:rsidRPr="00A70B14">
        <w:t>Решение</w:t>
      </w:r>
      <w:r w:rsidR="00A70B14" w:rsidRPr="00A70B14">
        <w:t>.</w:t>
      </w:r>
    </w:p>
    <w:p w:rsidR="00E32353" w:rsidRDefault="00E32353" w:rsidP="00A70B14"/>
    <w:p w:rsidR="008D33D0" w:rsidRPr="00A70B14" w:rsidRDefault="0076501E" w:rsidP="00A70B14">
      <w:r w:rsidRPr="00A70B14">
        <w:t>%Цв = 250</w:t>
      </w:r>
      <w:r w:rsidR="009B2F28">
        <w:rPr>
          <w:position w:val="-4"/>
        </w:rPr>
        <w:pict>
          <v:shape id="_x0000_i1028" type="#_x0000_t75" style="width:9pt;height:9.75pt">
            <v:imagedata r:id="rId10" o:title=""/>
          </v:shape>
        </w:pict>
      </w:r>
      <w:r w:rsidRPr="00A70B14">
        <w:t>0,1</w:t>
      </w:r>
      <w:r w:rsidR="009B2F28">
        <w:rPr>
          <w:position w:val="-4"/>
        </w:rPr>
        <w:pict>
          <v:shape id="_x0000_i1029" type="#_x0000_t75" style="width:9pt;height:9.75pt">
            <v:imagedata r:id="rId11" o:title=""/>
          </v:shape>
        </w:pict>
      </w:r>
      <w:r w:rsidR="009B2F28">
        <w:rPr>
          <w:position w:val="-24"/>
        </w:rPr>
        <w:pict>
          <v:shape id="_x0000_i1030" type="#_x0000_t75" style="width:15.75pt;height:30.75pt">
            <v:imagedata r:id="rId12" o:title=""/>
          </v:shape>
        </w:pict>
      </w:r>
      <w:r w:rsidRPr="00A70B14">
        <w:t xml:space="preserve"> = 6,25</w:t>
      </w:r>
    </w:p>
    <w:p w:rsidR="00A70B14" w:rsidRDefault="0076501E" w:rsidP="00A70B14">
      <w:r w:rsidRPr="00A70B14">
        <w:t>Цв = 250 + 6,25 = 256,25 руб</w:t>
      </w:r>
      <w:r w:rsidR="00A70B14" w:rsidRPr="00A70B14">
        <w:t>.</w:t>
      </w:r>
    </w:p>
    <w:p w:rsidR="00A70B14" w:rsidRPr="00A70B14" w:rsidRDefault="00E32353" w:rsidP="00E32353">
      <w:pPr>
        <w:pStyle w:val="2"/>
      </w:pPr>
      <w:r>
        <w:br w:type="page"/>
      </w:r>
      <w:bookmarkStart w:id="4" w:name="_Toc249125247"/>
      <w:r w:rsidR="008D33D0" w:rsidRPr="00A70B14">
        <w:t>Список используемой литературы</w:t>
      </w:r>
      <w:bookmarkEnd w:id="4"/>
    </w:p>
    <w:p w:rsidR="00E32353" w:rsidRDefault="00E32353" w:rsidP="00A70B14"/>
    <w:p w:rsidR="00A70B14" w:rsidRDefault="008D33D0" w:rsidP="00E32353">
      <w:pPr>
        <w:pStyle w:val="a0"/>
        <w:ind w:firstLine="0"/>
      </w:pPr>
      <w:r w:rsidRPr="00A70B14">
        <w:t>Гитман Л</w:t>
      </w:r>
      <w:r w:rsidR="00A70B14" w:rsidRPr="00A70B14">
        <w:t xml:space="preserve">. </w:t>
      </w:r>
      <w:r w:rsidRPr="00A70B14">
        <w:t>Дж</w:t>
      </w:r>
      <w:r w:rsidR="00A70B14" w:rsidRPr="00A70B14">
        <w:t xml:space="preserve">. </w:t>
      </w:r>
      <w:r w:rsidRPr="00A70B14">
        <w:t>Основы инвестирования/пер</w:t>
      </w:r>
      <w:r w:rsidR="00A70B14" w:rsidRPr="00A70B14">
        <w:t xml:space="preserve">. </w:t>
      </w:r>
      <w:r w:rsidRPr="00A70B14">
        <w:t>с англ</w:t>
      </w:r>
      <w:r w:rsidR="00A70B14" w:rsidRPr="00A70B14">
        <w:t xml:space="preserve">. </w:t>
      </w:r>
      <w:r w:rsidR="00A70B14">
        <w:t>-</w:t>
      </w:r>
      <w:r w:rsidRPr="00A70B14">
        <w:t xml:space="preserve"> М</w:t>
      </w:r>
      <w:r w:rsidR="00A70B14">
        <w:t>.:</w:t>
      </w:r>
      <w:r w:rsidR="00A70B14" w:rsidRPr="00A70B14">
        <w:t xml:space="preserve"> </w:t>
      </w:r>
      <w:r w:rsidRPr="00A70B14">
        <w:t>Дело, 1999</w:t>
      </w:r>
      <w:r w:rsidR="00A70B14" w:rsidRPr="00A70B14">
        <w:t xml:space="preserve">. </w:t>
      </w:r>
      <w:r w:rsidR="00A70B14">
        <w:t>-</w:t>
      </w:r>
      <w:r w:rsidRPr="00A70B14">
        <w:t xml:space="preserve"> 1008 с</w:t>
      </w:r>
      <w:r w:rsidR="00A70B14">
        <w:t>.;</w:t>
      </w:r>
    </w:p>
    <w:p w:rsidR="00A70B14" w:rsidRDefault="008D33D0" w:rsidP="00E32353">
      <w:pPr>
        <w:pStyle w:val="a0"/>
        <w:ind w:firstLine="0"/>
      </w:pPr>
      <w:r w:rsidRPr="00A70B14">
        <w:t>Инвестиционная политика</w:t>
      </w:r>
      <w:r w:rsidR="00A70B14" w:rsidRPr="00A70B14">
        <w:t xml:space="preserve">: </w:t>
      </w:r>
      <w:r w:rsidRPr="00A70B14">
        <w:t>учеб</w:t>
      </w:r>
      <w:r w:rsidR="00A70B14" w:rsidRPr="00A70B14">
        <w:t xml:space="preserve">. </w:t>
      </w:r>
      <w:r w:rsidRPr="00A70B14">
        <w:t>пособие</w:t>
      </w:r>
      <w:r w:rsidR="00A70B14" w:rsidRPr="00A70B14">
        <w:t xml:space="preserve">. </w:t>
      </w:r>
      <w:r w:rsidR="00A70B14">
        <w:t>-</w:t>
      </w:r>
      <w:r w:rsidRPr="00A70B14">
        <w:t xml:space="preserve"> М</w:t>
      </w:r>
      <w:r w:rsidR="00A70B14">
        <w:t>.:</w:t>
      </w:r>
      <w:r w:rsidR="00A70B14" w:rsidRPr="00A70B14">
        <w:t xml:space="preserve"> </w:t>
      </w:r>
      <w:r w:rsidRPr="00A70B14">
        <w:t>КНОРУС, 2005,</w:t>
      </w:r>
      <w:r w:rsidR="00A70B14" w:rsidRPr="00A70B14">
        <w:t xml:space="preserve"> - </w:t>
      </w:r>
      <w:r w:rsidRPr="00A70B14">
        <w:t>320 с</w:t>
      </w:r>
      <w:r w:rsidR="00A70B14">
        <w:t>.;</w:t>
      </w:r>
    </w:p>
    <w:p w:rsidR="00A70B14" w:rsidRDefault="008D33D0" w:rsidP="00E32353">
      <w:pPr>
        <w:pStyle w:val="a0"/>
        <w:ind w:firstLine="0"/>
      </w:pPr>
      <w:r w:rsidRPr="00A70B14">
        <w:t>Липсиц И</w:t>
      </w:r>
      <w:r w:rsidR="00A70B14">
        <w:t xml:space="preserve">.В. </w:t>
      </w:r>
      <w:r w:rsidRPr="00A70B14">
        <w:t>Экономический анализ реальных инвестиций</w:t>
      </w:r>
      <w:r w:rsidR="00A70B14" w:rsidRPr="00A70B14">
        <w:t xml:space="preserve">: </w:t>
      </w:r>
      <w:r w:rsidRPr="00A70B14">
        <w:t>учеб</w:t>
      </w:r>
      <w:r w:rsidR="00A70B14" w:rsidRPr="00A70B14">
        <w:t xml:space="preserve">. </w:t>
      </w:r>
      <w:r w:rsidRPr="00A70B14">
        <w:t>пособие</w:t>
      </w:r>
      <w:r w:rsidR="00A70B14" w:rsidRPr="00A70B14">
        <w:t>. -</w:t>
      </w:r>
      <w:r w:rsidR="00A70B14">
        <w:t xml:space="preserve"> </w:t>
      </w:r>
      <w:r w:rsidRPr="00A70B14">
        <w:t>М</w:t>
      </w:r>
      <w:r w:rsidR="00A70B14">
        <w:t>.:</w:t>
      </w:r>
      <w:r w:rsidR="00A70B14" w:rsidRPr="00A70B14">
        <w:t xml:space="preserve"> </w:t>
      </w:r>
      <w:r w:rsidRPr="00A70B14">
        <w:t>Экономистъ, 2004</w:t>
      </w:r>
      <w:r w:rsidR="00A70B14" w:rsidRPr="00A70B14">
        <w:t xml:space="preserve">. </w:t>
      </w:r>
      <w:r w:rsidR="00A70B14">
        <w:t>-</w:t>
      </w:r>
      <w:r w:rsidRPr="00A70B14">
        <w:t xml:space="preserve"> 347 с</w:t>
      </w:r>
      <w:r w:rsidR="00A70B14">
        <w:t>.;</w:t>
      </w:r>
    </w:p>
    <w:p w:rsidR="008D33D0" w:rsidRPr="00A70B14" w:rsidRDefault="008D33D0" w:rsidP="00E32353">
      <w:pPr>
        <w:pStyle w:val="a0"/>
        <w:ind w:firstLine="0"/>
      </w:pPr>
      <w:r w:rsidRPr="00A70B14">
        <w:t>Маршал Джон Ф</w:t>
      </w:r>
      <w:r w:rsidR="00A70B14">
        <w:t>.,</w:t>
      </w:r>
      <w:r w:rsidRPr="00A70B14">
        <w:t xml:space="preserve"> Бансал Випул К</w:t>
      </w:r>
      <w:r w:rsidR="00A70B14" w:rsidRPr="00A70B14">
        <w:t xml:space="preserve">. </w:t>
      </w:r>
      <w:r w:rsidRPr="00A70B14">
        <w:t>Полное руководство финансовым нововведениям</w:t>
      </w:r>
      <w:r w:rsidR="00A70B14" w:rsidRPr="00A70B14">
        <w:t xml:space="preserve">: </w:t>
      </w:r>
      <w:r w:rsidRPr="00A70B14">
        <w:t>Пер</w:t>
      </w:r>
      <w:r w:rsidR="00A70B14" w:rsidRPr="00A70B14">
        <w:t xml:space="preserve">. </w:t>
      </w:r>
      <w:r w:rsidRPr="00A70B14">
        <w:t>с англ</w:t>
      </w:r>
      <w:r w:rsidR="00A70B14" w:rsidRPr="00A70B14">
        <w:t xml:space="preserve">. - </w:t>
      </w:r>
      <w:r w:rsidRPr="00A70B14">
        <w:t>М</w:t>
      </w:r>
      <w:r w:rsidR="00A70B14">
        <w:t>.:</w:t>
      </w:r>
      <w:r w:rsidR="00A70B14" w:rsidRPr="00A70B14">
        <w:t xml:space="preserve"> </w:t>
      </w:r>
      <w:r w:rsidRPr="00A70B14">
        <w:t>ИНФРА-М, 2001</w:t>
      </w:r>
    </w:p>
    <w:p w:rsidR="00A70B14" w:rsidRDefault="008D33D0" w:rsidP="00E32353">
      <w:pPr>
        <w:pStyle w:val="a0"/>
        <w:ind w:firstLine="0"/>
      </w:pPr>
      <w:r w:rsidRPr="00A70B14">
        <w:t>Павлова Ю</w:t>
      </w:r>
      <w:r w:rsidR="00A70B14">
        <w:t xml:space="preserve">.Н. </w:t>
      </w:r>
      <w:r w:rsidRPr="00A70B14">
        <w:t>Финансовый менеджмент</w:t>
      </w:r>
      <w:r w:rsidR="00A70B14" w:rsidRPr="00A70B14">
        <w:t xml:space="preserve">: </w:t>
      </w:r>
      <w:r w:rsidRPr="00A70B14">
        <w:t>Уч</w:t>
      </w:r>
      <w:r w:rsidR="00A70B14" w:rsidRPr="00A70B14">
        <w:t xml:space="preserve">. </w:t>
      </w:r>
      <w:r w:rsidR="00A70B14">
        <w:t>-</w:t>
      </w:r>
      <w:r w:rsidRPr="00A70B14">
        <w:t xml:space="preserve"> М</w:t>
      </w:r>
      <w:r w:rsidR="00A70B14">
        <w:t>.:</w:t>
      </w:r>
      <w:r w:rsidR="00A70B14" w:rsidRPr="00A70B14">
        <w:t xml:space="preserve"> </w:t>
      </w:r>
      <w:r w:rsidRPr="00A70B14">
        <w:t>ЮНИТИ-ДАНА, 2001,</w:t>
      </w:r>
      <w:r w:rsidR="00A70B14" w:rsidRPr="00A70B14">
        <w:t xml:space="preserve"> - </w:t>
      </w:r>
      <w:r w:rsidRPr="00A70B14">
        <w:t>269 с</w:t>
      </w:r>
      <w:r w:rsidR="00A70B14" w:rsidRPr="00A70B14">
        <w:t>.</w:t>
      </w:r>
    </w:p>
    <w:p w:rsidR="00A70B14" w:rsidRDefault="008D33D0" w:rsidP="00E32353">
      <w:pPr>
        <w:pStyle w:val="a0"/>
        <w:ind w:firstLine="0"/>
      </w:pPr>
      <w:r w:rsidRPr="00A70B14">
        <w:t>Рынок ценных бумаг</w:t>
      </w:r>
      <w:r w:rsidR="00A70B14" w:rsidRPr="00A70B14">
        <w:t xml:space="preserve">: </w:t>
      </w:r>
      <w:r w:rsidRPr="00A70B14">
        <w:t>учеб</w:t>
      </w:r>
      <w:r w:rsidR="00A70B14" w:rsidRPr="00A70B14">
        <w:t xml:space="preserve">. </w:t>
      </w:r>
      <w:r w:rsidR="008B7000" w:rsidRPr="00A70B14">
        <w:t>П</w:t>
      </w:r>
      <w:r w:rsidRPr="00A70B14">
        <w:t>особие</w:t>
      </w:r>
      <w:r w:rsidR="008B7000">
        <w:t xml:space="preserve"> </w:t>
      </w:r>
      <w:r w:rsidRPr="00A70B14">
        <w:t>/</w:t>
      </w:r>
      <w:r w:rsidR="008B7000">
        <w:t xml:space="preserve"> </w:t>
      </w:r>
      <w:r w:rsidRPr="00A70B14">
        <w:t>под ред</w:t>
      </w:r>
      <w:r w:rsidR="00A70B14" w:rsidRPr="00A70B14">
        <w:t xml:space="preserve">. </w:t>
      </w:r>
      <w:r w:rsidRPr="00A70B14">
        <w:t>проф</w:t>
      </w:r>
      <w:r w:rsidR="00A70B14" w:rsidRPr="00A70B14">
        <w:t xml:space="preserve">. </w:t>
      </w:r>
      <w:r w:rsidRPr="00A70B14">
        <w:t>Е</w:t>
      </w:r>
      <w:r w:rsidR="00A70B14">
        <w:t xml:space="preserve">.Ф. </w:t>
      </w:r>
      <w:r w:rsidRPr="00A70B14">
        <w:t>Жукова</w:t>
      </w:r>
      <w:r w:rsidR="00A70B14" w:rsidRPr="00A70B14">
        <w:t xml:space="preserve">. </w:t>
      </w:r>
      <w:r w:rsidR="00A70B14">
        <w:t>-</w:t>
      </w:r>
      <w:r w:rsidRPr="00A70B14">
        <w:t xml:space="preserve"> М</w:t>
      </w:r>
      <w:r w:rsidR="00A70B14">
        <w:t>.:</w:t>
      </w:r>
      <w:r w:rsidR="00A70B14" w:rsidRPr="00A70B14">
        <w:t xml:space="preserve"> </w:t>
      </w:r>
      <w:r w:rsidRPr="00A70B14">
        <w:t>ЮНИТИ-ДАНА, 2002</w:t>
      </w:r>
      <w:r w:rsidR="00A70B14" w:rsidRPr="00A70B14">
        <w:t xml:space="preserve">. </w:t>
      </w:r>
      <w:r w:rsidR="00A70B14">
        <w:t>-</w:t>
      </w:r>
      <w:r w:rsidRPr="00A70B14">
        <w:t xml:space="preserve"> 399 с</w:t>
      </w:r>
      <w:r w:rsidR="00A70B14" w:rsidRPr="00A70B14">
        <w:t>.</w:t>
      </w:r>
      <w:bookmarkStart w:id="5" w:name="_GoBack"/>
      <w:bookmarkEnd w:id="5"/>
    </w:p>
    <w:sectPr w:rsidR="00A70B14" w:rsidSect="00A70B1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C1" w:rsidRDefault="001F7BC1">
      <w:r>
        <w:separator/>
      </w:r>
    </w:p>
  </w:endnote>
  <w:endnote w:type="continuationSeparator" w:id="0">
    <w:p w:rsidR="001F7BC1" w:rsidRDefault="001F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14" w:rsidRDefault="00A70B1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14" w:rsidRDefault="00A70B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C1" w:rsidRDefault="001F7BC1">
      <w:r>
        <w:separator/>
      </w:r>
    </w:p>
  </w:footnote>
  <w:footnote w:type="continuationSeparator" w:id="0">
    <w:p w:rsidR="001F7BC1" w:rsidRDefault="001F7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14" w:rsidRPr="00AE3A21" w:rsidRDefault="000F2160" w:rsidP="00A70B14">
    <w:pPr>
      <w:pStyle w:val="a6"/>
      <w:framePr w:wrap="auto" w:vAnchor="text" w:hAnchor="margin" w:xAlign="right" w:y="1"/>
      <w:rPr>
        <w:rStyle w:val="aa"/>
        <w:sz w:val="20"/>
        <w:szCs w:val="20"/>
      </w:rPr>
    </w:pPr>
    <w:r>
      <w:rPr>
        <w:rStyle w:val="aa"/>
        <w:sz w:val="20"/>
        <w:szCs w:val="20"/>
      </w:rPr>
      <w:t>2</w:t>
    </w:r>
  </w:p>
  <w:p w:rsidR="00A70B14" w:rsidRDefault="00A70B14" w:rsidP="00A70B1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14" w:rsidRDefault="00A70B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04EF3"/>
    <w:multiLevelType w:val="hybridMultilevel"/>
    <w:tmpl w:val="5FB2ACE6"/>
    <w:lvl w:ilvl="0" w:tplc="6570D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A21"/>
    <w:rsid w:val="0000319A"/>
    <w:rsid w:val="00006D24"/>
    <w:rsid w:val="000E5A43"/>
    <w:rsid w:val="000F2160"/>
    <w:rsid w:val="00126BDD"/>
    <w:rsid w:val="0017455A"/>
    <w:rsid w:val="00186029"/>
    <w:rsid w:val="001B363C"/>
    <w:rsid w:val="001F7BC1"/>
    <w:rsid w:val="002B730A"/>
    <w:rsid w:val="00372F4A"/>
    <w:rsid w:val="00381F55"/>
    <w:rsid w:val="003A6A70"/>
    <w:rsid w:val="00423DD3"/>
    <w:rsid w:val="004347ED"/>
    <w:rsid w:val="004B695B"/>
    <w:rsid w:val="004C55CB"/>
    <w:rsid w:val="004D76BE"/>
    <w:rsid w:val="00601A16"/>
    <w:rsid w:val="00640C08"/>
    <w:rsid w:val="006A1A3A"/>
    <w:rsid w:val="007303F7"/>
    <w:rsid w:val="0076501E"/>
    <w:rsid w:val="00795780"/>
    <w:rsid w:val="0082407C"/>
    <w:rsid w:val="008618BB"/>
    <w:rsid w:val="00861A6C"/>
    <w:rsid w:val="008B7000"/>
    <w:rsid w:val="008D33D0"/>
    <w:rsid w:val="00900873"/>
    <w:rsid w:val="00973F27"/>
    <w:rsid w:val="009B2F28"/>
    <w:rsid w:val="009C48FC"/>
    <w:rsid w:val="00A06138"/>
    <w:rsid w:val="00A70B14"/>
    <w:rsid w:val="00AA160A"/>
    <w:rsid w:val="00AE3A21"/>
    <w:rsid w:val="00AE4D0B"/>
    <w:rsid w:val="00B45176"/>
    <w:rsid w:val="00BA0C6B"/>
    <w:rsid w:val="00C708CD"/>
    <w:rsid w:val="00C9360C"/>
    <w:rsid w:val="00D310D3"/>
    <w:rsid w:val="00E32353"/>
    <w:rsid w:val="00E41E8E"/>
    <w:rsid w:val="00E56384"/>
    <w:rsid w:val="00E72750"/>
    <w:rsid w:val="00EC2169"/>
    <w:rsid w:val="00F20B93"/>
    <w:rsid w:val="00F25035"/>
    <w:rsid w:val="00F42547"/>
    <w:rsid w:val="00F61093"/>
    <w:rsid w:val="00F75AB4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5F84BF2-9C69-4ECE-9129-F3C917CB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70B1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70B1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70B1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70B1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70B1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70B1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70B1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70B1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70B1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A70B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A70B14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A70B14"/>
    <w:rPr>
      <w:rFonts w:cs="Times New Roman"/>
      <w:vertAlign w:val="superscript"/>
    </w:rPr>
  </w:style>
  <w:style w:type="character" w:styleId="aa">
    <w:name w:val="page number"/>
    <w:uiPriority w:val="99"/>
    <w:rsid w:val="00A70B14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A70B1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70B14"/>
    <w:rPr>
      <w:rFonts w:cs="Times New Roman"/>
      <w:sz w:val="28"/>
      <w:szCs w:val="28"/>
      <w:lang w:val="ru-RU" w:eastAsia="ru-RU"/>
    </w:rPr>
  </w:style>
  <w:style w:type="table" w:styleId="ad">
    <w:name w:val="Table Grid"/>
    <w:basedOn w:val="a4"/>
    <w:uiPriority w:val="99"/>
    <w:rsid w:val="00A70B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A70B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A70B14"/>
    <w:pPr>
      <w:ind w:firstLine="0"/>
    </w:pPr>
  </w:style>
  <w:style w:type="character" w:customStyle="1" w:styleId="ae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A70B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70B1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A70B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70B1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A70B14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A70B14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A70B1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70B14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A70B1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70B1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70B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70B1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70B1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70B14"/>
    <w:pPr>
      <w:ind w:left="958"/>
    </w:pPr>
  </w:style>
  <w:style w:type="paragraph" w:styleId="23">
    <w:name w:val="Body Text Indent 2"/>
    <w:basedOn w:val="a2"/>
    <w:link w:val="24"/>
    <w:uiPriority w:val="99"/>
    <w:rsid w:val="00A70B1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70B1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A70B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70B1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70B1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70B1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70B1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70B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70B14"/>
    <w:rPr>
      <w:i/>
      <w:iCs/>
    </w:rPr>
  </w:style>
  <w:style w:type="paragraph" w:customStyle="1" w:styleId="af9">
    <w:name w:val="ТАБЛИЦА"/>
    <w:next w:val="a2"/>
    <w:autoRedefine/>
    <w:uiPriority w:val="99"/>
    <w:rsid w:val="00A70B1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70B14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A70B14"/>
  </w:style>
  <w:style w:type="table" w:customStyle="1" w:styleId="14">
    <w:name w:val="Стиль таблицы1"/>
    <w:uiPriority w:val="99"/>
    <w:rsid w:val="00A70B1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70B1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70B1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70B1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70B14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70B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2014-03-21T13:38:00Z</dcterms:created>
  <dcterms:modified xsi:type="dcterms:W3CDTF">2014-03-21T13:38:00Z</dcterms:modified>
</cp:coreProperties>
</file>