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95" w:rsidRPr="00553595" w:rsidRDefault="00553595" w:rsidP="00553595">
      <w:pPr>
        <w:pStyle w:val="1"/>
        <w:spacing w:line="360" w:lineRule="auto"/>
        <w:ind w:firstLine="709"/>
        <w:jc w:val="both"/>
        <w:rPr>
          <w:sz w:val="28"/>
        </w:rPr>
      </w:pPr>
      <w:r w:rsidRPr="00553595">
        <w:rPr>
          <w:sz w:val="28"/>
        </w:rPr>
        <w:t>Введение</w:t>
      </w:r>
    </w:p>
    <w:p w:rsidR="00553595" w:rsidRDefault="00553595" w:rsidP="00553595">
      <w:pPr>
        <w:spacing w:line="360" w:lineRule="auto"/>
        <w:ind w:firstLine="709"/>
        <w:jc w:val="both"/>
      </w:pP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Одним из важнейших направлений деятельности коммерческих банков является процесс кредитования. Хотя в переводе с латинского “кредитовать” означает “доверять”, тем не менее, процесс кредитования в современных российских условиях является одной из рисковых активных операций, способных при неразумном подходе привести к потере ликвидности и банкротству.</w:t>
      </w:r>
    </w:p>
    <w:p w:rsidR="00553595" w:rsidRDefault="00553595" w:rsidP="00553595">
      <w:pPr>
        <w:pStyle w:val="21"/>
        <w:spacing w:line="360" w:lineRule="auto"/>
        <w:ind w:firstLine="709"/>
        <w:jc w:val="both"/>
      </w:pPr>
      <w:r>
        <w:t>Банк должен быть уверен в способности заемщика своевременно рассчитаться по своим долговым обязательствам. Следовательно, необходима проверка кредитоспособности клиента.</w:t>
      </w:r>
    </w:p>
    <w:p w:rsidR="00553595" w:rsidRDefault="00553595" w:rsidP="00553595">
      <w:pPr>
        <w:pStyle w:val="23"/>
        <w:spacing w:line="360" w:lineRule="auto"/>
        <w:ind w:firstLine="709"/>
        <w:rPr>
          <w:rStyle w:val="sz14"/>
        </w:rPr>
      </w:pPr>
      <w:r>
        <w:rPr>
          <w:rStyle w:val="sz14"/>
        </w:rPr>
        <w:t>Под кредитоспособностью следует понимать такое финансово-хозяйственное состояние предприятия, которое дает уверенность в эффективном использовании заемных средств, способность и готовность заемщика вернуть кредит в соответствии с условиями договора. Изучение банками разнообразных факторов, которые могут повлечь за собой непогашение кредитов, или, напротив обеспечивают их своевременный возврат, составляют содержание банковского анализа кредитоспособности.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Чтобы облегчить этот анализ, разрабатывается данная информационная система. Она позволяет быстро и точно рассчитать класс кредитоспособности предприятия. Производится расчет коэффициентов ликвидности, покрытия, обеспеченности собственными средствами.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помощью данной системы работники банка экономят время, сокращая процесс вычислений и анализа коэффициентов.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Кроме того, использование программного средства, описываемого ниже, расчет класса кредитоспособности заемщика делает доступным даже для менее опытного служащего банка.</w:t>
      </w:r>
    </w:p>
    <w:p w:rsidR="00553595" w:rsidRDefault="00553595" w:rsidP="00553595">
      <w:pPr>
        <w:pStyle w:val="23"/>
        <w:spacing w:line="360" w:lineRule="auto"/>
        <w:ind w:firstLine="709"/>
      </w:pPr>
      <w:r>
        <w:rPr>
          <w:color w:val="auto"/>
          <w:sz w:val="24"/>
          <w:szCs w:val="24"/>
        </w:rPr>
        <w:br w:type="page"/>
      </w:r>
      <w:r>
        <w:lastRenderedPageBreak/>
        <w:t>1. Итак, поставлена задача: “Оценка кредитоспособности крупных и средних предприятий.”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Эта задача решается банками ежедневно, и на ее решение может уйти порядка двух дней. Поэтому решение данной задачи необходимо автоматизировать, другими словами, разработать программное средство, с помощью которого провести анализ целесообразности выдачи кредита  заемщику станет возможным не более, чем в течение тридцати минут.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того, чтобы решить поставленную задачу требуется исходная информация о предприятии. Ее источником получения может служить бухгалтерия предприятия, желающего получить кредит в банке. Бухгалтерия передает эту информацию в отдел банка, занимающийся предоставлением кредита, на специальных бланках, которые могут быть как на бумажном носителе, так и в электронном виде.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Применяемые банками методы оценки кредитоспособности заемщика различны, но все они содержат определенную </w:t>
      </w:r>
      <w:r>
        <w:rPr>
          <w:sz w:val="28"/>
          <w:u w:val="single"/>
        </w:rPr>
        <w:t>систему финансовых коэффициентов</w:t>
      </w:r>
      <w:r>
        <w:rPr>
          <w:sz w:val="28"/>
        </w:rPr>
        <w:t>, включая такие, как: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коэффициент абсолютной ликвидности </w:t>
      </w:r>
      <w:r>
        <w:rPr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18"/>
          <w:szCs w:val="28"/>
        </w:rPr>
        <w:t>ал</w:t>
      </w:r>
      <w:r>
        <w:rPr>
          <w:sz w:val="28"/>
        </w:rPr>
        <w:t>;</w:t>
      </w:r>
    </w:p>
    <w:p w:rsidR="00553595" w:rsidRDefault="00553595" w:rsidP="005535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коэффициент промежуточной ликвидности –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18"/>
          <w:szCs w:val="28"/>
        </w:rPr>
        <w:t>пл</w:t>
      </w:r>
      <w:r>
        <w:rPr>
          <w:sz w:val="28"/>
        </w:rPr>
        <w:t>;</w:t>
      </w:r>
    </w:p>
    <w:p w:rsidR="00553595" w:rsidRDefault="00553595" w:rsidP="005535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промежуточный коэффициент покрытия –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18"/>
          <w:szCs w:val="28"/>
        </w:rPr>
        <w:t>п</w:t>
      </w:r>
      <w:r>
        <w:rPr>
          <w:sz w:val="28"/>
        </w:rPr>
        <w:t>;</w:t>
      </w:r>
    </w:p>
    <w:p w:rsidR="00553595" w:rsidRDefault="00553595" w:rsidP="0055359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коэффициент независимости –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18"/>
          <w:szCs w:val="28"/>
        </w:rPr>
        <w:t>н</w:t>
      </w:r>
      <w:r>
        <w:rPr>
          <w:sz w:val="28"/>
        </w:rPr>
        <w:t>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Зная значения этих коэффициентов и сравнивая их с нормативными, можно определить класс кредитоспособности заемщика.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Их расчет основывается на фактических данных баланса на отчетные даты. Бухгалтерский баланс предприятия выступает в качестве исходных данных (см. в Приложениях). Для предложенного ниже способа определения класса кредитоспособности клиента обязательным является заполнение строк баланса, указанных в </w:t>
      </w:r>
      <w:r>
        <w:rPr>
          <w:i/>
          <w:iCs/>
          <w:sz w:val="28"/>
        </w:rPr>
        <w:t>Таблице 1</w:t>
      </w:r>
      <w:r>
        <w:rPr>
          <w:sz w:val="28"/>
        </w:rPr>
        <w:t>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Заполнение других строк бывает необходимо для ещё более подробного анализа прибылей и убытков предприятия, который обычно происходит в условиях нестабильной экономики (например, спад производства) и высоких темпах инфляции или относительно нестабильного положения клиента.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5"/>
        <w:spacing w:line="360" w:lineRule="auto"/>
        <w:ind w:firstLine="709"/>
        <w:jc w:val="both"/>
      </w:pPr>
      <w:r>
        <w:t>Таблица 1</w:t>
      </w:r>
    </w:p>
    <w:p w:rsidR="00553595" w:rsidRDefault="00553595" w:rsidP="00553595">
      <w:pPr>
        <w:spacing w:line="360" w:lineRule="auto"/>
        <w:ind w:firstLine="709"/>
        <w:jc w:val="both"/>
        <w:rPr>
          <w:i/>
          <w:iCs/>
          <w:sz w:val="28"/>
        </w:rPr>
      </w:pPr>
    </w:p>
    <w:p w:rsidR="00553595" w:rsidRDefault="00553595" w:rsidP="00553595">
      <w:pPr>
        <w:pStyle w:val="6"/>
        <w:spacing w:line="360" w:lineRule="auto"/>
        <w:ind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Строки бухгалтерского баланса, обязательные для заполнения</w:t>
      </w:r>
    </w:p>
    <w:tbl>
      <w:tblPr>
        <w:tblW w:w="7100" w:type="dxa"/>
        <w:tblInd w:w="1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2080"/>
      </w:tblGrid>
      <w:tr w:rsidR="00553595" w:rsidRPr="00553595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59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595">
              <w:rPr>
                <w:rFonts w:ascii="Arial" w:hAnsi="Arial" w:cs="Arial"/>
                <w:b/>
                <w:bCs/>
                <w:sz w:val="20"/>
                <w:szCs w:val="20"/>
              </w:rPr>
              <w:t>Код строки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553595" w:rsidRPr="00553595">
        <w:trPr>
          <w:trHeight w:val="109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553595" w:rsidRPr="00553595" w:rsidTr="00553595">
        <w:trPr>
          <w:trHeight w:val="3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</w:tr>
      <w:tr w:rsidR="00553595" w:rsidRPr="00553595">
        <w:trPr>
          <w:trHeight w:val="34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553595" w:rsidRPr="00553595">
        <w:trPr>
          <w:trHeight w:val="34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Капиталы и резервы (итого по разделу)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553595" w:rsidRPr="00553595">
        <w:trPr>
          <w:trHeight w:val="70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Долгосрочные обязательства-займы и кредиты (итого по разделу)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553595" w:rsidRPr="00553595" w:rsidTr="00553595">
        <w:trPr>
          <w:trHeight w:val="371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Краткосрочные обязательства-займы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553595" w:rsidRPr="0055359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</w:tbl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Структура входного документа представлена в </w:t>
      </w:r>
      <w:r>
        <w:rPr>
          <w:i/>
          <w:iCs/>
          <w:sz w:val="28"/>
        </w:rPr>
        <w:t xml:space="preserve">Таблице 2 </w:t>
      </w:r>
      <w:r>
        <w:rPr>
          <w:sz w:val="28"/>
        </w:rPr>
        <w:t>(см. в Приложениях), а ввод информации в программу с исходных документов должен выполняться по макету, изображенному на рис.1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Интерфейс программы должен выглядеть следующим образом: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br w:type="page"/>
        <w:t>Таблица 3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Интерфейс программы</w:t>
      </w:r>
    </w:p>
    <w:tbl>
      <w:tblPr>
        <w:tblW w:w="9897" w:type="dxa"/>
        <w:tblInd w:w="-5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502"/>
        <w:gridCol w:w="2745"/>
        <w:gridCol w:w="2850"/>
      </w:tblGrid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Файл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Правка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Вид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Справка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Создать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Вырезать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Панель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Справка по программе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Открыть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Копировать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Колонтитулы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Показать помощника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Закрыть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Вставить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Сохранить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Сохранить как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Область печати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Предварительный просмотр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Печать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Изменить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  <w:tr w:rsidR="00553595" w:rsidRPr="00553595">
        <w:trPr>
          <w:trHeight w:val="218"/>
        </w:trPr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(условно-постоянную информацию)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 </w:t>
            </w:r>
          </w:p>
        </w:tc>
      </w:tr>
    </w:tbl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 Ввод данных в отраженный макет происходит с клавиатуры. Одновременно осуществляется контроль на заполняемость реквизитов, их соответствие допустимым величинам.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первичной информации существует следующее ограничение: все вводимые данные должны быть больше либо равняться нулю.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 обнаружении ошибочной записи на экране высвечивается диагностическое сообщение, и, чтобы продолжить ввод, ошибочную запись необходимо откорректировать.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В зависимости от величины коэффициентов, указанных в пункте 2, предприятия, как правило, распределяются на 3 класса кредитоспособности. Условная разбивка заемщиков по классности может быть осуществлена на основании значений коэффициентов, представленных в </w:t>
      </w:r>
      <w:r>
        <w:rPr>
          <w:i/>
          <w:iCs/>
          <w:sz w:val="28"/>
        </w:rPr>
        <w:t>Таблице 4</w:t>
      </w:r>
      <w:r>
        <w:rPr>
          <w:sz w:val="28"/>
        </w:rPr>
        <w:t>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br w:type="page"/>
        <w:t>Таблица 4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Условная разбивка заемщиков по классности</w:t>
      </w:r>
    </w:p>
    <w:tbl>
      <w:tblPr>
        <w:tblW w:w="88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317"/>
        <w:gridCol w:w="1911"/>
        <w:gridCol w:w="1911"/>
      </w:tblGrid>
      <w:tr w:rsidR="00553595" w:rsidRPr="00553595">
        <w:trPr>
          <w:trHeight w:val="3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1-й класс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2-й класс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3-й класс</w:t>
            </w:r>
          </w:p>
        </w:tc>
      </w:tr>
      <w:tr w:rsidR="00553595" w:rsidRPr="00553595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0,2 и выше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0,15 - 0,2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менее 0,15</w:t>
            </w:r>
          </w:p>
        </w:tc>
      </w:tr>
      <w:tr w:rsidR="00553595" w:rsidRPr="00553595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Кпл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0,8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0,5 - 0,8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менее 0,5</w:t>
            </w:r>
          </w:p>
        </w:tc>
      </w:tr>
      <w:tr w:rsidR="00553595" w:rsidRPr="00553595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2,0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1,0 - 2,0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менее 1,0</w:t>
            </w:r>
          </w:p>
        </w:tc>
      </w:tr>
      <w:tr w:rsidR="00553595" w:rsidRPr="00553595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595">
              <w:rPr>
                <w:rFonts w:ascii="Arial" w:hAnsi="Arial" w:cs="Arial"/>
                <w:sz w:val="20"/>
                <w:szCs w:val="20"/>
              </w:rPr>
              <w:t>Кн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более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40 - 60%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менее 40%</w:t>
            </w:r>
          </w:p>
        </w:tc>
      </w:tr>
    </w:tbl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Этот уровень показателей может меняться с течением времени, т.е. это условно-постоянная информация. Следовательно должна существовать возможность изменения этих значений по мере необходимости.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Изменения могут потребоваться еще и для следующих показателей, представленных в </w:t>
      </w:r>
      <w:r>
        <w:rPr>
          <w:i/>
          <w:iCs/>
          <w:sz w:val="28"/>
        </w:rPr>
        <w:t>Таблице 5</w:t>
      </w:r>
      <w:r>
        <w:rPr>
          <w:sz w:val="28"/>
        </w:rPr>
        <w:t>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Таблица 5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Рейтинг коэффициентов</w:t>
      </w:r>
    </w:p>
    <w:tbl>
      <w:tblPr>
        <w:tblW w:w="8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260"/>
        <w:gridCol w:w="2400"/>
        <w:gridCol w:w="2020"/>
      </w:tblGrid>
      <w:tr w:rsidR="00553595" w:rsidRPr="00553595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 xml:space="preserve">Рейтинг коэффициента абсолютной ликвидности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 xml:space="preserve">Рейтинг коэффициента промежуточной ликвидности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 xml:space="preserve">Рейтинг коэффициента покрытия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 xml:space="preserve">Рейтинг коэффициента финансовой независимости </w:t>
            </w:r>
          </w:p>
        </w:tc>
      </w:tr>
      <w:tr w:rsidR="00553595" w:rsidRPr="00553595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Р</w:t>
            </w:r>
            <w:r w:rsidRPr="005535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Р</w:t>
            </w:r>
            <w:r w:rsidRPr="0055359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Р</w:t>
            </w:r>
            <w:r w:rsidRPr="0055359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Р</w:t>
            </w:r>
            <w:r w:rsidRPr="0055359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53595" w:rsidRPr="00553595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30%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20%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30%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595" w:rsidRPr="00553595" w:rsidRDefault="00553595" w:rsidP="005535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3595">
              <w:rPr>
                <w:sz w:val="20"/>
                <w:szCs w:val="20"/>
              </w:rPr>
              <w:t>20%</w:t>
            </w:r>
          </w:p>
        </w:tc>
      </w:tr>
    </w:tbl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Рейтинг каждого коэффициента определяется индивидуально для каждого заемщика в зависимости от положения клиента на рынке.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 xml:space="preserve">5. 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13.8pt;width:180pt;height:135pt;z-index:251658240">
            <v:textbox style="mso-next-textbox:#_x0000_s1026">
              <w:txbxContent>
                <w:p w:rsidR="00553595" w:rsidRDefault="00553595">
                  <w:pPr>
                    <w:pStyle w:val="31"/>
                  </w:pPr>
                  <w:r>
                    <w:t>Сравнение фактического уровня коэффициентов кредитоспособности с критериальными (в соответствии с табл. 4 «Условная разбивка заемщиков по классности»)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9pt;margin-top:13.8pt;width:187.2pt;height:1in;z-index:251653120">
            <v:textbox style="mso-next-textbox:#_x0000_s102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6"/>
                  </w:tblGrid>
                  <w:tr w:rsidR="005535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53595" w:rsidRDefault="00553595">
                        <w:pPr>
                          <w:pStyle w:val="23"/>
                          <w:widowControl w:val="0"/>
                          <w:jc w:val="center"/>
                        </w:pPr>
                        <w:r>
                          <w:t>Расчет финансовых показателей кредитоспособности заемщика</w:t>
                        </w:r>
                      </w:p>
                    </w:tc>
                  </w:tr>
                </w:tbl>
                <w:p w:rsidR="00553595" w:rsidRDefault="00553595"/>
              </w:txbxContent>
            </v:textbox>
          </v:shap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28" style="position:absolute;left:0;text-align:left;z-index:251657216" from="180pt,1.5pt" to="270pt,1.5pt">
            <v:stroke endarrow="block"/>
          </v:lin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29" style="position:absolute;left:0;text-align:left;z-index:251656192" from="135pt,5.3pt" to="135pt,95.3pt">
            <v:stroke endarrow="block"/>
          </v:lin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30" style="position:absolute;left:0;text-align:left;flip:x;z-index:251655168" from="189pt,.1pt" to="275.5pt,63.1pt">
            <v:stroke endarrow="block"/>
          </v:lin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31" type="#_x0000_t202" style="position:absolute;left:0;text-align:left;margin-left:99pt;margin-top:14.8pt;width:153pt;height:60.9pt;z-index:251659264">
            <v:textbox style="mso-next-textbox:#_x0000_s1031">
              <w:txbxContent>
                <w:p w:rsidR="00553595" w:rsidRDefault="00553595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sz w:val="28"/>
                    </w:rPr>
                    <w:t>Определение количества баллов за каждый коэффициент</w:t>
                  </w:r>
                </w:p>
              </w:txbxContent>
            </v:textbox>
          </v:shap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32" style="position:absolute;left:0;text-align:left;z-index:251662336" from="171pt,11.3pt" to="171pt,38.3pt">
            <v:stroke endarrow="block"/>
          </v:lin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33" type="#_x0000_t202" style="position:absolute;left:0;text-align:left;margin-left:99pt;margin-top:6.15pt;width:162pt;height:54pt;z-index:251660288">
            <v:textbox style="mso-next-textbox:#_x0000_s1033">
              <w:txbxContent>
                <w:p w:rsidR="00553595" w:rsidRDefault="00553595">
                  <w:pPr>
                    <w:pStyle w:val="31"/>
                  </w:pPr>
                  <w:r>
                    <w:t>Определение суммы баллов за все коэффициенты</w:t>
                  </w:r>
                </w:p>
                <w:p w:rsidR="00553595" w:rsidRDefault="00553595"/>
              </w:txbxContent>
            </v:textbox>
          </v:shap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line id="_x0000_s1034" style="position:absolute;left:0;text-align:left;z-index:251661312" from="171pt,11.85pt" to="171pt,38.85pt">
            <v:stroke endarrow="block"/>
          </v:lin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1D2437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035" type="#_x0000_t202" style="position:absolute;left:0;text-align:left;margin-left:90pt;margin-top:6.65pt;width:187.2pt;height:63pt;z-index:251654144">
            <v:textbox style="mso-next-textbox:#_x0000_s103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6"/>
                  </w:tblGrid>
                  <w:tr w:rsidR="005535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53595" w:rsidRDefault="00553595">
                        <w:pPr>
                          <w:widowControl w:val="0"/>
                          <w:jc w:val="center"/>
                          <w:rPr>
                            <w:color w:val="000000"/>
                            <w:sz w:val="28"/>
                            <w:szCs w:val="20"/>
                          </w:rPr>
                        </w:pPr>
                        <w:r>
                          <w:rPr>
                            <w:sz w:val="28"/>
                          </w:rPr>
                          <w:t>Заключение о классе кредитоспособности заемщика</w:t>
                        </w:r>
                      </w:p>
                    </w:tc>
                  </w:tr>
                </w:tbl>
                <w:p w:rsidR="00553595" w:rsidRDefault="0055359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53595"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 </w:t>
      </w:r>
    </w:p>
    <w:p w:rsidR="00553595" w:rsidRDefault="00553595" w:rsidP="00553595">
      <w:pPr>
        <w:pStyle w:val="4"/>
        <w:spacing w:line="360" w:lineRule="auto"/>
        <w:ind w:firstLine="709"/>
        <w:jc w:val="both"/>
        <w:rPr>
          <w:szCs w:val="20"/>
        </w:rPr>
      </w:pPr>
      <w:r>
        <w:t>Рис.2 Алгоритм оценки кредитоспособности клиента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  <w:r>
        <w:t> 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Присвоим каждому исходному и результатному показателю условное обозначение – идентификатор: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ал</w:t>
      </w:r>
      <w:r>
        <w:rPr>
          <w:sz w:val="28"/>
        </w:rPr>
        <w:t xml:space="preserve"> – коэффициент абсолютной ликвидности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пл</w:t>
      </w:r>
      <w:r>
        <w:rPr>
          <w:sz w:val="28"/>
        </w:rPr>
        <w:t xml:space="preserve"> – коэффициент промежуточной ликвидности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 xml:space="preserve">п </w:t>
      </w:r>
      <w:r>
        <w:rPr>
          <w:sz w:val="18"/>
          <w:szCs w:val="28"/>
        </w:rPr>
        <w:t>–</w:t>
      </w:r>
      <w:r>
        <w:rPr>
          <w:sz w:val="28"/>
        </w:rPr>
        <w:t xml:space="preserve"> промежуточный коэффициент покрытия</w:t>
      </w:r>
    </w:p>
    <w:p w:rsidR="00553595" w:rsidRDefault="00553595" w:rsidP="00553595">
      <w:pPr>
        <w:spacing w:line="360" w:lineRule="auto"/>
        <w:ind w:firstLine="709"/>
        <w:jc w:val="both"/>
        <w:rPr>
          <w:sz w:val="2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 xml:space="preserve">н </w:t>
      </w:r>
      <w:r>
        <w:rPr>
          <w:sz w:val="18"/>
          <w:szCs w:val="28"/>
        </w:rPr>
        <w:t>–</w:t>
      </w:r>
      <w:r>
        <w:rPr>
          <w:sz w:val="28"/>
        </w:rPr>
        <w:t xml:space="preserve"> коэффициент независимости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ДС – денежные средства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 – касса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РС – расчетные счета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 – валютные счета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ПДС – прочие денежные средства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>
        <w:rPr>
          <w:sz w:val="18"/>
        </w:rPr>
        <w:t>кс</w:t>
      </w:r>
      <w:r>
        <w:rPr>
          <w:sz w:val="28"/>
        </w:rPr>
        <w:t xml:space="preserve"> – краткосрочные обязательства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КП – </w:t>
      </w:r>
      <w:r>
        <w:rPr>
          <w:sz w:val="28"/>
          <w:szCs w:val="20"/>
        </w:rPr>
        <w:t>краткосрочные  пассивы (кредиты банков и прочие займы)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КЗ – кредиторская задолженность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КФЛ – краткосрочные финансовые вложения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ДЗ – дебиторская задолженность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ДЗ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– дебиторская задолженность (платежи по которой ожидаются более 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чем через 12 месяцев после отчетной даты)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>ДЗ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– дебиторская задолженность (платежи по которой ожидаются в 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течении 12 месяцев после отчетной даты)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ЗЗ – запасы и затраты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ИПБ – итог пассива баланса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СС – собственные средства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ДП – долгосрочные пассивы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расчета коэффициентов необходимо применять следующие формулы: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ДС = К + РС + ВС + ПДС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0"/>
        </w:rPr>
      </w:pPr>
      <w:r>
        <w:rPr>
          <w:sz w:val="28"/>
        </w:rPr>
        <w:t>О</w:t>
      </w:r>
      <w:r>
        <w:rPr>
          <w:sz w:val="18"/>
        </w:rPr>
        <w:t>кс</w:t>
      </w:r>
      <w:r>
        <w:rPr>
          <w:sz w:val="28"/>
        </w:rPr>
        <w:t xml:space="preserve"> = </w:t>
      </w:r>
      <w:r>
        <w:rPr>
          <w:sz w:val="28"/>
          <w:szCs w:val="20"/>
        </w:rPr>
        <w:t xml:space="preserve">КП + КЗ </w:t>
      </w:r>
      <w:r>
        <w:rPr>
          <w:rFonts w:ascii="Arial" w:hAnsi="Arial" w:cs="Arial"/>
          <w:sz w:val="28"/>
          <w:szCs w:val="20"/>
        </w:rPr>
        <w:t>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0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 xml:space="preserve">ДС + КФЛ  </w:t>
      </w:r>
      <w:r>
        <w:rPr>
          <w:sz w:val="28"/>
        </w:rPr>
        <w:t xml:space="preserve">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1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ал</w:t>
      </w:r>
      <w:r>
        <w:rPr>
          <w:sz w:val="28"/>
          <w:szCs w:val="28"/>
        </w:rPr>
        <w:t xml:space="preserve"> = </w:t>
      </w:r>
      <w:r>
        <w:rPr>
          <w:sz w:val="28"/>
        </w:rPr>
        <w:t xml:space="preserve">      О</w:t>
      </w:r>
      <w:r>
        <w:rPr>
          <w:sz w:val="18"/>
        </w:rPr>
        <w:t>кс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ДЗ = </w:t>
      </w:r>
      <w:r>
        <w:rPr>
          <w:sz w:val="28"/>
          <w:szCs w:val="20"/>
        </w:rPr>
        <w:t>ДЗ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+ ДЗ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  <w:u w:val="single"/>
        </w:rPr>
        <w:t>ДС + КФЛ + ДЗ</w:t>
      </w:r>
      <w:r>
        <w:rPr>
          <w:sz w:val="28"/>
          <w:szCs w:val="20"/>
        </w:rPr>
        <w:t xml:space="preserve">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1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пл</w:t>
      </w:r>
      <w:r>
        <w:rPr>
          <w:sz w:val="28"/>
          <w:szCs w:val="28"/>
        </w:rPr>
        <w:t xml:space="preserve"> =             </w:t>
      </w:r>
      <w:r>
        <w:rPr>
          <w:sz w:val="28"/>
        </w:rPr>
        <w:t>О</w:t>
      </w:r>
      <w:r>
        <w:rPr>
          <w:sz w:val="18"/>
        </w:rPr>
        <w:t>кс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ДС + КФЛ + ДЗ + ЗЗ</w:t>
      </w:r>
      <w:r>
        <w:rPr>
          <w:sz w:val="28"/>
        </w:rPr>
        <w:t xml:space="preserve">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1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п</w:t>
      </w:r>
      <w:r>
        <w:rPr>
          <w:sz w:val="28"/>
          <w:szCs w:val="28"/>
        </w:rPr>
        <w:t xml:space="preserve"> =               </w:t>
      </w:r>
      <w:r>
        <w:rPr>
          <w:sz w:val="28"/>
        </w:rPr>
        <w:t>О</w:t>
      </w:r>
      <w:r>
        <w:rPr>
          <w:sz w:val="18"/>
        </w:rPr>
        <w:t>кс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ИПБ = СС + ДП + КП + КЗ 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  <w:u w:val="single"/>
        </w:rPr>
        <w:t xml:space="preserve">  СС  </w:t>
      </w:r>
      <w:r>
        <w:rPr>
          <w:rFonts w:ascii="Arial" w:hAnsi="Arial" w:cs="Arial"/>
          <w:sz w:val="28"/>
          <w:szCs w:val="28"/>
        </w:rPr>
        <w:t xml:space="preserve"> 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18"/>
          <w:szCs w:val="28"/>
        </w:rPr>
        <w:t>н</w:t>
      </w:r>
      <w:r>
        <w:rPr>
          <w:sz w:val="28"/>
          <w:szCs w:val="28"/>
        </w:rPr>
        <w:t xml:space="preserve"> =  ИПБ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расчета всех коэффициентов нужно определить количество баллов за каждый коэффициент, а затем сумму баллов за все коэффициенты: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Присвоим идентификаторы следующим показателям: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сумма баллов за все коэффициенты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– количество баллов за коэффициент абсолютной ликвидности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– количество баллов за коэффициент промежуточной ликвидности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3</w:t>
      </w:r>
      <w:r>
        <w:rPr>
          <w:sz w:val="28"/>
          <w:szCs w:val="20"/>
        </w:rPr>
        <w:t xml:space="preserve"> – количество баллов за коэффициент покрытия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4</w:t>
      </w:r>
      <w:r>
        <w:rPr>
          <w:sz w:val="28"/>
          <w:szCs w:val="20"/>
        </w:rPr>
        <w:t xml:space="preserve"> – количество баллов за коэффициент финансовой независимости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bCs/>
          <w:sz w:val="18"/>
          <w:szCs w:val="28"/>
        </w:rPr>
        <w:t>1</w:t>
      </w:r>
      <w:r>
        <w:rPr>
          <w:sz w:val="28"/>
          <w:szCs w:val="28"/>
        </w:rPr>
        <w:t xml:space="preserve"> – рейтинг коэффициента абсолютной ликвидности (30%)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bCs/>
          <w:sz w:val="18"/>
          <w:szCs w:val="28"/>
        </w:rPr>
        <w:t>2</w:t>
      </w:r>
      <w:r>
        <w:rPr>
          <w:sz w:val="28"/>
          <w:szCs w:val="28"/>
        </w:rPr>
        <w:t xml:space="preserve"> – рейтинг коэффициента промежуточной ликвидности (20%)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bCs/>
          <w:sz w:val="18"/>
          <w:szCs w:val="28"/>
        </w:rPr>
        <w:t>3</w:t>
      </w:r>
      <w:r>
        <w:rPr>
          <w:sz w:val="28"/>
          <w:szCs w:val="28"/>
        </w:rPr>
        <w:t xml:space="preserve"> – рейтинг коэффициента покрытия (30%)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bCs/>
          <w:sz w:val="18"/>
          <w:szCs w:val="28"/>
        </w:rPr>
        <w:t>4</w:t>
      </w:r>
      <w:r>
        <w:rPr>
          <w:sz w:val="28"/>
          <w:szCs w:val="28"/>
        </w:rPr>
        <w:t xml:space="preserve"> – рейтинг коэффициента финансовой независимости (20%)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18"/>
          <w:szCs w:val="28"/>
        </w:rPr>
        <w:t>1</w:t>
      </w:r>
      <w:r>
        <w:rPr>
          <w:sz w:val="28"/>
          <w:szCs w:val="28"/>
        </w:rPr>
        <w:t xml:space="preserve"> – классность коэффициента абсолютной ликвидности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18"/>
          <w:szCs w:val="28"/>
        </w:rPr>
        <w:t>2</w:t>
      </w:r>
      <w:r>
        <w:rPr>
          <w:sz w:val="28"/>
          <w:szCs w:val="28"/>
        </w:rPr>
        <w:t xml:space="preserve"> – классность коэффициента промежуточной ликвидности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18"/>
          <w:szCs w:val="28"/>
        </w:rPr>
        <w:t>3</w:t>
      </w:r>
      <w:r>
        <w:rPr>
          <w:sz w:val="28"/>
          <w:szCs w:val="28"/>
        </w:rPr>
        <w:t xml:space="preserve"> – классность коэффициента покрытия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18"/>
          <w:szCs w:val="28"/>
        </w:rPr>
        <w:t>4</w:t>
      </w:r>
      <w:r>
        <w:rPr>
          <w:sz w:val="28"/>
          <w:szCs w:val="28"/>
        </w:rPr>
        <w:t xml:space="preserve"> – классность коэффициента финансовой независимости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Применяем следующие формулы: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sz w:val="1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= К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* Р</w:t>
      </w:r>
      <w:r>
        <w:rPr>
          <w:b/>
          <w:bCs/>
          <w:sz w:val="18"/>
          <w:szCs w:val="20"/>
        </w:rPr>
        <w:t xml:space="preserve">1 </w:t>
      </w:r>
      <w:r>
        <w:rPr>
          <w:sz w:val="28"/>
          <w:szCs w:val="20"/>
        </w:rPr>
        <w:t>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sz w:val="1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= К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* Р</w:t>
      </w:r>
      <w:r>
        <w:rPr>
          <w:b/>
          <w:bCs/>
          <w:sz w:val="18"/>
          <w:szCs w:val="20"/>
        </w:rPr>
        <w:t xml:space="preserve">2 </w:t>
      </w:r>
      <w:r>
        <w:rPr>
          <w:sz w:val="28"/>
          <w:szCs w:val="20"/>
        </w:rPr>
        <w:t>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sz w:val="1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3</w:t>
      </w:r>
      <w:r>
        <w:rPr>
          <w:sz w:val="28"/>
          <w:szCs w:val="20"/>
        </w:rPr>
        <w:t xml:space="preserve"> = К</w:t>
      </w:r>
      <w:r>
        <w:rPr>
          <w:b/>
          <w:bCs/>
          <w:sz w:val="18"/>
          <w:szCs w:val="20"/>
        </w:rPr>
        <w:t>3</w:t>
      </w:r>
      <w:r>
        <w:rPr>
          <w:sz w:val="28"/>
          <w:szCs w:val="20"/>
        </w:rPr>
        <w:t xml:space="preserve"> * Р</w:t>
      </w:r>
      <w:r>
        <w:rPr>
          <w:b/>
          <w:bCs/>
          <w:sz w:val="18"/>
          <w:szCs w:val="20"/>
        </w:rPr>
        <w:t xml:space="preserve">3 </w:t>
      </w:r>
      <w:r>
        <w:rPr>
          <w:sz w:val="28"/>
          <w:szCs w:val="20"/>
        </w:rPr>
        <w:t>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sz w:val="18"/>
          <w:szCs w:val="20"/>
        </w:rPr>
      </w:pPr>
      <w:r>
        <w:rPr>
          <w:sz w:val="28"/>
          <w:szCs w:val="20"/>
        </w:rPr>
        <w:t>Б</w:t>
      </w:r>
      <w:r>
        <w:rPr>
          <w:b/>
          <w:bCs/>
          <w:sz w:val="18"/>
          <w:szCs w:val="20"/>
        </w:rPr>
        <w:t>4</w:t>
      </w:r>
      <w:r>
        <w:rPr>
          <w:sz w:val="28"/>
          <w:szCs w:val="20"/>
        </w:rPr>
        <w:t xml:space="preserve"> = К</w:t>
      </w:r>
      <w:r>
        <w:rPr>
          <w:b/>
          <w:bCs/>
          <w:sz w:val="18"/>
          <w:szCs w:val="20"/>
        </w:rPr>
        <w:t>4</w:t>
      </w:r>
      <w:r>
        <w:rPr>
          <w:sz w:val="28"/>
          <w:szCs w:val="20"/>
        </w:rPr>
        <w:t xml:space="preserve"> * Р</w:t>
      </w:r>
      <w:r>
        <w:rPr>
          <w:b/>
          <w:bCs/>
          <w:sz w:val="18"/>
          <w:szCs w:val="20"/>
        </w:rPr>
        <w:t xml:space="preserve">4 </w:t>
      </w:r>
      <w:r>
        <w:rPr>
          <w:sz w:val="28"/>
          <w:szCs w:val="20"/>
        </w:rPr>
        <w:t>;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sz w:val="18"/>
          <w:szCs w:val="20"/>
        </w:rPr>
      </w:pPr>
      <w:r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 xml:space="preserve"> = Б</w:t>
      </w:r>
      <w:r>
        <w:rPr>
          <w:b/>
          <w:bCs/>
          <w:sz w:val="18"/>
          <w:szCs w:val="20"/>
        </w:rPr>
        <w:t>1</w:t>
      </w:r>
      <w:r>
        <w:rPr>
          <w:sz w:val="28"/>
          <w:szCs w:val="20"/>
        </w:rPr>
        <w:t xml:space="preserve"> + Б</w:t>
      </w:r>
      <w:r>
        <w:rPr>
          <w:b/>
          <w:bCs/>
          <w:sz w:val="18"/>
          <w:szCs w:val="20"/>
        </w:rPr>
        <w:t>2</w:t>
      </w:r>
      <w:r>
        <w:rPr>
          <w:sz w:val="28"/>
          <w:szCs w:val="20"/>
        </w:rPr>
        <w:t xml:space="preserve"> + Б</w:t>
      </w:r>
      <w:r>
        <w:rPr>
          <w:b/>
          <w:bCs/>
          <w:sz w:val="18"/>
          <w:szCs w:val="20"/>
        </w:rPr>
        <w:t>3</w:t>
      </w:r>
      <w:r>
        <w:rPr>
          <w:sz w:val="28"/>
          <w:szCs w:val="20"/>
        </w:rPr>
        <w:t xml:space="preserve"> + Б</w:t>
      </w:r>
      <w:r>
        <w:rPr>
          <w:b/>
          <w:bCs/>
          <w:sz w:val="18"/>
          <w:szCs w:val="20"/>
        </w:rPr>
        <w:t>4 .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На основе ввода первичной информации данная программа, обработав ее по представленным формулам, выдает заключение в следующем виде (см. в Приложениях – Рис. 3). Эти данные могут выдаваться на печать. Структура выходного документа показана в </w:t>
      </w:r>
      <w:r>
        <w:rPr>
          <w:i/>
          <w:iCs/>
          <w:sz w:val="28"/>
        </w:rPr>
        <w:t>Таблице6.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 же, как и для вводимой информации осуществляется контроль результатной информации, ее соответствие допустимым величинам.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данной программы существует следующее ограничение: все рейтинги коэффициентов в сумме должны равняться 100%, т.е.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bCs/>
          <w:sz w:val="18"/>
          <w:szCs w:val="28"/>
        </w:rPr>
        <w:t>1</w:t>
      </w:r>
      <w:r>
        <w:rPr>
          <w:sz w:val="28"/>
          <w:szCs w:val="28"/>
        </w:rPr>
        <w:t xml:space="preserve"> + Р</w:t>
      </w:r>
      <w:r>
        <w:rPr>
          <w:b/>
          <w:bCs/>
          <w:sz w:val="18"/>
          <w:szCs w:val="28"/>
        </w:rPr>
        <w:t>2</w:t>
      </w:r>
      <w:r>
        <w:rPr>
          <w:sz w:val="28"/>
          <w:szCs w:val="28"/>
        </w:rPr>
        <w:t xml:space="preserve"> + Р</w:t>
      </w:r>
      <w:r>
        <w:rPr>
          <w:b/>
          <w:bCs/>
          <w:sz w:val="18"/>
          <w:szCs w:val="28"/>
        </w:rPr>
        <w:t>3</w:t>
      </w:r>
      <w:r>
        <w:rPr>
          <w:sz w:val="28"/>
          <w:szCs w:val="28"/>
        </w:rPr>
        <w:t xml:space="preserve"> + Р</w:t>
      </w:r>
      <w:r>
        <w:rPr>
          <w:b/>
          <w:bCs/>
          <w:sz w:val="18"/>
          <w:szCs w:val="28"/>
        </w:rPr>
        <w:t>4</w:t>
      </w:r>
      <w:r>
        <w:rPr>
          <w:sz w:val="28"/>
          <w:szCs w:val="28"/>
        </w:rPr>
        <w:t xml:space="preserve"> = 100%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Следующее ограничение: сумма баллов находится в интервале от 100 до 300 баллов, т.е.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 300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 обнаружении ошибочной записи на экране так же высвечивается диагностическое сообщение. В этом случае следует сделать вывод о неправильности ввода первичной информации.</w:t>
      </w: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53595" w:rsidRDefault="00553595" w:rsidP="00553595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определяя с помощью данной программы класс кредитоспособности предприятий, банк может по-разному строить с ними свои кредитные отношения. Так, первоклассным по кредитоспособности заемщикам коммерческие банки могут открывать кредитную линию, выдавать в разовом порядке бланковые (без обеспечения) ссуды с установлением во всех случаях более низкой процентной ставки, чем для всех остальных заемщиков. Кредитование второклассных ссудозаемщиков осуществляется банками в обычном порядке. Предоставление кредитов клиентам 3-го класса связано для банка с серьезным риском. В большинстве случаев таким клиентам банки стараются кредитов не выдавать.</w:t>
      </w:r>
    </w:p>
    <w:p w:rsidR="00553595" w:rsidRDefault="00553595" w:rsidP="00553595">
      <w:pPr>
        <w:pStyle w:val="1"/>
        <w:spacing w:line="360" w:lineRule="auto"/>
        <w:ind w:firstLine="709"/>
        <w:jc w:val="both"/>
        <w:rPr>
          <w:sz w:val="44"/>
        </w:rPr>
      </w:pPr>
      <w:r>
        <w:rPr>
          <w:b w:val="0"/>
          <w:i w:val="0"/>
          <w:iCs w:val="0"/>
          <w:sz w:val="28"/>
          <w:szCs w:val="24"/>
        </w:rPr>
        <w:br w:type="page"/>
      </w:r>
      <w:r>
        <w:rPr>
          <w:sz w:val="44"/>
        </w:rPr>
        <w:t>Заключение</w:t>
      </w:r>
    </w:p>
    <w:p w:rsidR="00553595" w:rsidRDefault="00553595" w:rsidP="00553595">
      <w:pPr>
        <w:spacing w:line="360" w:lineRule="auto"/>
        <w:ind w:firstLine="709"/>
        <w:jc w:val="both"/>
      </w:pP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Коммерческий кредит - одна из первых форм отношений в экономике, активно способствовующая развитию безналичного денежного оборота, находит практическое выражение в финансово-хозяйственных отношениях между юридическими лицами в форме реализации продукции или услуг с отсрочкой платежа. Основная цель этой формы кредита - ускорение процесса реализации товаров, а, следовательно, извлечения заложенной в них прибыли.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 того, насколько хорошо банки реализуют свои кредитные функции, во многом зависит экономическое положение обслуживаемых ими регионов, поскольку банковские кредиты способствуют появлению новых предприятий и увеличению количества рабочих мест в этих регионах, что обеспечивает их экономическую жизнеспособность.</w:t>
      </w:r>
    </w:p>
    <w:p w:rsidR="00553595" w:rsidRDefault="00553595" w:rsidP="0055359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данной работе разработано программное средство для определения класса кредитоспособности больших и средних предприятий, которое, автоматизировав этот процесс, облегчает труд банковских работников во много раз.</w:t>
      </w:r>
    </w:p>
    <w:p w:rsidR="00553595" w:rsidRDefault="00553595" w:rsidP="00553595">
      <w:pPr>
        <w:widowControl w:val="0"/>
        <w:spacing w:line="360" w:lineRule="auto"/>
        <w:jc w:val="both"/>
        <w:rPr>
          <w:sz w:val="44"/>
        </w:rPr>
      </w:pPr>
      <w:r>
        <w:rPr>
          <w:sz w:val="28"/>
        </w:rPr>
        <w:br w:type="page"/>
      </w:r>
      <w:r>
        <w:rPr>
          <w:sz w:val="44"/>
        </w:rPr>
        <w:t>Список использованных источников:</w:t>
      </w:r>
    </w:p>
    <w:p w:rsidR="00553595" w:rsidRDefault="00553595" w:rsidP="00553595">
      <w:pPr>
        <w:spacing w:line="360" w:lineRule="auto"/>
        <w:jc w:val="both"/>
      </w:pPr>
    </w:p>
    <w:p w:rsidR="00553595" w:rsidRDefault="00553595" w:rsidP="0055359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0"/>
        </w:rPr>
      </w:pPr>
      <w:r>
        <w:rPr>
          <w:sz w:val="28"/>
        </w:rPr>
        <w:t>Колесников В.И. Банковское дело. - М., Финансы и статистика, 1998;</w:t>
      </w:r>
    </w:p>
    <w:p w:rsidR="00553595" w:rsidRDefault="00553595" w:rsidP="0055359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0"/>
        </w:rPr>
      </w:pPr>
      <w:r>
        <w:rPr>
          <w:sz w:val="28"/>
        </w:rPr>
        <w:t>Лаврушин О.И. Банковское дело. - М., Финансы и статистика, 2001;</w:t>
      </w:r>
    </w:p>
    <w:p w:rsidR="00553595" w:rsidRDefault="00553595" w:rsidP="00553595">
      <w:pPr>
        <w:widowControl w:val="0"/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Медведев А.Н. Вексельный банковский кредит / Консультант, №17, 1998;</w:t>
      </w:r>
    </w:p>
    <w:p w:rsidR="00553595" w:rsidRDefault="00553595" w:rsidP="00553595">
      <w:pPr>
        <w:widowControl w:val="0"/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Пятов М.Л. Вексель: вопросы учета, анализа и налогообложения. - М., </w:t>
      </w:r>
    </w:p>
    <w:p w:rsidR="00553595" w:rsidRDefault="00553595" w:rsidP="0055359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0"/>
        </w:rPr>
      </w:pPr>
      <w:r>
        <w:rPr>
          <w:sz w:val="28"/>
        </w:rPr>
        <w:t>Финансы и статистика, 1997;</w:t>
      </w:r>
    </w:p>
    <w:p w:rsidR="00553595" w:rsidRDefault="00553595" w:rsidP="0055359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Титоренко Г.А. Автоматизированные информационные технологии в </w:t>
      </w:r>
    </w:p>
    <w:p w:rsidR="00553595" w:rsidRDefault="00553595" w:rsidP="00553595">
      <w:pPr>
        <w:spacing w:line="360" w:lineRule="auto"/>
        <w:jc w:val="both"/>
        <w:rPr>
          <w:sz w:val="28"/>
        </w:rPr>
      </w:pPr>
      <w:r>
        <w:rPr>
          <w:sz w:val="28"/>
        </w:rPr>
        <w:t>экономике. - М., Юнити, 2003.</w:t>
      </w:r>
      <w:bookmarkStart w:id="0" w:name="_GoBack"/>
      <w:bookmarkEnd w:id="0"/>
    </w:p>
    <w:sectPr w:rsidR="00553595" w:rsidSect="0055359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D8" w:rsidRDefault="00927DD8">
      <w:r>
        <w:separator/>
      </w:r>
    </w:p>
  </w:endnote>
  <w:endnote w:type="continuationSeparator" w:id="0">
    <w:p w:rsidR="00927DD8" w:rsidRDefault="0092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D8" w:rsidRDefault="00927DD8">
      <w:r>
        <w:separator/>
      </w:r>
    </w:p>
  </w:footnote>
  <w:footnote w:type="continuationSeparator" w:id="0">
    <w:p w:rsidR="00927DD8" w:rsidRDefault="0092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95" w:rsidRDefault="000429BD">
    <w:pPr>
      <w:pStyle w:val="a7"/>
      <w:jc w:val="center"/>
    </w:pPr>
    <w:r>
      <w:rPr>
        <w:rStyle w:val="ab"/>
        <w:noProof/>
      </w:rPr>
      <w:t>1</w:t>
    </w:r>
  </w:p>
  <w:p w:rsidR="00553595" w:rsidRDefault="005535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4E6D1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BC6934"/>
    <w:multiLevelType w:val="hybridMultilevel"/>
    <w:tmpl w:val="AC863A86"/>
    <w:lvl w:ilvl="0" w:tplc="A4082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595"/>
    <w:rsid w:val="000429BD"/>
    <w:rsid w:val="001D2437"/>
    <w:rsid w:val="0042191D"/>
    <w:rsid w:val="00553595"/>
    <w:rsid w:val="009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51760D1-7C85-4DDF-ACB0-999BED1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i/>
      <w:iCs/>
      <w:sz w:val="36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1"/>
      </w:numPr>
      <w:tabs>
        <w:tab w:val="num" w:pos="1440"/>
      </w:tabs>
      <w:suppressAutoHyphens/>
      <w:spacing w:before="360" w:after="60"/>
      <w:ind w:left="1275" w:hanging="708"/>
      <w:jc w:val="both"/>
      <w:outlineLvl w:val="1"/>
    </w:pPr>
    <w:rPr>
      <w:rFonts w:ascii="Arial" w:hAnsi="Arial" w:cs="Arial"/>
      <w:b/>
      <w:i/>
      <w:color w:val="000000"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jc w:val="both"/>
      <w:outlineLvl w:val="2"/>
    </w:pPr>
    <w:rPr>
      <w:rFonts w:ascii="Arial" w:hAnsi="Arial" w:cs="Arial"/>
      <w:b/>
      <w:bCs/>
      <w:smallCaps/>
      <w:color w:val="000000"/>
      <w:kern w:val="24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8"/>
      <w:jc w:val="right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outlineLvl w:val="6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widowControl w:val="0"/>
      <w:shd w:val="clear" w:color="auto" w:fill="FFFFFF"/>
      <w:autoSpaceDE w:val="0"/>
      <w:autoSpaceDN w:val="0"/>
      <w:adjustRightInd w:val="0"/>
      <w:ind w:firstLine="720"/>
    </w:pPr>
    <w:rPr>
      <w:color w:val="FF0000"/>
      <w:sz w:val="26"/>
      <w:szCs w:val="21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customStyle="1" w:styleId="sz14">
    <w:name w:val="sz14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567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jc w:val="both"/>
    </w:pPr>
    <w:rPr>
      <w:color w:val="000000"/>
      <w:sz w:val="28"/>
      <w:szCs w:val="17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jus">
    <w:name w:val="jus"/>
    <w:basedOn w:val="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pPr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 Corporation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admin</cp:lastModifiedBy>
  <cp:revision>2</cp:revision>
  <cp:lastPrinted>2004-10-16T15:58:00Z</cp:lastPrinted>
  <dcterms:created xsi:type="dcterms:W3CDTF">2014-03-01T13:24:00Z</dcterms:created>
  <dcterms:modified xsi:type="dcterms:W3CDTF">2014-03-01T13:24:00Z</dcterms:modified>
</cp:coreProperties>
</file>