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1DEE" w:rsidRDefault="00A22492">
      <w:pPr>
        <w:widowControl w:val="0"/>
        <w:spacing w:before="120"/>
        <w:jc w:val="center"/>
        <w:rPr>
          <w:b/>
          <w:bCs/>
          <w:color w:val="000000"/>
          <w:sz w:val="32"/>
          <w:szCs w:val="32"/>
        </w:rPr>
      </w:pPr>
      <w:r>
        <w:rPr>
          <w:b/>
          <w:bCs/>
          <w:color w:val="000000"/>
          <w:sz w:val="32"/>
          <w:szCs w:val="32"/>
        </w:rPr>
        <w:t>Охрана природы Республики Коми</w:t>
      </w:r>
    </w:p>
    <w:p w:rsidR="00A91DEE" w:rsidRDefault="00A22492">
      <w:pPr>
        <w:widowControl w:val="0"/>
        <w:spacing w:before="120"/>
        <w:jc w:val="center"/>
        <w:rPr>
          <w:color w:val="000000"/>
          <w:sz w:val="28"/>
          <w:szCs w:val="28"/>
        </w:rPr>
      </w:pPr>
      <w:r>
        <w:rPr>
          <w:color w:val="000000"/>
          <w:sz w:val="28"/>
          <w:szCs w:val="28"/>
        </w:rPr>
        <w:t>Госкомитет российской федерации по высшему образованию</w:t>
      </w:r>
    </w:p>
    <w:p w:rsidR="00A91DEE" w:rsidRDefault="00A22492">
      <w:pPr>
        <w:widowControl w:val="0"/>
        <w:spacing w:before="120"/>
        <w:jc w:val="center"/>
        <w:rPr>
          <w:color w:val="000000"/>
          <w:sz w:val="28"/>
          <w:szCs w:val="28"/>
        </w:rPr>
      </w:pPr>
      <w:r>
        <w:rPr>
          <w:color w:val="000000"/>
          <w:sz w:val="28"/>
          <w:szCs w:val="28"/>
        </w:rPr>
        <w:t>Сыктывкарский государственный университет</w:t>
      </w:r>
    </w:p>
    <w:p w:rsidR="00A91DEE" w:rsidRDefault="00A22492">
      <w:pPr>
        <w:widowControl w:val="0"/>
        <w:spacing w:before="120"/>
        <w:jc w:val="center"/>
        <w:rPr>
          <w:color w:val="000000"/>
          <w:sz w:val="28"/>
          <w:szCs w:val="28"/>
        </w:rPr>
      </w:pPr>
      <w:r>
        <w:rPr>
          <w:color w:val="000000"/>
          <w:sz w:val="28"/>
          <w:szCs w:val="28"/>
        </w:rPr>
        <w:t>Экономический факультет</w:t>
      </w:r>
    </w:p>
    <w:p w:rsidR="00A91DEE" w:rsidRDefault="00A22492">
      <w:pPr>
        <w:widowControl w:val="0"/>
        <w:spacing w:before="120"/>
        <w:jc w:val="center"/>
        <w:rPr>
          <w:color w:val="000000"/>
          <w:sz w:val="28"/>
          <w:szCs w:val="28"/>
        </w:rPr>
      </w:pPr>
      <w:r>
        <w:rPr>
          <w:color w:val="000000"/>
          <w:sz w:val="28"/>
          <w:szCs w:val="28"/>
        </w:rPr>
        <w:t>Кафедра организации и планирования проиводства</w:t>
      </w:r>
    </w:p>
    <w:p w:rsidR="00A91DEE" w:rsidRDefault="00A22492">
      <w:pPr>
        <w:widowControl w:val="0"/>
        <w:spacing w:before="120"/>
        <w:jc w:val="center"/>
        <w:rPr>
          <w:color w:val="000000"/>
          <w:sz w:val="28"/>
          <w:szCs w:val="28"/>
        </w:rPr>
      </w:pPr>
      <w:r>
        <w:rPr>
          <w:color w:val="000000"/>
          <w:sz w:val="28"/>
          <w:szCs w:val="28"/>
        </w:rPr>
        <w:t>Реферат по экономической географии и регионалистике выполнила студентка гр. 4120 (ОЗО) Туева М.Г.</w:t>
      </w:r>
    </w:p>
    <w:p w:rsidR="00A91DEE" w:rsidRDefault="00A22492">
      <w:pPr>
        <w:widowControl w:val="0"/>
        <w:spacing w:before="120"/>
        <w:jc w:val="center"/>
        <w:rPr>
          <w:color w:val="000000"/>
          <w:sz w:val="28"/>
          <w:szCs w:val="28"/>
        </w:rPr>
      </w:pPr>
      <w:r>
        <w:rPr>
          <w:color w:val="000000"/>
          <w:sz w:val="28"/>
          <w:szCs w:val="28"/>
        </w:rPr>
        <w:t>Сыктывкар 1999</w:t>
      </w:r>
    </w:p>
    <w:p w:rsidR="00A91DEE" w:rsidRDefault="00A22492">
      <w:pPr>
        <w:widowControl w:val="0"/>
        <w:spacing w:before="120"/>
        <w:jc w:val="center"/>
        <w:rPr>
          <w:b/>
          <w:bCs/>
          <w:color w:val="000000"/>
          <w:sz w:val="28"/>
          <w:szCs w:val="28"/>
        </w:rPr>
      </w:pPr>
      <w:r>
        <w:rPr>
          <w:b/>
          <w:bCs/>
          <w:color w:val="000000"/>
          <w:sz w:val="28"/>
          <w:szCs w:val="28"/>
        </w:rPr>
        <w:t>ВВЕДЕНИЕ</w:t>
      </w:r>
    </w:p>
    <w:p w:rsidR="00A91DEE" w:rsidRDefault="00A22492">
      <w:pPr>
        <w:widowControl w:val="0"/>
        <w:spacing w:before="120"/>
        <w:ind w:firstLine="567"/>
        <w:jc w:val="both"/>
        <w:rPr>
          <w:color w:val="000000"/>
          <w:sz w:val="24"/>
          <w:szCs w:val="24"/>
        </w:rPr>
      </w:pPr>
      <w:r>
        <w:rPr>
          <w:color w:val="000000"/>
          <w:sz w:val="24"/>
          <w:szCs w:val="24"/>
        </w:rPr>
        <w:t xml:space="preserve">Родившийся на Севере Кола Бельды, заслуженный артист РСФСР, с болью говорит: «Традиционная веселость северянина в последние годы частенько стала мне изменять. Перестал петь песню «Увезу тебя я в тундру». Не хочется приглашать любимую в тундру, израненную гусеницами вездеходов. Тундру, которую бесхозяйственные, а скорее, хищнические способы добычи нефти и газа приводят в безобразное состояние. Природа Севера не может залечить раны десятилетиями. Не хочу петь песню и про Нарьян-Мар, «где живут оленеводы и рыбачат рыбаки». Добро, хоть уберегли Печору от варварского поворота к югу. Но рыбаков там все меньше, поскольку и рыбы становится меньше. А оленеводство? Выгоднейшая отрасль народного хозяйства находится в загоне. Традиционный быт северян нарушен бездумным применением цивилизованных «благ» к нам, детям природы. Детей оленеводов отправили в интернат: разве вернутся они пастухами в тундру? У северянина отобрали жизненно необходимую пищу: сырую рыбу и сырое мясо. Вроде бы с добрыми намерениями, а нарушили естественный, веками сложившийся процесс роста организма. Другой разговор: можно ли поймать сейчас сига, ленка, калугу? И можно ли есть сырую рыбу, пойманную в Амуре, ниже амурского целлюлозно-картонного комбината? Нас, малых народностей Сибири, Крайнего Севера и Дальнего Востока, - двадцать шесть. О таких, как кеты, селькупы, негидальцы, численность которых порою всего несколько сот человек, многие даже и не слышали. А ведь культура каждого из них - древнейшая, уникальная!» [8; </w:t>
      </w:r>
      <w:r>
        <w:rPr>
          <w:color w:val="000000"/>
          <w:sz w:val="24"/>
          <w:szCs w:val="24"/>
          <w:lang w:val="en-US"/>
        </w:rPr>
        <w:t>C</w:t>
      </w:r>
      <w:r>
        <w:rPr>
          <w:color w:val="000000"/>
          <w:sz w:val="24"/>
          <w:szCs w:val="24"/>
        </w:rPr>
        <w:t>. 182]</w:t>
      </w:r>
    </w:p>
    <w:p w:rsidR="00A91DEE" w:rsidRDefault="00A22492">
      <w:pPr>
        <w:widowControl w:val="0"/>
        <w:spacing w:before="120"/>
        <w:ind w:firstLine="567"/>
        <w:jc w:val="both"/>
        <w:rPr>
          <w:color w:val="000000"/>
          <w:sz w:val="24"/>
          <w:szCs w:val="24"/>
        </w:rPr>
      </w:pPr>
      <w:r>
        <w:rPr>
          <w:color w:val="000000"/>
          <w:sz w:val="24"/>
          <w:szCs w:val="24"/>
        </w:rPr>
        <w:t xml:space="preserve">Перед республикой стоят сложные проблемы при реализации программ развития новых отраслей: добыча на Тимане в верховьях рек Ворыква, Вымь и Мезень бокситов и его транспортировка на Урал, в перспективе переработка половины его объема на глинозем в Чинья-Ворыке, добыча и переработка титановых руд в районе г. Ухта и ряда других полезных ископаемых Приполярного Урала и других территорий. Режим работы предприятий этих отраслей должен быть безотходным. Предстоит строительство новых транспортных магистралей: железнодорожная магистраль Архангельск-Сыктывкар - Пермь, газотранспортная магистраль Ямал-Европа и последующее ее расширение, намечается строительство ТЭЦ (ГРЭС) в г. Инта и ТЭЦ в г. Сыктывкар. </w:t>
      </w:r>
    </w:p>
    <w:p w:rsidR="00A91DEE" w:rsidRDefault="00A22492">
      <w:pPr>
        <w:widowControl w:val="0"/>
        <w:spacing w:before="120"/>
        <w:ind w:firstLine="567"/>
        <w:jc w:val="both"/>
        <w:rPr>
          <w:color w:val="000000"/>
          <w:sz w:val="24"/>
          <w:szCs w:val="24"/>
        </w:rPr>
      </w:pPr>
      <w:r>
        <w:rPr>
          <w:color w:val="000000"/>
          <w:sz w:val="24"/>
          <w:szCs w:val="24"/>
        </w:rPr>
        <w:t>В целях определения перспектив развития Печорского угольного бассейна, Усинска, Вуктыла, где сегодня еще не ясны этапы и методы этого развития, намечается завершить комплексную схему социально-экономического и территориально-планировочного развития Республики Коми. Всем северным городам следует найти выход из рамок монопрофильного уклада и производственной инфраструктуры. Для планомерного развития территории в зоне влияния новых железных и автомобильных дорог предстоит в 1998-1999 гг. разработать либо в составе проектов магистралей, либо отдельно проект «территориально-планировочной организации перспективных транспортных зон».</w:t>
      </w:r>
    </w:p>
    <w:p w:rsidR="00A91DEE" w:rsidRDefault="00A22492">
      <w:pPr>
        <w:widowControl w:val="0"/>
        <w:spacing w:before="120"/>
        <w:ind w:firstLine="567"/>
        <w:jc w:val="both"/>
        <w:rPr>
          <w:color w:val="000000"/>
          <w:sz w:val="24"/>
          <w:szCs w:val="24"/>
        </w:rPr>
      </w:pPr>
      <w:r>
        <w:rPr>
          <w:color w:val="000000"/>
          <w:sz w:val="24"/>
          <w:szCs w:val="24"/>
        </w:rPr>
        <w:t>Необходимо отметить, что любые действия в области формирования градообразующей базы, использования территории, развития транспортных и инженерных систем должны осуществляться лишь с учетом экологических особенностей каждой территории. Основными принципами, на которых будет строиться экологическая политика, являются жесткая экологическая экспертиза проектов, применение природосберегающих, экологически безопасных технологий, совершенствование систем контроля за состоянием природной среды, наличие на предприятиях специального высокоэффективного оборудования для локализации возможных аварий и реабилитации природной среды. Не менее важным является дальнейшая разработка в Министерстве природных ресурсов и охраны окружающей среды Республики Коми законодательных и нормативных актов, направленных на охрану окружающей среды и контроль за их выполнением.</w:t>
      </w:r>
    </w:p>
    <w:p w:rsidR="00A91DEE" w:rsidRDefault="00A22492">
      <w:pPr>
        <w:widowControl w:val="0"/>
        <w:spacing w:before="120"/>
        <w:ind w:firstLine="567"/>
        <w:jc w:val="both"/>
        <w:rPr>
          <w:color w:val="000000"/>
          <w:sz w:val="24"/>
          <w:szCs w:val="24"/>
        </w:rPr>
      </w:pPr>
      <w:r>
        <w:rPr>
          <w:color w:val="000000"/>
          <w:sz w:val="24"/>
          <w:szCs w:val="24"/>
        </w:rPr>
        <w:t>При написании реферата мною в основном использовался государственный доклад о состоянии окружающей природной среды в Республике Коми за 1996 год, а также различные указы, положения, постановления и прочие нормативные акты, связанные с проблемой охраны окружающей среды Республики Коми.</w:t>
      </w:r>
    </w:p>
    <w:p w:rsidR="00A91DEE" w:rsidRDefault="00A22492">
      <w:pPr>
        <w:widowControl w:val="0"/>
        <w:spacing w:before="120"/>
        <w:jc w:val="center"/>
        <w:rPr>
          <w:b/>
          <w:bCs/>
          <w:color w:val="000000"/>
          <w:sz w:val="28"/>
          <w:szCs w:val="28"/>
        </w:rPr>
      </w:pPr>
      <w:r>
        <w:rPr>
          <w:b/>
          <w:bCs/>
          <w:color w:val="000000"/>
          <w:sz w:val="28"/>
          <w:szCs w:val="28"/>
        </w:rPr>
        <w:t>1 ЗАГРЯЗНЕНИЕ АТМОСФЕРНОГО ВОЗДУХА</w:t>
      </w:r>
    </w:p>
    <w:p w:rsidR="00A91DEE" w:rsidRDefault="00A22492">
      <w:pPr>
        <w:widowControl w:val="0"/>
        <w:spacing w:before="120"/>
        <w:ind w:firstLine="567"/>
        <w:jc w:val="both"/>
        <w:rPr>
          <w:color w:val="000000"/>
          <w:sz w:val="24"/>
          <w:szCs w:val="24"/>
        </w:rPr>
      </w:pPr>
      <w:r>
        <w:rPr>
          <w:color w:val="000000"/>
          <w:sz w:val="24"/>
          <w:szCs w:val="24"/>
        </w:rPr>
        <w:t xml:space="preserve">В отличие от других российских регионов Республике Коми удается в определенной мере сдерживать техногенное воздействие на природную среду. Однако ряд городов (Воркута, Инта, Ухта, Сосногорск) и территорий (добыча нефти в Усинском районе) имеют напряженную обстановку из-за хозяйственной деятельности человека, а отрицательное воздействие транспортных средств (до 50 % общего количества вредных выбросов) ощутимо во всех городах и некоторых поселках. </w:t>
      </w:r>
    </w:p>
    <w:p w:rsidR="00A91DEE" w:rsidRDefault="00A22492">
      <w:pPr>
        <w:widowControl w:val="0"/>
        <w:spacing w:before="120"/>
        <w:ind w:firstLine="567"/>
        <w:jc w:val="both"/>
        <w:rPr>
          <w:color w:val="000000"/>
          <w:sz w:val="24"/>
          <w:szCs w:val="24"/>
        </w:rPr>
      </w:pPr>
      <w:r>
        <w:rPr>
          <w:color w:val="000000"/>
          <w:sz w:val="24"/>
          <w:szCs w:val="24"/>
        </w:rPr>
        <w:t xml:space="preserve">Загрязнение основными примесями (пылью, сернистым газом, окисью углерода и двуокисью азота) во всех городах, где проведены наблюдения, в средних за год значениях норму не превышает, а максимальные концентрации сернистого газа - ниже нормы. В г. Сосногорск выше, чем в других городах, уровень загрязнения воздуха двуокисью азота. Прослеживается увеличение загрязнения этой примесью атмосферного воздуха и в г. Ухта - с 1994 г. среднегодовая концентрация увеличилась в два раза. В гг. Сыктывкар, Ухта и Воркута повышен уровень загрязнения воздуха метилмеркаптаном и формальдегидом. В 1995 г. Сыктывкар вошел в список городов России с очень высоким уровнем загрязнения воздуха (высокий индекс загрязнения атмосферы), характерной особенностью которого являются высокие уровни специфических вредных примесей. В Сыктывкаре - это метилмеркаптан и формальдегид, среднегодовые концентрации которых превышают норму, хотя в 1996 г. отмечено некоторое понижение среднегодовых концентраций метилмеркаптана с 40,0·10-6 до 27·10-6 мг/куб.м, формальдегида - с 0,012 до 0,010 мг/куб.м, бензапирена - с 0,8·10-6 до 0,5-6 мг/куб.м. [2; </w:t>
      </w:r>
      <w:r>
        <w:rPr>
          <w:color w:val="000000"/>
          <w:sz w:val="24"/>
          <w:szCs w:val="24"/>
          <w:lang w:val="en-US"/>
        </w:rPr>
        <w:t>C</w:t>
      </w:r>
      <w:r>
        <w:rPr>
          <w:color w:val="000000"/>
          <w:sz w:val="24"/>
          <w:szCs w:val="24"/>
        </w:rPr>
        <w:t>. 10]</w:t>
      </w:r>
    </w:p>
    <w:p w:rsidR="00A91DEE" w:rsidRDefault="00A22492">
      <w:pPr>
        <w:widowControl w:val="0"/>
        <w:spacing w:before="120"/>
        <w:ind w:firstLine="567"/>
        <w:jc w:val="both"/>
        <w:rPr>
          <w:color w:val="000000"/>
          <w:sz w:val="24"/>
          <w:szCs w:val="24"/>
        </w:rPr>
      </w:pPr>
      <w:r>
        <w:rPr>
          <w:color w:val="000000"/>
          <w:sz w:val="24"/>
          <w:szCs w:val="24"/>
        </w:rPr>
        <w:t xml:space="preserve">В Сыктывкаре за последние годы наблюдается значительный рост автомобилей (39,4 тысячи единиц в 1995 году, 44,6 тысяч единиц в 1996 году и 52,1 тысяча единиц в 1997 году). Автотранспорт является одним из основных загрязнителей атмосферного воздуха (более 50%), загрязняет поверхностные слои почвы, водоемы и грунтовые воды, оказывает шумовое, вибрационное, электромагнитное воздействие. </w:t>
      </w:r>
    </w:p>
    <w:p w:rsidR="00A91DEE" w:rsidRDefault="00A22492">
      <w:pPr>
        <w:widowControl w:val="0"/>
        <w:spacing w:before="120"/>
        <w:ind w:firstLine="567"/>
        <w:jc w:val="both"/>
        <w:rPr>
          <w:color w:val="000000"/>
          <w:sz w:val="24"/>
          <w:szCs w:val="24"/>
        </w:rPr>
      </w:pPr>
      <w:r>
        <w:rPr>
          <w:color w:val="000000"/>
          <w:sz w:val="24"/>
          <w:szCs w:val="24"/>
        </w:rPr>
        <w:t>В целях улучшения экологической обстановки в городе Сыктывкаре и сокращения выбросов загрязняющих веществ в атмосферу от автомобильного транспорта, и в соответствии со статьей 10 Закона РСФСР "Об охране окружающей природной среды" принято Положение о порядке осуществления в городе Сыктывкаре экологического контроля автотранспортных средств. Целями этого Положения являются:</w:t>
      </w:r>
    </w:p>
    <w:p w:rsidR="00A91DEE" w:rsidRDefault="00A22492">
      <w:pPr>
        <w:widowControl w:val="0"/>
        <w:spacing w:before="120"/>
        <w:ind w:firstLine="567"/>
        <w:jc w:val="both"/>
        <w:rPr>
          <w:color w:val="000000"/>
          <w:sz w:val="24"/>
          <w:szCs w:val="24"/>
        </w:rPr>
      </w:pPr>
      <w:r>
        <w:rPr>
          <w:color w:val="000000"/>
          <w:sz w:val="24"/>
          <w:szCs w:val="24"/>
        </w:rPr>
        <w:t xml:space="preserve"> снижение загрязнения атмосферного воздуха выбросами от автотранспорта и улучшение экологической обстановки в городе;</w:t>
      </w:r>
    </w:p>
    <w:p w:rsidR="00A91DEE" w:rsidRDefault="00A22492">
      <w:pPr>
        <w:widowControl w:val="0"/>
        <w:spacing w:before="120"/>
        <w:ind w:firstLine="567"/>
        <w:jc w:val="both"/>
        <w:rPr>
          <w:color w:val="000000"/>
          <w:sz w:val="24"/>
          <w:szCs w:val="24"/>
        </w:rPr>
      </w:pPr>
      <w:r>
        <w:rPr>
          <w:color w:val="000000"/>
          <w:sz w:val="24"/>
          <w:szCs w:val="24"/>
        </w:rPr>
        <w:t xml:space="preserve"> создание системы постоянного экологического контроля за соблюдением стандартов по токсичности и дымности на автотранспорте. [9; </w:t>
      </w:r>
      <w:r>
        <w:rPr>
          <w:color w:val="000000"/>
          <w:sz w:val="24"/>
          <w:szCs w:val="24"/>
          <w:lang w:val="en-US"/>
        </w:rPr>
        <w:t>C</w:t>
      </w:r>
      <w:r>
        <w:rPr>
          <w:color w:val="000000"/>
          <w:sz w:val="24"/>
          <w:szCs w:val="24"/>
        </w:rPr>
        <w:t>. 2]</w:t>
      </w:r>
    </w:p>
    <w:p w:rsidR="00A91DEE" w:rsidRDefault="00A22492">
      <w:pPr>
        <w:widowControl w:val="0"/>
        <w:spacing w:before="120"/>
        <w:ind w:firstLine="567"/>
        <w:jc w:val="both"/>
        <w:rPr>
          <w:color w:val="000000"/>
          <w:sz w:val="24"/>
          <w:szCs w:val="24"/>
        </w:rPr>
      </w:pPr>
      <w:r>
        <w:rPr>
          <w:color w:val="000000"/>
          <w:sz w:val="24"/>
          <w:szCs w:val="24"/>
        </w:rPr>
        <w:t>В целом по республике не наблюдается тенденции к снижению уровня загрязнения атмосферного воздуха (смотри таблицу 1).</w:t>
      </w:r>
    </w:p>
    <w:p w:rsidR="00A91DEE" w:rsidRDefault="00A22492">
      <w:pPr>
        <w:widowControl w:val="0"/>
        <w:spacing w:before="120"/>
        <w:ind w:firstLine="567"/>
        <w:jc w:val="both"/>
        <w:rPr>
          <w:color w:val="000000"/>
          <w:sz w:val="24"/>
          <w:szCs w:val="24"/>
        </w:rPr>
      </w:pPr>
      <w:r>
        <w:rPr>
          <w:color w:val="000000"/>
          <w:sz w:val="24"/>
          <w:szCs w:val="24"/>
        </w:rPr>
        <w:t>Таблица 1</w:t>
      </w:r>
    </w:p>
    <w:p w:rsidR="00A91DEE" w:rsidRDefault="00A22492">
      <w:pPr>
        <w:widowControl w:val="0"/>
        <w:spacing w:before="120"/>
        <w:ind w:firstLine="567"/>
        <w:jc w:val="both"/>
        <w:rPr>
          <w:color w:val="000000"/>
          <w:sz w:val="24"/>
          <w:szCs w:val="24"/>
        </w:rPr>
      </w:pPr>
      <w:r>
        <w:rPr>
          <w:color w:val="000000"/>
          <w:sz w:val="24"/>
          <w:szCs w:val="24"/>
        </w:rPr>
        <w:t xml:space="preserve">Изменение среднегодовых и максимальных (в скобках) характеристик загрязнения атмосферного воздуха за 1993-1996 годы (в долях ПДК) [2; </w:t>
      </w:r>
      <w:r>
        <w:rPr>
          <w:color w:val="000000"/>
          <w:sz w:val="24"/>
          <w:szCs w:val="24"/>
          <w:lang w:val="en-US"/>
        </w:rPr>
        <w:t>C</w:t>
      </w:r>
      <w:r>
        <w:rPr>
          <w:color w:val="000000"/>
          <w:sz w:val="24"/>
          <w:szCs w:val="24"/>
        </w:rPr>
        <w:t>. 11]</w:t>
      </w:r>
    </w:p>
    <w:p w:rsidR="00A91DEE" w:rsidRDefault="00A91DEE">
      <w:pPr>
        <w:widowControl w:val="0"/>
        <w:spacing w:before="120"/>
        <w:ind w:firstLine="567"/>
        <w:jc w:val="both"/>
        <w:rPr>
          <w:color w:val="000000"/>
          <w:sz w:val="24"/>
          <w:szCs w:val="24"/>
        </w:rPr>
      </w:pPr>
    </w:p>
    <w:tbl>
      <w:tblPr>
        <w:tblW w:w="0" w:type="auto"/>
        <w:tblInd w:w="-108" w:type="dxa"/>
        <w:tblLayout w:type="fixed"/>
        <w:tblLook w:val="0000" w:firstRow="0" w:lastRow="0" w:firstColumn="0" w:lastColumn="0" w:noHBand="0" w:noVBand="0"/>
      </w:tblPr>
      <w:tblGrid>
        <w:gridCol w:w="2518"/>
        <w:gridCol w:w="1701"/>
        <w:gridCol w:w="1559"/>
        <w:gridCol w:w="1843"/>
        <w:gridCol w:w="1276"/>
        <w:gridCol w:w="142"/>
        <w:gridCol w:w="141"/>
      </w:tblGrid>
      <w:tr w:rsidR="00A91DEE">
        <w:tc>
          <w:tcPr>
            <w:tcW w:w="2518"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Примесь </w:t>
            </w:r>
          </w:p>
        </w:tc>
        <w:tc>
          <w:tcPr>
            <w:tcW w:w="1701"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1993г. </w:t>
            </w:r>
          </w:p>
        </w:tc>
        <w:tc>
          <w:tcPr>
            <w:tcW w:w="1559"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1994г. </w:t>
            </w:r>
          </w:p>
        </w:tc>
        <w:tc>
          <w:tcPr>
            <w:tcW w:w="1843"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1995г. </w:t>
            </w:r>
          </w:p>
        </w:tc>
        <w:tc>
          <w:tcPr>
            <w:tcW w:w="1559" w:type="dxa"/>
            <w:gridSpan w:val="3"/>
            <w:tcBorders>
              <w:top w:val="single" w:sz="6" w:space="0" w:color="auto"/>
              <w:left w:val="nil"/>
              <w:bottom w:val="single" w:sz="6" w:space="0" w:color="auto"/>
              <w:right w:val="nil"/>
            </w:tcBorders>
          </w:tcPr>
          <w:p w:rsidR="00A91DEE" w:rsidRDefault="00A22492">
            <w:pPr>
              <w:widowControl w:val="0"/>
              <w:jc w:val="both"/>
              <w:rPr>
                <w:color w:val="000000"/>
                <w:sz w:val="24"/>
                <w:szCs w:val="24"/>
              </w:rPr>
            </w:pPr>
            <w:r>
              <w:rPr>
                <w:color w:val="000000"/>
                <w:sz w:val="24"/>
                <w:szCs w:val="24"/>
              </w:rPr>
              <w:t>1996г.</w:t>
            </w:r>
          </w:p>
        </w:tc>
      </w:tr>
      <w:tr w:rsidR="00A91DEE">
        <w:tc>
          <w:tcPr>
            <w:tcW w:w="2518" w:type="dxa"/>
            <w:tcBorders>
              <w:top w:val="nil"/>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г. Воркута</w:t>
            </w:r>
          </w:p>
        </w:tc>
        <w:tc>
          <w:tcPr>
            <w:tcW w:w="1701" w:type="dxa"/>
            <w:tcBorders>
              <w:top w:val="nil"/>
              <w:left w:val="nil"/>
              <w:bottom w:val="single" w:sz="6" w:space="0" w:color="auto"/>
              <w:right w:val="single" w:sz="6" w:space="0" w:color="auto"/>
            </w:tcBorders>
          </w:tcPr>
          <w:p w:rsidR="00A91DEE" w:rsidRDefault="00A91DEE">
            <w:pPr>
              <w:widowControl w:val="0"/>
              <w:jc w:val="both"/>
              <w:rPr>
                <w:color w:val="000000"/>
                <w:sz w:val="24"/>
                <w:szCs w:val="24"/>
              </w:rPr>
            </w:pPr>
          </w:p>
        </w:tc>
        <w:tc>
          <w:tcPr>
            <w:tcW w:w="1559" w:type="dxa"/>
            <w:tcBorders>
              <w:top w:val="nil"/>
              <w:left w:val="nil"/>
              <w:bottom w:val="single" w:sz="6" w:space="0" w:color="auto"/>
              <w:right w:val="single" w:sz="6" w:space="0" w:color="auto"/>
            </w:tcBorders>
          </w:tcPr>
          <w:p w:rsidR="00A91DEE" w:rsidRDefault="00A91DEE">
            <w:pPr>
              <w:widowControl w:val="0"/>
              <w:jc w:val="both"/>
              <w:rPr>
                <w:color w:val="000000"/>
                <w:sz w:val="24"/>
                <w:szCs w:val="24"/>
              </w:rPr>
            </w:pPr>
          </w:p>
        </w:tc>
        <w:tc>
          <w:tcPr>
            <w:tcW w:w="1843" w:type="dxa"/>
            <w:tcBorders>
              <w:top w:val="nil"/>
              <w:left w:val="nil"/>
              <w:bottom w:val="single" w:sz="6" w:space="0" w:color="auto"/>
              <w:right w:val="single" w:sz="6" w:space="0" w:color="auto"/>
            </w:tcBorders>
          </w:tcPr>
          <w:p w:rsidR="00A91DEE" w:rsidRDefault="00A91DEE">
            <w:pPr>
              <w:widowControl w:val="0"/>
              <w:jc w:val="both"/>
              <w:rPr>
                <w:color w:val="000000"/>
                <w:sz w:val="24"/>
                <w:szCs w:val="24"/>
              </w:rPr>
            </w:pPr>
          </w:p>
        </w:tc>
        <w:tc>
          <w:tcPr>
            <w:tcW w:w="1559" w:type="dxa"/>
            <w:gridSpan w:val="3"/>
            <w:tcBorders>
              <w:top w:val="nil"/>
              <w:left w:val="nil"/>
              <w:bottom w:val="single" w:sz="6" w:space="0" w:color="auto"/>
              <w:right w:val="nil"/>
            </w:tcBorders>
          </w:tcPr>
          <w:p w:rsidR="00A91DEE" w:rsidRDefault="00A91DEE">
            <w:pPr>
              <w:widowControl w:val="0"/>
              <w:jc w:val="both"/>
              <w:rPr>
                <w:color w:val="000000"/>
                <w:sz w:val="24"/>
                <w:szCs w:val="24"/>
              </w:rPr>
            </w:pP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Пыль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0,70(1,20)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0,70(1,00)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0,70(1,20) </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0,90(1,40) </w:t>
            </w: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Сернистый газ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0,.14(0,18)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0,20(0,17)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0,14(0,04) </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0,14(0,04)</w:t>
            </w: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Окись углерода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0,70(1,00)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0,70(1,20)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0,70(0,80) </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0,70(1,00)</w:t>
            </w: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Двуокись азота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0,50(1,20)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0,50(0,80)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0,50(0,90)</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0,60(0,80)</w:t>
            </w: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Сероводород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0,20(1,10)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0,20(0,60)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0,20(0,60) </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0,20(0,60)</w:t>
            </w: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Формальдегид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2,30(0,70)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3,00(0,80)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3,00(0,80) </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3,70(0,70)</w:t>
            </w: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Бенз(а)пирен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0,80(0,20)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0,20(0,70)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0,60(2,70) </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0,40(1,50)</w:t>
            </w:r>
          </w:p>
        </w:tc>
      </w:tr>
      <w:tr w:rsidR="00A91DEE">
        <w:tc>
          <w:tcPr>
            <w:tcW w:w="2518"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г. Сосногорск</w:t>
            </w:r>
          </w:p>
        </w:tc>
        <w:tc>
          <w:tcPr>
            <w:tcW w:w="1701"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559"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843"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559" w:type="dxa"/>
            <w:gridSpan w:val="3"/>
            <w:tcBorders>
              <w:top w:val="single" w:sz="6" w:space="0" w:color="auto"/>
              <w:left w:val="nil"/>
              <w:bottom w:val="single" w:sz="6" w:space="0" w:color="auto"/>
              <w:right w:val="nil"/>
            </w:tcBorders>
          </w:tcPr>
          <w:p w:rsidR="00A91DEE" w:rsidRDefault="00A91DEE">
            <w:pPr>
              <w:widowControl w:val="0"/>
              <w:jc w:val="both"/>
              <w:rPr>
                <w:color w:val="000000"/>
                <w:sz w:val="24"/>
                <w:szCs w:val="24"/>
              </w:rPr>
            </w:pPr>
          </w:p>
        </w:tc>
      </w:tr>
      <w:tr w:rsidR="00A91DEE">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Сернистый газ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0,20(0,58)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0,16(0,14)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0,12(0,18) </w:t>
            </w:r>
          </w:p>
        </w:tc>
        <w:tc>
          <w:tcPr>
            <w:tcW w:w="1559" w:type="dxa"/>
            <w:gridSpan w:val="3"/>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0,15(0,21)</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Окись углерода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0,30(2,00)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0,70(3,40)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0.30(3,80)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0,30(1,40)</w:t>
            </w: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Двуокись азота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1,00(2,50)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1,00(2,40)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1,00(2,40) </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1,00(1,80)</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Сажа (техуглерод)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0,02(0,11)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0,00(0,07)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0,00(0,07)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0,00(0,00)</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Сумма углеводородов (мг/м3)</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0,73(8,40)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1,32(12,60) </w:t>
            </w:r>
          </w:p>
        </w:tc>
        <w:tc>
          <w:tcPr>
            <w:tcW w:w="1843" w:type="dxa"/>
            <w:tcBorders>
              <w:top w:val="nil"/>
              <w:left w:val="nil"/>
              <w:bottom w:val="nil"/>
              <w:right w:val="single" w:sz="6" w:space="0" w:color="auto"/>
            </w:tcBorders>
          </w:tcPr>
          <w:p w:rsidR="00A91DEE" w:rsidRDefault="00A91DEE">
            <w:pPr>
              <w:widowControl w:val="0"/>
              <w:jc w:val="both"/>
              <w:rPr>
                <w:color w:val="000000"/>
                <w:sz w:val="24"/>
                <w:szCs w:val="24"/>
              </w:rPr>
            </w:pPr>
          </w:p>
          <w:p w:rsidR="00A91DEE" w:rsidRDefault="00A22492">
            <w:pPr>
              <w:widowControl w:val="0"/>
              <w:jc w:val="both"/>
              <w:rPr>
                <w:color w:val="000000"/>
                <w:sz w:val="24"/>
                <w:szCs w:val="24"/>
              </w:rPr>
            </w:pPr>
            <w:r>
              <w:rPr>
                <w:color w:val="000000"/>
                <w:sz w:val="24"/>
                <w:szCs w:val="24"/>
              </w:rPr>
              <w:t>1,13(30,20)</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1,08(5,90)</w:t>
            </w:r>
          </w:p>
        </w:tc>
      </w:tr>
      <w:tr w:rsidR="00A91DEE">
        <w:trPr>
          <w:gridAfter w:val="1"/>
          <w:wAfter w:w="141" w:type="dxa"/>
        </w:trPr>
        <w:tc>
          <w:tcPr>
            <w:tcW w:w="2518"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г. Ухта</w:t>
            </w:r>
          </w:p>
        </w:tc>
        <w:tc>
          <w:tcPr>
            <w:tcW w:w="1701"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559"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843"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418" w:type="dxa"/>
            <w:gridSpan w:val="2"/>
            <w:tcBorders>
              <w:top w:val="single" w:sz="6" w:space="0" w:color="auto"/>
              <w:left w:val="nil"/>
              <w:bottom w:val="single" w:sz="6" w:space="0" w:color="auto"/>
              <w:right w:val="nil"/>
            </w:tcBorders>
          </w:tcPr>
          <w:p w:rsidR="00A91DEE" w:rsidRDefault="00A91DEE">
            <w:pPr>
              <w:widowControl w:val="0"/>
              <w:jc w:val="both"/>
              <w:rPr>
                <w:color w:val="000000"/>
                <w:sz w:val="24"/>
                <w:szCs w:val="24"/>
              </w:rPr>
            </w:pP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Пыль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0,70(1,20)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0,70(1,60)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0,30(1,20)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0,30(1,20)</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Сернистый газ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0,02(0,06)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0,04(0,05)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0,06(0,05)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0,07(0,06)</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Окись углерода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0,30(2,40)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0.30(3,00)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0,30(0,80)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0,50(1,40)</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Двуокись азота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0,50(4,90)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0,50(1,20)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0,80(3,00)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0,90(2,20)</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Сероводород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0,10(2,20)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0,10(2,80)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0,10(1,10)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0,20(2,50)</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Метилмеркаптан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3,00(15,00)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2,20(9,90)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2,10(10,60)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2,40(14,70)</w:t>
            </w:r>
          </w:p>
        </w:tc>
      </w:tr>
      <w:tr w:rsidR="00A91DEE">
        <w:trPr>
          <w:gridAfter w:val="2"/>
          <w:wAfter w:w="283"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Бенз(а)пирен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0,50(1,70)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0,10(0,30)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0,40(0,70) </w:t>
            </w:r>
          </w:p>
        </w:tc>
        <w:tc>
          <w:tcPr>
            <w:tcW w:w="127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0,30(0,50)</w:t>
            </w:r>
          </w:p>
        </w:tc>
      </w:tr>
      <w:tr w:rsidR="00A91DEE">
        <w:trPr>
          <w:gridAfter w:val="1"/>
          <w:wAfter w:w="141" w:type="dxa"/>
        </w:trPr>
        <w:tc>
          <w:tcPr>
            <w:tcW w:w="2518"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г. Сыктывкар</w:t>
            </w:r>
          </w:p>
        </w:tc>
        <w:tc>
          <w:tcPr>
            <w:tcW w:w="1701"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559"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843" w:type="dxa"/>
            <w:tcBorders>
              <w:top w:val="single" w:sz="6" w:space="0" w:color="auto"/>
              <w:left w:val="nil"/>
              <w:bottom w:val="single" w:sz="6" w:space="0" w:color="auto"/>
              <w:right w:val="single" w:sz="6" w:space="0" w:color="auto"/>
            </w:tcBorders>
          </w:tcPr>
          <w:p w:rsidR="00A91DEE" w:rsidRDefault="00A91DEE">
            <w:pPr>
              <w:widowControl w:val="0"/>
              <w:jc w:val="both"/>
              <w:rPr>
                <w:color w:val="000000"/>
                <w:sz w:val="24"/>
                <w:szCs w:val="24"/>
              </w:rPr>
            </w:pPr>
          </w:p>
        </w:tc>
        <w:tc>
          <w:tcPr>
            <w:tcW w:w="1418" w:type="dxa"/>
            <w:gridSpan w:val="2"/>
            <w:tcBorders>
              <w:top w:val="single" w:sz="6" w:space="0" w:color="auto"/>
              <w:left w:val="nil"/>
              <w:bottom w:val="single" w:sz="6" w:space="0" w:color="auto"/>
              <w:right w:val="nil"/>
            </w:tcBorders>
          </w:tcPr>
          <w:p w:rsidR="00A91DEE" w:rsidRDefault="00A91DEE">
            <w:pPr>
              <w:widowControl w:val="0"/>
              <w:jc w:val="both"/>
              <w:rPr>
                <w:color w:val="000000"/>
                <w:sz w:val="24"/>
                <w:szCs w:val="24"/>
              </w:rPr>
            </w:pP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Пыль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0,70(3,40)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0,70(1,60)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0,70(1,20)</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0,60(3,40)</w:t>
            </w: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Сернистый газ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0,02(0.08)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0,02(0,04)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0,02(0,05) </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0,01(0,30)</w:t>
            </w: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Окись углерода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0,30(2,40)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0,30(2,20)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0,30(1,40) </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0,40(2,00)</w:t>
            </w: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Двуокись азота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0,50(4,10)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0,50(8,00)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0,50(2,00)</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0,50(2,80)</w:t>
            </w: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Сероводород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0,10(4,60)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&lt;0,10(5,60)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&lt;0,10(1,90) </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&lt;0,10(1,40)</w:t>
            </w: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Формальдегид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2,70(0,90)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2,30(1,80)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4,00(2,50) </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3,30(2,80)</w:t>
            </w:r>
          </w:p>
        </w:tc>
      </w:tr>
      <w:tr w:rsidR="00A91DEE">
        <w:trPr>
          <w:gridAfter w:val="1"/>
          <w:wAfter w:w="141" w:type="dxa"/>
        </w:trPr>
        <w:tc>
          <w:tcPr>
            <w:tcW w:w="251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Метилмеркаптан </w:t>
            </w:r>
          </w:p>
        </w:tc>
        <w:tc>
          <w:tcPr>
            <w:tcW w:w="170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1,30(29,70) </w:t>
            </w:r>
          </w:p>
        </w:tc>
        <w:tc>
          <w:tcPr>
            <w:tcW w:w="155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1,60(40,00) </w:t>
            </w:r>
          </w:p>
        </w:tc>
        <w:tc>
          <w:tcPr>
            <w:tcW w:w="184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4,40(44,10) </w:t>
            </w:r>
          </w:p>
        </w:tc>
        <w:tc>
          <w:tcPr>
            <w:tcW w:w="141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3,00(46,30)</w:t>
            </w:r>
          </w:p>
        </w:tc>
      </w:tr>
      <w:tr w:rsidR="00A91DEE">
        <w:trPr>
          <w:gridAfter w:val="1"/>
          <w:wAfter w:w="141" w:type="dxa"/>
        </w:trPr>
        <w:tc>
          <w:tcPr>
            <w:tcW w:w="2518" w:type="dxa"/>
            <w:tcBorders>
              <w:top w:val="nil"/>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Бенз(а)пирен </w:t>
            </w:r>
          </w:p>
        </w:tc>
        <w:tc>
          <w:tcPr>
            <w:tcW w:w="1701" w:type="dxa"/>
            <w:tcBorders>
              <w:top w:val="nil"/>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 - </w:t>
            </w:r>
          </w:p>
        </w:tc>
        <w:tc>
          <w:tcPr>
            <w:tcW w:w="1559" w:type="dxa"/>
            <w:tcBorders>
              <w:top w:val="nil"/>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0,20(0,60) </w:t>
            </w:r>
          </w:p>
        </w:tc>
        <w:tc>
          <w:tcPr>
            <w:tcW w:w="1843" w:type="dxa"/>
            <w:tcBorders>
              <w:top w:val="nil"/>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0,80(2,40)</w:t>
            </w:r>
          </w:p>
        </w:tc>
        <w:tc>
          <w:tcPr>
            <w:tcW w:w="1418" w:type="dxa"/>
            <w:gridSpan w:val="2"/>
            <w:tcBorders>
              <w:top w:val="nil"/>
              <w:left w:val="nil"/>
              <w:bottom w:val="single" w:sz="6" w:space="0" w:color="auto"/>
              <w:right w:val="nil"/>
            </w:tcBorders>
          </w:tcPr>
          <w:p w:rsidR="00A91DEE" w:rsidRDefault="00A22492">
            <w:pPr>
              <w:widowControl w:val="0"/>
              <w:jc w:val="both"/>
              <w:rPr>
                <w:color w:val="000000"/>
                <w:sz w:val="24"/>
                <w:szCs w:val="24"/>
              </w:rPr>
            </w:pPr>
            <w:r>
              <w:rPr>
                <w:color w:val="000000"/>
                <w:sz w:val="24"/>
                <w:szCs w:val="24"/>
              </w:rPr>
              <w:t>0,50(1,40)</w:t>
            </w:r>
          </w:p>
        </w:tc>
      </w:tr>
    </w:tbl>
    <w:p w:rsidR="00A91DEE" w:rsidRDefault="00A22492">
      <w:pPr>
        <w:widowControl w:val="0"/>
        <w:spacing w:before="120"/>
        <w:ind w:firstLine="567"/>
        <w:jc w:val="both"/>
        <w:rPr>
          <w:color w:val="000000"/>
          <w:sz w:val="24"/>
          <w:szCs w:val="24"/>
        </w:rPr>
      </w:pPr>
      <w:r>
        <w:rPr>
          <w:color w:val="000000"/>
          <w:sz w:val="24"/>
          <w:szCs w:val="24"/>
        </w:rPr>
        <w:t>В Воркутинском районе снизились валовые выбросы на 20 тыс. тонн из-за спада производства на шахтах ОАО «Воркутауголь» и Воркутинском цементном заводе. На Воркутинской ТЭЦ-2 суммарный выброс снижен на 6 тыс. тонн из-за улучшения качества сжигаемого угля (снижение зольности и содержания серы). Тем не менее, в 10-ти (из 20) районах республики отмечен рост выбросов вредных веществ, наиболее высокий - на 14,3 тыс. тонн в Усинском районе из-за увеличения добычи нефти, в том числе выброс оксида углерода - на 12 тыс. тонн. Из-за отсутствия финансирования не завершены воздухоохранные мероприятия, имеющие большой экологический эффект, на АО «Сыктывкарский лесопромышленный комплекс».</w:t>
      </w:r>
    </w:p>
    <w:p w:rsidR="00A91DEE" w:rsidRDefault="00A22492">
      <w:pPr>
        <w:widowControl w:val="0"/>
        <w:spacing w:before="120"/>
        <w:ind w:firstLine="567"/>
        <w:jc w:val="both"/>
        <w:rPr>
          <w:color w:val="000000"/>
          <w:sz w:val="24"/>
          <w:szCs w:val="24"/>
        </w:rPr>
      </w:pPr>
      <w:r>
        <w:rPr>
          <w:color w:val="000000"/>
          <w:sz w:val="24"/>
          <w:szCs w:val="24"/>
        </w:rPr>
        <w:t xml:space="preserve">На долю семи ведущих отраслей народного хозяйства республики приходится 94,5% общего объема выбросов загрязняющих веществ в атмосферу (смотри рисунок 1). </w:t>
      </w:r>
    </w:p>
    <w:p w:rsidR="00A91DEE" w:rsidRDefault="00A22492">
      <w:pPr>
        <w:widowControl w:val="0"/>
        <w:spacing w:before="120"/>
        <w:ind w:firstLine="567"/>
        <w:jc w:val="both"/>
        <w:rPr>
          <w:color w:val="000000"/>
          <w:sz w:val="24"/>
          <w:szCs w:val="24"/>
        </w:rPr>
      </w:pPr>
      <w:r>
        <w:rPr>
          <w:color w:val="000000"/>
          <w:sz w:val="24"/>
          <w:szCs w:val="24"/>
        </w:rPr>
        <w:t xml:space="preserve">Доля (%) основных отраслей промышленности Республики Коми в общем выбросе загрязняющих веществ в атмосферу в 1996г. (данные 1995 г.)[2; </w:t>
      </w:r>
      <w:r>
        <w:rPr>
          <w:color w:val="000000"/>
          <w:sz w:val="24"/>
          <w:szCs w:val="24"/>
          <w:lang w:val="en-US"/>
        </w:rPr>
        <w:t>C</w:t>
      </w:r>
      <w:r>
        <w:rPr>
          <w:color w:val="000000"/>
          <w:sz w:val="24"/>
          <w:szCs w:val="24"/>
        </w:rPr>
        <w:t>. 16]</w:t>
      </w:r>
    </w:p>
    <w:p w:rsidR="00A91DEE" w:rsidRDefault="00A91DEE">
      <w:pPr>
        <w:widowControl w:val="0"/>
        <w:spacing w:before="120"/>
        <w:ind w:firstLine="567"/>
        <w:jc w:val="both"/>
        <w:rPr>
          <w:color w:val="000000"/>
          <w:sz w:val="24"/>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7"/>
        <w:gridCol w:w="4928"/>
      </w:tblGrid>
      <w:tr w:rsidR="00A91DEE">
        <w:tc>
          <w:tcPr>
            <w:tcW w:w="4927" w:type="dxa"/>
          </w:tcPr>
          <w:p w:rsidR="00A91DEE" w:rsidRDefault="00A22492">
            <w:pPr>
              <w:widowControl w:val="0"/>
              <w:spacing w:before="120"/>
              <w:jc w:val="both"/>
              <w:rPr>
                <w:color w:val="000000"/>
                <w:sz w:val="24"/>
                <w:szCs w:val="24"/>
              </w:rPr>
            </w:pPr>
            <w:r>
              <w:rPr>
                <w:color w:val="000000"/>
                <w:sz w:val="24"/>
                <w:szCs w:val="24"/>
              </w:rPr>
              <w:t xml:space="preserve">ДРУГИЕ ОТРАСЛИ </w:t>
            </w:r>
          </w:p>
        </w:tc>
        <w:tc>
          <w:tcPr>
            <w:tcW w:w="4928" w:type="dxa"/>
          </w:tcPr>
          <w:p w:rsidR="00A91DEE" w:rsidRDefault="00A22492">
            <w:pPr>
              <w:widowControl w:val="0"/>
              <w:spacing w:before="120"/>
              <w:jc w:val="both"/>
              <w:rPr>
                <w:color w:val="000000"/>
                <w:sz w:val="24"/>
                <w:szCs w:val="24"/>
              </w:rPr>
            </w:pPr>
            <w:r>
              <w:rPr>
                <w:color w:val="000000"/>
                <w:sz w:val="24"/>
                <w:szCs w:val="24"/>
              </w:rPr>
              <w:t xml:space="preserve">5,5 (7,0) </w:t>
            </w:r>
          </w:p>
        </w:tc>
      </w:tr>
      <w:tr w:rsidR="00A91DEE">
        <w:tc>
          <w:tcPr>
            <w:tcW w:w="4927" w:type="dxa"/>
          </w:tcPr>
          <w:p w:rsidR="00A91DEE" w:rsidRDefault="00A22492">
            <w:pPr>
              <w:widowControl w:val="0"/>
              <w:spacing w:before="120"/>
              <w:jc w:val="both"/>
              <w:rPr>
                <w:color w:val="000000"/>
                <w:sz w:val="24"/>
                <w:szCs w:val="24"/>
              </w:rPr>
            </w:pPr>
            <w:r>
              <w:rPr>
                <w:color w:val="000000"/>
                <w:sz w:val="24"/>
                <w:szCs w:val="24"/>
              </w:rPr>
              <w:t xml:space="preserve">НЕФТЕПЕРАБАТЫВАЮЩАЯ </w:t>
            </w:r>
          </w:p>
        </w:tc>
        <w:tc>
          <w:tcPr>
            <w:tcW w:w="4928" w:type="dxa"/>
          </w:tcPr>
          <w:p w:rsidR="00A91DEE" w:rsidRDefault="00A22492">
            <w:pPr>
              <w:widowControl w:val="0"/>
              <w:spacing w:before="120"/>
              <w:jc w:val="both"/>
              <w:rPr>
                <w:color w:val="000000"/>
                <w:sz w:val="24"/>
                <w:szCs w:val="24"/>
              </w:rPr>
            </w:pPr>
            <w:r>
              <w:rPr>
                <w:color w:val="000000"/>
                <w:sz w:val="24"/>
                <w:szCs w:val="24"/>
              </w:rPr>
              <w:t>1,6(1,0)</w:t>
            </w:r>
          </w:p>
        </w:tc>
      </w:tr>
      <w:tr w:rsidR="00A91DEE">
        <w:tc>
          <w:tcPr>
            <w:tcW w:w="4927" w:type="dxa"/>
          </w:tcPr>
          <w:p w:rsidR="00A91DEE" w:rsidRDefault="00A22492">
            <w:pPr>
              <w:widowControl w:val="0"/>
              <w:spacing w:before="120"/>
              <w:jc w:val="both"/>
              <w:rPr>
                <w:color w:val="000000"/>
                <w:sz w:val="24"/>
                <w:szCs w:val="24"/>
              </w:rPr>
            </w:pPr>
            <w:r>
              <w:rPr>
                <w:color w:val="000000"/>
                <w:sz w:val="24"/>
                <w:szCs w:val="24"/>
              </w:rPr>
              <w:t>СТРОЙИНДУСТРИЯ</w:t>
            </w:r>
          </w:p>
        </w:tc>
        <w:tc>
          <w:tcPr>
            <w:tcW w:w="4928" w:type="dxa"/>
          </w:tcPr>
          <w:p w:rsidR="00A91DEE" w:rsidRDefault="00A22492">
            <w:pPr>
              <w:widowControl w:val="0"/>
              <w:spacing w:before="120"/>
              <w:jc w:val="both"/>
              <w:rPr>
                <w:color w:val="000000"/>
                <w:sz w:val="24"/>
                <w:szCs w:val="24"/>
              </w:rPr>
            </w:pPr>
            <w:r>
              <w:rPr>
                <w:color w:val="000000"/>
                <w:sz w:val="24"/>
                <w:szCs w:val="24"/>
              </w:rPr>
              <w:t xml:space="preserve"> 3,2 (3,5)</w:t>
            </w:r>
          </w:p>
        </w:tc>
      </w:tr>
      <w:tr w:rsidR="00A91DEE">
        <w:tc>
          <w:tcPr>
            <w:tcW w:w="4927" w:type="dxa"/>
          </w:tcPr>
          <w:p w:rsidR="00A91DEE" w:rsidRDefault="00A22492">
            <w:pPr>
              <w:widowControl w:val="0"/>
              <w:spacing w:before="120"/>
              <w:jc w:val="both"/>
              <w:rPr>
                <w:color w:val="000000"/>
                <w:sz w:val="24"/>
                <w:szCs w:val="24"/>
              </w:rPr>
            </w:pPr>
            <w:r>
              <w:rPr>
                <w:color w:val="000000"/>
                <w:sz w:val="24"/>
                <w:szCs w:val="24"/>
              </w:rPr>
              <w:t>ЛЕСНАЯ И  ДЕРЕВООБРАБАТЫВАЮЩАЯ</w:t>
            </w:r>
          </w:p>
        </w:tc>
        <w:tc>
          <w:tcPr>
            <w:tcW w:w="4928" w:type="dxa"/>
          </w:tcPr>
          <w:p w:rsidR="00A91DEE" w:rsidRDefault="00A22492">
            <w:pPr>
              <w:widowControl w:val="0"/>
              <w:spacing w:before="120"/>
              <w:jc w:val="both"/>
              <w:rPr>
                <w:color w:val="000000"/>
                <w:sz w:val="24"/>
                <w:szCs w:val="24"/>
              </w:rPr>
            </w:pPr>
            <w:r>
              <w:rPr>
                <w:color w:val="000000"/>
                <w:sz w:val="24"/>
                <w:szCs w:val="24"/>
              </w:rPr>
              <w:t xml:space="preserve"> 2,6 (3,6)</w:t>
            </w:r>
          </w:p>
        </w:tc>
      </w:tr>
      <w:tr w:rsidR="00A91DEE">
        <w:tc>
          <w:tcPr>
            <w:tcW w:w="4927" w:type="dxa"/>
          </w:tcPr>
          <w:p w:rsidR="00A91DEE" w:rsidRDefault="00A22492">
            <w:pPr>
              <w:widowControl w:val="0"/>
              <w:spacing w:before="120"/>
              <w:jc w:val="both"/>
              <w:rPr>
                <w:color w:val="000000"/>
                <w:sz w:val="24"/>
                <w:szCs w:val="24"/>
              </w:rPr>
            </w:pPr>
            <w:r>
              <w:rPr>
                <w:color w:val="000000"/>
                <w:sz w:val="24"/>
                <w:szCs w:val="24"/>
              </w:rPr>
              <w:t>НЕФТЕДОБЫВАЮЩАЯ</w:t>
            </w:r>
          </w:p>
        </w:tc>
        <w:tc>
          <w:tcPr>
            <w:tcW w:w="4928" w:type="dxa"/>
          </w:tcPr>
          <w:p w:rsidR="00A91DEE" w:rsidRDefault="00A22492">
            <w:pPr>
              <w:widowControl w:val="0"/>
              <w:spacing w:before="120"/>
              <w:jc w:val="both"/>
              <w:rPr>
                <w:color w:val="000000"/>
                <w:sz w:val="24"/>
                <w:szCs w:val="24"/>
              </w:rPr>
            </w:pPr>
            <w:r>
              <w:rPr>
                <w:color w:val="000000"/>
                <w:sz w:val="24"/>
                <w:szCs w:val="24"/>
              </w:rPr>
              <w:t xml:space="preserve"> 11,4 (8,1)</w:t>
            </w:r>
          </w:p>
        </w:tc>
      </w:tr>
      <w:tr w:rsidR="00A91DEE">
        <w:tc>
          <w:tcPr>
            <w:tcW w:w="4927" w:type="dxa"/>
          </w:tcPr>
          <w:p w:rsidR="00A91DEE" w:rsidRDefault="00A22492">
            <w:pPr>
              <w:widowControl w:val="0"/>
              <w:spacing w:before="120"/>
              <w:jc w:val="both"/>
              <w:rPr>
                <w:color w:val="000000"/>
                <w:sz w:val="24"/>
                <w:szCs w:val="24"/>
              </w:rPr>
            </w:pPr>
            <w:r>
              <w:rPr>
                <w:color w:val="000000"/>
                <w:sz w:val="24"/>
                <w:szCs w:val="24"/>
              </w:rPr>
              <w:t xml:space="preserve">ТЕПЛОЭНЕРГЕТИКА </w:t>
            </w:r>
          </w:p>
        </w:tc>
        <w:tc>
          <w:tcPr>
            <w:tcW w:w="4928" w:type="dxa"/>
          </w:tcPr>
          <w:p w:rsidR="00A91DEE" w:rsidRDefault="00A22492">
            <w:pPr>
              <w:widowControl w:val="0"/>
              <w:spacing w:before="120"/>
              <w:jc w:val="both"/>
              <w:rPr>
                <w:color w:val="000000"/>
                <w:sz w:val="24"/>
                <w:szCs w:val="24"/>
              </w:rPr>
            </w:pPr>
            <w:r>
              <w:rPr>
                <w:color w:val="000000"/>
                <w:sz w:val="24"/>
                <w:szCs w:val="24"/>
              </w:rPr>
              <w:t>13,0 (13,4)</w:t>
            </w:r>
          </w:p>
        </w:tc>
      </w:tr>
      <w:tr w:rsidR="00A91DEE">
        <w:tc>
          <w:tcPr>
            <w:tcW w:w="4927" w:type="dxa"/>
          </w:tcPr>
          <w:p w:rsidR="00A91DEE" w:rsidRDefault="00A22492">
            <w:pPr>
              <w:widowControl w:val="0"/>
              <w:spacing w:before="120"/>
              <w:jc w:val="both"/>
              <w:rPr>
                <w:color w:val="000000"/>
                <w:sz w:val="24"/>
                <w:szCs w:val="24"/>
              </w:rPr>
            </w:pPr>
            <w:r>
              <w:rPr>
                <w:color w:val="000000"/>
                <w:sz w:val="24"/>
                <w:szCs w:val="24"/>
              </w:rPr>
              <w:t xml:space="preserve">ГАЗОВАЯ ОТРАСЛЬ </w:t>
            </w:r>
          </w:p>
        </w:tc>
        <w:tc>
          <w:tcPr>
            <w:tcW w:w="4928" w:type="dxa"/>
          </w:tcPr>
          <w:p w:rsidR="00A91DEE" w:rsidRDefault="00A22492">
            <w:pPr>
              <w:widowControl w:val="0"/>
              <w:spacing w:before="120"/>
              <w:jc w:val="both"/>
              <w:rPr>
                <w:color w:val="000000"/>
                <w:sz w:val="24"/>
                <w:szCs w:val="24"/>
              </w:rPr>
            </w:pPr>
            <w:r>
              <w:rPr>
                <w:color w:val="000000"/>
                <w:sz w:val="24"/>
                <w:szCs w:val="24"/>
              </w:rPr>
              <w:t>23,0 (23,7)</w:t>
            </w:r>
          </w:p>
        </w:tc>
      </w:tr>
      <w:tr w:rsidR="00A91DEE">
        <w:tc>
          <w:tcPr>
            <w:tcW w:w="4927" w:type="dxa"/>
          </w:tcPr>
          <w:p w:rsidR="00A91DEE" w:rsidRDefault="00A22492">
            <w:pPr>
              <w:widowControl w:val="0"/>
              <w:spacing w:before="120"/>
              <w:jc w:val="both"/>
              <w:rPr>
                <w:color w:val="000000"/>
                <w:sz w:val="24"/>
                <w:szCs w:val="24"/>
              </w:rPr>
            </w:pPr>
            <w:r>
              <w:rPr>
                <w:color w:val="000000"/>
                <w:sz w:val="24"/>
                <w:szCs w:val="24"/>
              </w:rPr>
              <w:t xml:space="preserve">УГЛЕДОБЫЧА </w:t>
            </w:r>
          </w:p>
        </w:tc>
        <w:tc>
          <w:tcPr>
            <w:tcW w:w="4928" w:type="dxa"/>
          </w:tcPr>
          <w:p w:rsidR="00A91DEE" w:rsidRDefault="00A22492">
            <w:pPr>
              <w:widowControl w:val="0"/>
              <w:spacing w:before="120"/>
              <w:jc w:val="both"/>
              <w:rPr>
                <w:color w:val="000000"/>
                <w:sz w:val="24"/>
                <w:szCs w:val="24"/>
              </w:rPr>
            </w:pPr>
            <w:r>
              <w:rPr>
                <w:color w:val="000000"/>
                <w:sz w:val="24"/>
                <w:szCs w:val="24"/>
              </w:rPr>
              <w:t>39,7 (39,6)</w:t>
            </w:r>
          </w:p>
        </w:tc>
      </w:tr>
    </w:tbl>
    <w:p w:rsidR="00A91DEE" w:rsidRDefault="00A22492">
      <w:pPr>
        <w:widowControl w:val="0"/>
        <w:spacing w:before="120"/>
        <w:ind w:firstLine="567"/>
        <w:jc w:val="both"/>
        <w:rPr>
          <w:color w:val="000000"/>
          <w:sz w:val="24"/>
          <w:szCs w:val="24"/>
        </w:rPr>
      </w:pPr>
      <w:r>
        <w:rPr>
          <w:color w:val="000000"/>
          <w:sz w:val="24"/>
          <w:szCs w:val="24"/>
        </w:rPr>
        <w:t xml:space="preserve">Вклад основных отраслей промышленности РК в валовые выбросы загрязняющих веществ в атмосферу составил в тысячах тонн (%): угледобывающая - 37,25 (39,7); газовая - 215,9 (23); теплоэнергетика -121,4 (13); нефтедобывающая - 107,0 (11,4); стройиндустрия - 30,0 (3,2); лесная, деревообрабатывающая и целлюлозно-бумажная - 24,6 (2,6); нефтеперерабатывающая - 14,7 (1,6); остальные отрасли - 51,8 (5,5). </w:t>
      </w:r>
    </w:p>
    <w:p w:rsidR="00A91DEE" w:rsidRDefault="00A22492">
      <w:pPr>
        <w:widowControl w:val="0"/>
        <w:spacing w:before="120"/>
        <w:ind w:firstLine="567"/>
        <w:jc w:val="both"/>
        <w:rPr>
          <w:color w:val="000000"/>
          <w:sz w:val="24"/>
          <w:szCs w:val="24"/>
        </w:rPr>
      </w:pPr>
      <w:r>
        <w:rPr>
          <w:color w:val="000000"/>
          <w:sz w:val="24"/>
          <w:szCs w:val="24"/>
        </w:rPr>
        <w:t xml:space="preserve">В Сыктывкаре организовано наблюдение за загрязнением атмосферного воздуха на трех стационарных пунктах. Центр по гидрометеорологии и мониторингу окружающей среды проводит это наблюдение на перекрестке улиц Первомайская и Коммунистическая, на Октябрьском проспекте и в Эжве. Предусмотрен ежедневный (кроме воскресенья) трехразовый отбор проб воздуха для определения пыли, сернистого газа, диоксида азота и еще пяти компонентов невидимой грязи. На "качество" воздуха в городе могут повлиять и промышленные выбросы в атмосферу, и производственные стоки, и аварийные загрязнения природы, как это, к несчастью, случилось в начале нынешней зимы (1998 год). Чтобы своевременно принять меры при больших отклонениях от предельно допустимых норм, ведутся наблюдения за качеством поверхностных вод около города в пяти стоках на реках Сысола и Вычегда. Пробы отбираются ежемесячно и анализируются по 40 показателям. [2; </w:t>
      </w:r>
      <w:r>
        <w:rPr>
          <w:color w:val="000000"/>
          <w:sz w:val="24"/>
          <w:szCs w:val="24"/>
          <w:lang w:val="en-US"/>
        </w:rPr>
        <w:t>C</w:t>
      </w:r>
      <w:r>
        <w:rPr>
          <w:color w:val="000000"/>
          <w:sz w:val="24"/>
          <w:szCs w:val="24"/>
        </w:rPr>
        <w:t>. 3]</w:t>
      </w:r>
    </w:p>
    <w:p w:rsidR="00A91DEE" w:rsidRDefault="00A22492">
      <w:pPr>
        <w:widowControl w:val="0"/>
        <w:spacing w:before="120"/>
        <w:ind w:firstLine="567"/>
        <w:jc w:val="both"/>
        <w:rPr>
          <w:color w:val="000000"/>
          <w:sz w:val="24"/>
          <w:szCs w:val="24"/>
        </w:rPr>
      </w:pPr>
      <w:r>
        <w:rPr>
          <w:color w:val="000000"/>
          <w:sz w:val="24"/>
          <w:szCs w:val="24"/>
        </w:rPr>
        <w:t xml:space="preserve">Предприятием ДП «Севергазпром» совместно с администрацией Главы Республики Коми разработана и утверждена программа по расширению использования сжатого и сжиженного газа в качестве газомоторного топлива на автотранспорте на1996-1998 гг. Низкие темпы перевода автотранспорта на газомоторное топливо обусловлены отсутствием законодательных актов, стимулирующих использование природного газа в качестве моторного топлива, продолжающимся спадом производства и снижением грузоперевозок; устаревшим парком автомобилей и отсутствием финансирования. </w:t>
      </w:r>
    </w:p>
    <w:p w:rsidR="00A91DEE" w:rsidRDefault="00A22492">
      <w:pPr>
        <w:widowControl w:val="0"/>
        <w:spacing w:before="120"/>
        <w:jc w:val="center"/>
        <w:rPr>
          <w:b/>
          <w:bCs/>
          <w:color w:val="000000"/>
          <w:sz w:val="28"/>
          <w:szCs w:val="28"/>
        </w:rPr>
      </w:pPr>
      <w:r>
        <w:rPr>
          <w:b/>
          <w:bCs/>
          <w:color w:val="000000"/>
          <w:sz w:val="28"/>
          <w:szCs w:val="28"/>
        </w:rPr>
        <w:t>2 ВОДНЫЕ РЕСУРСЫ</w:t>
      </w:r>
    </w:p>
    <w:p w:rsidR="00A91DEE" w:rsidRDefault="00A22492">
      <w:pPr>
        <w:widowControl w:val="0"/>
        <w:spacing w:before="120"/>
        <w:ind w:firstLine="567"/>
        <w:jc w:val="both"/>
        <w:rPr>
          <w:color w:val="000000"/>
          <w:sz w:val="24"/>
          <w:szCs w:val="24"/>
        </w:rPr>
      </w:pPr>
      <w:r>
        <w:rPr>
          <w:color w:val="000000"/>
          <w:sz w:val="24"/>
          <w:szCs w:val="24"/>
        </w:rPr>
        <w:t>На территории Республики Коми располагаются более 78 тысяч озер общей площадью около 4,5 тысяч квадратных километров. Свыше 98% озер имеют площадь зеркала до 0,5 квадратных километров.</w:t>
      </w:r>
    </w:p>
    <w:p w:rsidR="00A91DEE" w:rsidRDefault="00A22492">
      <w:pPr>
        <w:widowControl w:val="0"/>
        <w:spacing w:before="120"/>
        <w:ind w:firstLine="567"/>
        <w:jc w:val="both"/>
        <w:rPr>
          <w:color w:val="000000"/>
          <w:sz w:val="24"/>
          <w:szCs w:val="24"/>
        </w:rPr>
      </w:pPr>
      <w:r>
        <w:rPr>
          <w:color w:val="000000"/>
          <w:sz w:val="24"/>
          <w:szCs w:val="24"/>
        </w:rPr>
        <w:t xml:space="preserve">По ландшафтным особенностям озера делятся на тундровые, горные, таежные (водораздельные), пойменные. По происхождению: ледниковые, карстовые, торфяные, реликтовые. Тундровые озера (торфяные, термокарстовые) расположены в Большеземельской и Малоземельской тундрах. Они невелики и богаты органикой. Самые известные озера Падымейские и Харбейские. [5; </w:t>
      </w:r>
      <w:r>
        <w:rPr>
          <w:color w:val="000000"/>
          <w:sz w:val="24"/>
          <w:szCs w:val="24"/>
          <w:lang w:val="en-US"/>
        </w:rPr>
        <w:t>C</w:t>
      </w:r>
      <w:r>
        <w:rPr>
          <w:color w:val="000000"/>
          <w:sz w:val="24"/>
          <w:szCs w:val="24"/>
        </w:rPr>
        <w:t>. 28]</w:t>
      </w:r>
    </w:p>
    <w:p w:rsidR="00A91DEE" w:rsidRDefault="00A22492">
      <w:pPr>
        <w:widowControl w:val="0"/>
        <w:spacing w:before="120"/>
        <w:ind w:firstLine="567"/>
        <w:jc w:val="both"/>
        <w:rPr>
          <w:color w:val="000000"/>
          <w:sz w:val="24"/>
          <w:szCs w:val="24"/>
        </w:rPr>
      </w:pPr>
      <w:r>
        <w:rPr>
          <w:color w:val="000000"/>
          <w:sz w:val="24"/>
          <w:szCs w:val="24"/>
        </w:rPr>
        <w:t>Болота в Республике Коми занимают 7,7% территории. С 1978 года в нашей республике 113 болот объявлены заказниками и памятниками природы, из них 17 выделены в качестве эталонов различных природных ландшафтов, остальные - клюквенные. Общая площадь охраняемых болот составляет почти 0,5 миллионов гектаров.</w:t>
      </w:r>
    </w:p>
    <w:p w:rsidR="00A91DEE" w:rsidRDefault="00A22492">
      <w:pPr>
        <w:widowControl w:val="0"/>
        <w:spacing w:before="120"/>
        <w:ind w:firstLine="567"/>
        <w:jc w:val="both"/>
        <w:rPr>
          <w:color w:val="000000"/>
          <w:sz w:val="24"/>
          <w:szCs w:val="24"/>
        </w:rPr>
      </w:pPr>
      <w:r>
        <w:rPr>
          <w:color w:val="000000"/>
          <w:sz w:val="24"/>
          <w:szCs w:val="24"/>
        </w:rPr>
        <w:t xml:space="preserve">На болотах распространены довольно редкие растения таежной зоны Евразии: пухонос альпийский, очеретник белый. Встречаются интересующие науку виды: пушица рыжеватая, ятрышник пятнистый, подлежащий охране. Их мохообразных редко встречающиеся растения: сфагнумы Линдберга, красноватый каллиергон Ричардсона и еще более редкие - дрепанокладус плавающий, политрихум Сварца. [5; </w:t>
      </w:r>
      <w:r>
        <w:rPr>
          <w:color w:val="000000"/>
          <w:sz w:val="24"/>
          <w:szCs w:val="24"/>
          <w:lang w:val="en-US"/>
        </w:rPr>
        <w:t>C</w:t>
      </w:r>
      <w:r>
        <w:rPr>
          <w:color w:val="000000"/>
          <w:sz w:val="24"/>
          <w:szCs w:val="24"/>
        </w:rPr>
        <w:t>. 28]</w:t>
      </w:r>
    </w:p>
    <w:p w:rsidR="00A91DEE" w:rsidRDefault="00A22492">
      <w:pPr>
        <w:widowControl w:val="0"/>
        <w:spacing w:before="120"/>
        <w:ind w:firstLine="567"/>
        <w:jc w:val="both"/>
        <w:rPr>
          <w:color w:val="000000"/>
          <w:sz w:val="24"/>
          <w:szCs w:val="24"/>
        </w:rPr>
      </w:pPr>
      <w:r>
        <w:rPr>
          <w:color w:val="000000"/>
          <w:sz w:val="24"/>
          <w:szCs w:val="24"/>
        </w:rPr>
        <w:t>Для сохранения болот, озер и рек создаются заказники:</w:t>
      </w:r>
    </w:p>
    <w:p w:rsidR="00A91DEE" w:rsidRDefault="00A22492">
      <w:pPr>
        <w:widowControl w:val="0"/>
        <w:spacing w:before="120"/>
        <w:ind w:firstLine="567"/>
        <w:jc w:val="both"/>
        <w:rPr>
          <w:color w:val="000000"/>
          <w:sz w:val="24"/>
          <w:szCs w:val="24"/>
        </w:rPr>
      </w:pPr>
      <w:r>
        <w:rPr>
          <w:color w:val="000000"/>
          <w:sz w:val="24"/>
          <w:szCs w:val="24"/>
        </w:rPr>
        <w:t>Водоохранный заказник "Вычегда" учрежден постановлением Совета Министров Республики Коми от 1 марта 1993 года №110 с целью сохранения водоохранного комплекса в верховьях реки Вычегды. В пределах заказника охраняется лесная растительность, болота, речки, родники и почвенный покров.</w:t>
      </w:r>
    </w:p>
    <w:p w:rsidR="00A91DEE" w:rsidRDefault="00A22492">
      <w:pPr>
        <w:widowControl w:val="0"/>
        <w:spacing w:before="120"/>
        <w:ind w:firstLine="567"/>
        <w:jc w:val="both"/>
        <w:rPr>
          <w:color w:val="000000"/>
          <w:sz w:val="24"/>
          <w:szCs w:val="24"/>
        </w:rPr>
      </w:pPr>
      <w:r>
        <w:rPr>
          <w:color w:val="000000"/>
          <w:sz w:val="24"/>
          <w:szCs w:val="24"/>
        </w:rPr>
        <w:t>Болотный заказник "Симвинский", кадастровый №93, учрежден постановлением Совета Министров Коми АССР от 26.09.89 с целью сохранения условий для произрастания и воспроизводства клюквы, для поддержания общего экологического равновесия.</w:t>
      </w:r>
    </w:p>
    <w:p w:rsidR="00A91DEE" w:rsidRDefault="00A22492">
      <w:pPr>
        <w:widowControl w:val="0"/>
        <w:spacing w:before="120"/>
        <w:ind w:firstLine="567"/>
        <w:jc w:val="both"/>
        <w:rPr>
          <w:color w:val="000000"/>
          <w:sz w:val="24"/>
          <w:szCs w:val="24"/>
        </w:rPr>
      </w:pPr>
      <w:r>
        <w:rPr>
          <w:color w:val="000000"/>
          <w:sz w:val="24"/>
          <w:szCs w:val="24"/>
        </w:rPr>
        <w:t>Болотный заказник "Вездинский", кадастровый №158, учрежден постановлением Совета Министров Коми АССР от 26.09.89с целью сохранения условий для произрастания и воспроизводства клюквы, для поддержания общего экологического равновесия.</w:t>
      </w:r>
    </w:p>
    <w:p w:rsidR="00A91DEE" w:rsidRDefault="00A22492">
      <w:pPr>
        <w:widowControl w:val="0"/>
        <w:spacing w:before="120"/>
        <w:ind w:firstLine="567"/>
        <w:jc w:val="both"/>
        <w:rPr>
          <w:color w:val="000000"/>
          <w:sz w:val="24"/>
          <w:szCs w:val="24"/>
        </w:rPr>
      </w:pPr>
      <w:r>
        <w:rPr>
          <w:color w:val="000000"/>
          <w:sz w:val="24"/>
          <w:szCs w:val="24"/>
        </w:rPr>
        <w:t>Болотный заказник "Заозерский" учрежден постановлением Совета Министров Коми АССР от 26.09.89 с целью сохранения эталона среднетаежного ландшафта долины р. Сысолы.</w:t>
      </w:r>
    </w:p>
    <w:p w:rsidR="00A91DEE" w:rsidRDefault="00A22492">
      <w:pPr>
        <w:widowControl w:val="0"/>
        <w:spacing w:before="120"/>
        <w:ind w:firstLine="567"/>
        <w:jc w:val="both"/>
        <w:rPr>
          <w:color w:val="000000"/>
          <w:sz w:val="24"/>
          <w:szCs w:val="24"/>
        </w:rPr>
      </w:pPr>
      <w:r>
        <w:rPr>
          <w:color w:val="000000"/>
          <w:sz w:val="24"/>
          <w:szCs w:val="24"/>
        </w:rPr>
        <w:t xml:space="preserve">Болотный памятник природы "Исаневское" учрежден постановлением Совета Министров Коми АССР №193 от 26.09.89 с целью охраны болота - клюквенника, являющегося кормовой базой боровой дичи. И т.д. </w:t>
      </w:r>
    </w:p>
    <w:p w:rsidR="00A91DEE" w:rsidRDefault="00A22492">
      <w:pPr>
        <w:widowControl w:val="0"/>
        <w:spacing w:before="120"/>
        <w:ind w:firstLine="567"/>
        <w:jc w:val="both"/>
        <w:rPr>
          <w:color w:val="000000"/>
          <w:sz w:val="24"/>
          <w:szCs w:val="24"/>
        </w:rPr>
      </w:pPr>
      <w:r>
        <w:rPr>
          <w:color w:val="000000"/>
          <w:sz w:val="24"/>
          <w:szCs w:val="24"/>
        </w:rPr>
        <w:t>Остальные болотные и водные заказники созданы для сохранения клюквенников, их воспроизводства и условий произрастания; озер, на которых гнездятся перелетные водоплавающие птицы; богатый животный и растительный мир; для поддержания общего экологического равновесия.</w:t>
      </w:r>
    </w:p>
    <w:p w:rsidR="00A91DEE" w:rsidRDefault="00A22492">
      <w:pPr>
        <w:widowControl w:val="0"/>
        <w:spacing w:before="120"/>
        <w:jc w:val="center"/>
        <w:rPr>
          <w:b/>
          <w:bCs/>
          <w:color w:val="000000"/>
          <w:sz w:val="28"/>
          <w:szCs w:val="28"/>
        </w:rPr>
      </w:pPr>
      <w:r>
        <w:rPr>
          <w:b/>
          <w:bCs/>
          <w:color w:val="000000"/>
          <w:sz w:val="28"/>
          <w:szCs w:val="28"/>
        </w:rPr>
        <w:t>3 ЗЕМЕЛЬНЫЕ РЕСУРСЫ И НЕДРА, ИХ ИСПОЛЬЗОВАНИЕ И СОСТОЯНИЕ</w:t>
      </w:r>
    </w:p>
    <w:p w:rsidR="00A91DEE" w:rsidRDefault="00A22492">
      <w:pPr>
        <w:widowControl w:val="0"/>
        <w:spacing w:before="120"/>
        <w:ind w:firstLine="567"/>
        <w:jc w:val="both"/>
        <w:rPr>
          <w:color w:val="000000"/>
          <w:sz w:val="24"/>
          <w:szCs w:val="24"/>
        </w:rPr>
      </w:pPr>
      <w:r>
        <w:rPr>
          <w:color w:val="000000"/>
          <w:sz w:val="24"/>
          <w:szCs w:val="24"/>
        </w:rPr>
        <w:t xml:space="preserve">Общая площадь республики по состоянию на 01.01.97 г. составляет 41677,4 тыс. га. На ее территории зарегистрировано 827 населенных пункта, включал восемь городов республиканского и два - районного подчинения (гг. Микунь и Емва), а также 33 рабочих поселка и 784 сельских населенных пункта на восьми территориях административного управления городов и 12 административных районах: Воркута - 2418,0, Вуктыл - 2245,3, Инта - 3009,7, Печора- 2892,3, Сосногорск - 1648,5, Сыктывкар - 73,3, Усинск - 3056,4. Ухта - 1323,2; Ижемский - 1843,6, Княжпогостский -2461,6, Койгородский - 1041,6, Корткеросский - 1974,8, Прилузский - 1316,8, Сыктывдинский - 740,5, Сысольский - 614,0, Троицко-Печорский - 4070,8, Удорский - 3581,6, Усть-Вымский - 477,5, Усть-Куломский - 2636,8, Усть-Цилемский - 4251,1 тыс. га. </w:t>
      </w:r>
    </w:p>
    <w:p w:rsidR="00A91DEE" w:rsidRDefault="00A22492">
      <w:pPr>
        <w:widowControl w:val="0"/>
        <w:spacing w:before="120"/>
        <w:ind w:firstLine="567"/>
        <w:jc w:val="both"/>
        <w:rPr>
          <w:color w:val="000000"/>
          <w:sz w:val="24"/>
          <w:szCs w:val="24"/>
        </w:rPr>
      </w:pPr>
      <w:r>
        <w:rPr>
          <w:color w:val="000000"/>
          <w:sz w:val="24"/>
          <w:szCs w:val="24"/>
        </w:rPr>
        <w:t>Таблица 2</w:t>
      </w:r>
    </w:p>
    <w:p w:rsidR="00A91DEE" w:rsidRDefault="00A22492">
      <w:pPr>
        <w:widowControl w:val="0"/>
        <w:spacing w:before="120"/>
        <w:ind w:firstLine="567"/>
        <w:jc w:val="both"/>
        <w:rPr>
          <w:color w:val="000000"/>
          <w:sz w:val="24"/>
          <w:szCs w:val="24"/>
        </w:rPr>
      </w:pPr>
      <w:r>
        <w:rPr>
          <w:color w:val="000000"/>
          <w:sz w:val="24"/>
          <w:szCs w:val="24"/>
        </w:rPr>
        <w:t xml:space="preserve">Структура земельных угодий Республики Коми, тыс. га [2; </w:t>
      </w:r>
      <w:r>
        <w:rPr>
          <w:color w:val="000000"/>
          <w:sz w:val="24"/>
          <w:szCs w:val="24"/>
          <w:lang w:val="en-US"/>
        </w:rPr>
        <w:t>C</w:t>
      </w:r>
      <w:r>
        <w:rPr>
          <w:color w:val="000000"/>
          <w:sz w:val="24"/>
          <w:szCs w:val="24"/>
        </w:rPr>
        <w:t>. 43]</w:t>
      </w:r>
    </w:p>
    <w:p w:rsidR="00A91DEE" w:rsidRDefault="00A91DEE">
      <w:pPr>
        <w:widowControl w:val="0"/>
        <w:spacing w:before="120"/>
        <w:ind w:firstLine="567"/>
        <w:jc w:val="both"/>
        <w:rPr>
          <w:color w:val="000000"/>
          <w:sz w:val="24"/>
          <w:szCs w:val="24"/>
        </w:rPr>
      </w:pPr>
    </w:p>
    <w:tbl>
      <w:tblPr>
        <w:tblW w:w="0" w:type="auto"/>
        <w:tblInd w:w="-108" w:type="dxa"/>
        <w:tblLayout w:type="fixed"/>
        <w:tblLook w:val="0000" w:firstRow="0" w:lastRow="0" w:firstColumn="0" w:lastColumn="0" w:noHBand="0" w:noVBand="0"/>
      </w:tblPr>
      <w:tblGrid>
        <w:gridCol w:w="1065"/>
        <w:gridCol w:w="1595"/>
        <w:gridCol w:w="850"/>
        <w:gridCol w:w="788"/>
        <w:gridCol w:w="863"/>
        <w:gridCol w:w="21"/>
        <w:gridCol w:w="841"/>
        <w:gridCol w:w="36"/>
        <w:gridCol w:w="854"/>
        <w:gridCol w:w="993"/>
        <w:gridCol w:w="992"/>
        <w:gridCol w:w="142"/>
      </w:tblGrid>
      <w:tr w:rsidR="00A91DEE">
        <w:trPr>
          <w:gridAfter w:val="1"/>
          <w:wAfter w:w="142" w:type="dxa"/>
        </w:trPr>
        <w:tc>
          <w:tcPr>
            <w:tcW w:w="1065" w:type="dxa"/>
            <w:tcBorders>
              <w:top w:val="single" w:sz="6" w:space="0" w:color="auto"/>
              <w:left w:val="nil"/>
              <w:bottom w:val="nil"/>
              <w:right w:val="nil"/>
            </w:tcBorders>
          </w:tcPr>
          <w:p w:rsidR="00A91DEE" w:rsidRDefault="00A91DEE">
            <w:pPr>
              <w:widowControl w:val="0"/>
              <w:jc w:val="both"/>
              <w:rPr>
                <w:color w:val="000000"/>
                <w:sz w:val="24"/>
                <w:szCs w:val="24"/>
              </w:rPr>
            </w:pPr>
          </w:p>
        </w:tc>
        <w:tc>
          <w:tcPr>
            <w:tcW w:w="1595" w:type="dxa"/>
            <w:tcBorders>
              <w:top w:val="single" w:sz="6" w:space="0" w:color="auto"/>
              <w:left w:val="nil"/>
              <w:bottom w:val="nil"/>
              <w:right w:val="nil"/>
            </w:tcBorders>
          </w:tcPr>
          <w:p w:rsidR="00A91DEE" w:rsidRDefault="00A91DEE">
            <w:pPr>
              <w:widowControl w:val="0"/>
              <w:jc w:val="both"/>
              <w:rPr>
                <w:color w:val="000000"/>
                <w:sz w:val="24"/>
                <w:szCs w:val="24"/>
              </w:rPr>
            </w:pPr>
          </w:p>
        </w:tc>
        <w:tc>
          <w:tcPr>
            <w:tcW w:w="850" w:type="dxa"/>
            <w:tcBorders>
              <w:top w:val="single" w:sz="6" w:space="0" w:color="auto"/>
              <w:left w:val="single" w:sz="6" w:space="0" w:color="auto"/>
              <w:bottom w:val="nil"/>
              <w:right w:val="single" w:sz="6" w:space="0" w:color="auto"/>
            </w:tcBorders>
          </w:tcPr>
          <w:p w:rsidR="00A91DEE" w:rsidRDefault="00A91DEE">
            <w:pPr>
              <w:widowControl w:val="0"/>
              <w:jc w:val="both"/>
              <w:rPr>
                <w:color w:val="000000"/>
                <w:sz w:val="24"/>
                <w:szCs w:val="24"/>
              </w:rPr>
            </w:pPr>
          </w:p>
        </w:tc>
        <w:tc>
          <w:tcPr>
            <w:tcW w:w="788" w:type="dxa"/>
            <w:tcBorders>
              <w:top w:val="single" w:sz="6" w:space="0" w:color="auto"/>
              <w:left w:val="nil"/>
              <w:bottom w:val="nil"/>
              <w:right w:val="nil"/>
            </w:tcBorders>
          </w:tcPr>
          <w:p w:rsidR="00A91DEE" w:rsidRDefault="00A91DEE">
            <w:pPr>
              <w:widowControl w:val="0"/>
              <w:jc w:val="both"/>
              <w:rPr>
                <w:color w:val="000000"/>
                <w:sz w:val="24"/>
                <w:szCs w:val="24"/>
              </w:rPr>
            </w:pPr>
          </w:p>
        </w:tc>
        <w:tc>
          <w:tcPr>
            <w:tcW w:w="884" w:type="dxa"/>
            <w:gridSpan w:val="2"/>
            <w:tcBorders>
              <w:top w:val="single" w:sz="6" w:space="0" w:color="auto"/>
              <w:left w:val="single" w:sz="6" w:space="0" w:color="auto"/>
              <w:bottom w:val="nil"/>
              <w:right w:val="single" w:sz="6" w:space="0" w:color="auto"/>
            </w:tcBorders>
          </w:tcPr>
          <w:p w:rsidR="00A91DEE" w:rsidRDefault="00A91DEE">
            <w:pPr>
              <w:widowControl w:val="0"/>
              <w:jc w:val="both"/>
              <w:rPr>
                <w:color w:val="000000"/>
                <w:sz w:val="24"/>
                <w:szCs w:val="24"/>
              </w:rPr>
            </w:pPr>
          </w:p>
        </w:tc>
        <w:tc>
          <w:tcPr>
            <w:tcW w:w="841" w:type="dxa"/>
            <w:tcBorders>
              <w:top w:val="single" w:sz="6" w:space="0" w:color="auto"/>
              <w:left w:val="nil"/>
              <w:bottom w:val="nil"/>
              <w:right w:val="single" w:sz="6" w:space="0" w:color="auto"/>
            </w:tcBorders>
          </w:tcPr>
          <w:p w:rsidR="00A91DEE" w:rsidRDefault="00A91DEE">
            <w:pPr>
              <w:widowControl w:val="0"/>
              <w:jc w:val="both"/>
              <w:rPr>
                <w:color w:val="000000"/>
                <w:sz w:val="24"/>
                <w:szCs w:val="24"/>
              </w:rPr>
            </w:pPr>
          </w:p>
        </w:tc>
        <w:tc>
          <w:tcPr>
            <w:tcW w:w="2875" w:type="dxa"/>
            <w:gridSpan w:val="4"/>
            <w:tcBorders>
              <w:top w:val="single" w:sz="6" w:space="0" w:color="auto"/>
              <w:left w:val="nil"/>
              <w:bottom w:val="nil"/>
              <w:right w:val="nil"/>
            </w:tcBorders>
          </w:tcPr>
          <w:p w:rsidR="00A91DEE" w:rsidRDefault="00A22492">
            <w:pPr>
              <w:widowControl w:val="0"/>
              <w:jc w:val="both"/>
              <w:rPr>
                <w:color w:val="000000"/>
                <w:sz w:val="24"/>
                <w:szCs w:val="24"/>
              </w:rPr>
            </w:pPr>
            <w:r>
              <w:rPr>
                <w:color w:val="000000"/>
                <w:sz w:val="24"/>
                <w:szCs w:val="24"/>
              </w:rPr>
              <w:t>1996 г.</w:t>
            </w: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Вид угодий </w:t>
            </w:r>
          </w:p>
        </w:tc>
        <w:tc>
          <w:tcPr>
            <w:tcW w:w="850" w:type="dxa"/>
            <w:tcBorders>
              <w:top w:val="nil"/>
              <w:left w:val="single" w:sz="6" w:space="0" w:color="auto"/>
              <w:bottom w:val="nil"/>
              <w:right w:val="single" w:sz="6" w:space="0" w:color="auto"/>
            </w:tcBorders>
          </w:tcPr>
          <w:p w:rsidR="00A91DEE" w:rsidRDefault="00A22492">
            <w:pPr>
              <w:widowControl w:val="0"/>
              <w:jc w:val="both"/>
              <w:rPr>
                <w:color w:val="000000"/>
                <w:sz w:val="24"/>
                <w:szCs w:val="24"/>
              </w:rPr>
            </w:pPr>
            <w:r>
              <w:rPr>
                <w:color w:val="000000"/>
                <w:sz w:val="24"/>
                <w:szCs w:val="24"/>
              </w:rPr>
              <w:t>1992г.</w:t>
            </w:r>
          </w:p>
        </w:tc>
        <w:tc>
          <w:tcPr>
            <w:tcW w:w="788" w:type="dxa"/>
            <w:tcBorders>
              <w:top w:val="nil"/>
              <w:left w:val="single" w:sz="6" w:space="0" w:color="auto"/>
              <w:bottom w:val="nil"/>
              <w:right w:val="single" w:sz="6" w:space="0" w:color="auto"/>
            </w:tcBorders>
          </w:tcPr>
          <w:p w:rsidR="00A91DEE" w:rsidRDefault="00A22492">
            <w:pPr>
              <w:widowControl w:val="0"/>
              <w:jc w:val="both"/>
              <w:rPr>
                <w:color w:val="000000"/>
                <w:sz w:val="24"/>
                <w:szCs w:val="24"/>
              </w:rPr>
            </w:pPr>
            <w:r>
              <w:rPr>
                <w:color w:val="000000"/>
                <w:sz w:val="24"/>
                <w:szCs w:val="24"/>
              </w:rPr>
              <w:t>1993г.</w:t>
            </w:r>
          </w:p>
        </w:tc>
        <w:tc>
          <w:tcPr>
            <w:tcW w:w="884" w:type="dxa"/>
            <w:gridSpan w:val="2"/>
            <w:tcBorders>
              <w:top w:val="nil"/>
              <w:left w:val="single" w:sz="6" w:space="0" w:color="auto"/>
              <w:bottom w:val="nil"/>
              <w:right w:val="single" w:sz="6" w:space="0" w:color="auto"/>
            </w:tcBorders>
          </w:tcPr>
          <w:p w:rsidR="00A91DEE" w:rsidRDefault="00A22492">
            <w:pPr>
              <w:widowControl w:val="0"/>
              <w:jc w:val="both"/>
              <w:rPr>
                <w:color w:val="000000"/>
                <w:sz w:val="24"/>
                <w:szCs w:val="24"/>
              </w:rPr>
            </w:pPr>
            <w:r>
              <w:rPr>
                <w:color w:val="000000"/>
                <w:sz w:val="24"/>
                <w:szCs w:val="24"/>
              </w:rPr>
              <w:t>1994г.</w:t>
            </w:r>
          </w:p>
        </w:tc>
        <w:tc>
          <w:tcPr>
            <w:tcW w:w="841" w:type="dxa"/>
            <w:tcBorders>
              <w:top w:val="nil"/>
              <w:left w:val="single" w:sz="6" w:space="0" w:color="auto"/>
              <w:bottom w:val="nil"/>
              <w:right w:val="single" w:sz="6" w:space="0" w:color="auto"/>
            </w:tcBorders>
          </w:tcPr>
          <w:p w:rsidR="00A91DEE" w:rsidRDefault="00A22492">
            <w:pPr>
              <w:widowControl w:val="0"/>
              <w:jc w:val="both"/>
              <w:rPr>
                <w:color w:val="000000"/>
                <w:sz w:val="24"/>
                <w:szCs w:val="24"/>
              </w:rPr>
            </w:pPr>
            <w:r>
              <w:rPr>
                <w:color w:val="000000"/>
                <w:sz w:val="24"/>
                <w:szCs w:val="24"/>
              </w:rPr>
              <w:t>1995г.</w:t>
            </w:r>
          </w:p>
        </w:tc>
        <w:tc>
          <w:tcPr>
            <w:tcW w:w="890" w:type="dxa"/>
            <w:gridSpan w:val="2"/>
            <w:tcBorders>
              <w:top w:val="single" w:sz="6" w:space="0" w:color="auto"/>
              <w:left w:val="single" w:sz="6" w:space="0" w:color="auto"/>
              <w:bottom w:val="nil"/>
              <w:right w:val="single" w:sz="6" w:space="0" w:color="auto"/>
            </w:tcBorders>
          </w:tcPr>
          <w:p w:rsidR="00A91DEE" w:rsidRDefault="00A22492">
            <w:pPr>
              <w:widowControl w:val="0"/>
              <w:jc w:val="both"/>
              <w:rPr>
                <w:color w:val="000000"/>
                <w:sz w:val="24"/>
                <w:szCs w:val="24"/>
              </w:rPr>
            </w:pPr>
            <w:r>
              <w:rPr>
                <w:color w:val="000000"/>
                <w:sz w:val="24"/>
                <w:szCs w:val="24"/>
              </w:rPr>
              <w:t>тыс. га</w:t>
            </w:r>
          </w:p>
        </w:tc>
        <w:tc>
          <w:tcPr>
            <w:tcW w:w="993" w:type="dxa"/>
            <w:tcBorders>
              <w:top w:val="single" w:sz="6" w:space="0" w:color="auto"/>
              <w:left w:val="single" w:sz="6" w:space="0" w:color="auto"/>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 к общей площади</w:t>
            </w:r>
          </w:p>
        </w:tc>
        <w:tc>
          <w:tcPr>
            <w:tcW w:w="992" w:type="dxa"/>
            <w:tcBorders>
              <w:top w:val="single" w:sz="6" w:space="0" w:color="auto"/>
              <w:left w:val="single" w:sz="6" w:space="0" w:color="auto"/>
              <w:bottom w:val="nil"/>
              <w:right w:val="nil"/>
            </w:tcBorders>
          </w:tcPr>
          <w:p w:rsidR="00A91DEE" w:rsidRDefault="00A22492">
            <w:pPr>
              <w:widowControl w:val="0"/>
              <w:jc w:val="both"/>
              <w:rPr>
                <w:color w:val="000000"/>
                <w:sz w:val="24"/>
                <w:szCs w:val="24"/>
              </w:rPr>
            </w:pPr>
            <w:r>
              <w:rPr>
                <w:color w:val="000000"/>
                <w:sz w:val="24"/>
                <w:szCs w:val="24"/>
              </w:rPr>
              <w:t>%к площади с/х угодий</w:t>
            </w:r>
          </w:p>
        </w:tc>
      </w:tr>
      <w:tr w:rsidR="00A91DEE">
        <w:tblPrEx>
          <w:tblCellMar>
            <w:left w:w="107" w:type="dxa"/>
            <w:right w:w="107" w:type="dxa"/>
          </w:tblCellMar>
        </w:tblPrEx>
        <w:trPr>
          <w:gridAfter w:val="1"/>
          <w:wAfter w:w="142" w:type="dxa"/>
          <w:trHeight w:val="240"/>
        </w:trPr>
        <w:tc>
          <w:tcPr>
            <w:tcW w:w="2660" w:type="dxa"/>
            <w:gridSpan w:val="2"/>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Пашня</w:t>
            </w:r>
          </w:p>
        </w:tc>
        <w:tc>
          <w:tcPr>
            <w:tcW w:w="850"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94,6</w:t>
            </w:r>
          </w:p>
        </w:tc>
        <w:tc>
          <w:tcPr>
            <w:tcW w:w="788"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94,6</w:t>
            </w:r>
          </w:p>
        </w:tc>
        <w:tc>
          <w:tcPr>
            <w:tcW w:w="884" w:type="dxa"/>
            <w:gridSpan w:val="2"/>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94,2</w:t>
            </w:r>
          </w:p>
        </w:tc>
        <w:tc>
          <w:tcPr>
            <w:tcW w:w="841"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93,9</w:t>
            </w:r>
          </w:p>
        </w:tc>
        <w:tc>
          <w:tcPr>
            <w:tcW w:w="890" w:type="dxa"/>
            <w:gridSpan w:val="2"/>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93,8</w:t>
            </w:r>
          </w:p>
        </w:tc>
        <w:tc>
          <w:tcPr>
            <w:tcW w:w="993"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0,2</w:t>
            </w:r>
          </w:p>
        </w:tc>
        <w:tc>
          <w:tcPr>
            <w:tcW w:w="992" w:type="dxa"/>
            <w:tcBorders>
              <w:top w:val="single" w:sz="6" w:space="0" w:color="auto"/>
              <w:left w:val="nil"/>
              <w:bottom w:val="nil"/>
              <w:right w:val="nil"/>
            </w:tcBorders>
          </w:tcPr>
          <w:p w:rsidR="00A91DEE" w:rsidRDefault="00A22492">
            <w:pPr>
              <w:widowControl w:val="0"/>
              <w:jc w:val="both"/>
              <w:rPr>
                <w:color w:val="000000"/>
                <w:sz w:val="24"/>
                <w:szCs w:val="24"/>
              </w:rPr>
            </w:pPr>
            <w:r>
              <w:rPr>
                <w:color w:val="000000"/>
                <w:sz w:val="24"/>
                <w:szCs w:val="24"/>
              </w:rPr>
              <w:t xml:space="preserve"> 23,5</w:t>
            </w: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Сенокос</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234,5</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236,9</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237,1</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236,9</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236,8</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0,6</w:t>
            </w:r>
          </w:p>
        </w:tc>
        <w:tc>
          <w:tcPr>
            <w:tcW w:w="992"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59,3</w:t>
            </w: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Пастбища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68,2</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68,1</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68,2</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68,4</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68,5</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0,2</w:t>
            </w:r>
          </w:p>
        </w:tc>
        <w:tc>
          <w:tcPr>
            <w:tcW w:w="992"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17,2</w:t>
            </w:r>
          </w:p>
        </w:tc>
      </w:tr>
      <w:tr w:rsidR="00A91DEE">
        <w:tblPrEx>
          <w:tblCellMar>
            <w:left w:w="107" w:type="dxa"/>
            <w:right w:w="107" w:type="dxa"/>
          </w:tblCellMar>
        </w:tblPrEx>
        <w:trPr>
          <w:gridAfter w:val="1"/>
          <w:wAfter w:w="142" w:type="dxa"/>
          <w:trHeight w:val="240"/>
        </w:trPr>
        <w:tc>
          <w:tcPr>
            <w:tcW w:w="2660" w:type="dxa"/>
            <w:gridSpan w:val="2"/>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Итого</w:t>
            </w:r>
          </w:p>
        </w:tc>
        <w:tc>
          <w:tcPr>
            <w:tcW w:w="850"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 397,3</w:t>
            </w:r>
          </w:p>
        </w:tc>
        <w:tc>
          <w:tcPr>
            <w:tcW w:w="788"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399,6</w:t>
            </w:r>
          </w:p>
        </w:tc>
        <w:tc>
          <w:tcPr>
            <w:tcW w:w="884" w:type="dxa"/>
            <w:gridSpan w:val="2"/>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 399,5</w:t>
            </w:r>
          </w:p>
        </w:tc>
        <w:tc>
          <w:tcPr>
            <w:tcW w:w="841"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 399,2</w:t>
            </w:r>
          </w:p>
        </w:tc>
        <w:tc>
          <w:tcPr>
            <w:tcW w:w="890" w:type="dxa"/>
            <w:gridSpan w:val="2"/>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 399,1</w:t>
            </w:r>
          </w:p>
        </w:tc>
        <w:tc>
          <w:tcPr>
            <w:tcW w:w="993" w:type="dxa"/>
            <w:tcBorders>
              <w:top w:val="single" w:sz="6" w:space="0" w:color="auto"/>
              <w:left w:val="nil"/>
              <w:bottom w:val="single" w:sz="6" w:space="0" w:color="auto"/>
              <w:right w:val="single" w:sz="6" w:space="0" w:color="auto"/>
            </w:tcBorders>
          </w:tcPr>
          <w:p w:rsidR="00A91DEE" w:rsidRDefault="00A22492">
            <w:pPr>
              <w:widowControl w:val="0"/>
              <w:jc w:val="both"/>
              <w:rPr>
                <w:color w:val="000000"/>
                <w:sz w:val="24"/>
                <w:szCs w:val="24"/>
              </w:rPr>
            </w:pPr>
            <w:r>
              <w:rPr>
                <w:color w:val="000000"/>
                <w:sz w:val="24"/>
                <w:szCs w:val="24"/>
              </w:rPr>
              <w:t xml:space="preserve"> 1,0</w:t>
            </w:r>
          </w:p>
        </w:tc>
        <w:tc>
          <w:tcPr>
            <w:tcW w:w="992" w:type="dxa"/>
            <w:tcBorders>
              <w:top w:val="single" w:sz="6" w:space="0" w:color="auto"/>
              <w:left w:val="nil"/>
              <w:bottom w:val="single" w:sz="6" w:space="0" w:color="auto"/>
              <w:right w:val="nil"/>
            </w:tcBorders>
          </w:tcPr>
          <w:p w:rsidR="00A91DEE" w:rsidRDefault="00A22492">
            <w:pPr>
              <w:widowControl w:val="0"/>
              <w:jc w:val="both"/>
              <w:rPr>
                <w:color w:val="000000"/>
                <w:sz w:val="24"/>
                <w:szCs w:val="24"/>
              </w:rPr>
            </w:pPr>
            <w:r>
              <w:rPr>
                <w:color w:val="000000"/>
                <w:sz w:val="24"/>
                <w:szCs w:val="24"/>
              </w:rPr>
              <w:t xml:space="preserve"> 100,0</w:t>
            </w: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Приусадебные земли</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16,1</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16,3</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16,1</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17,2</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16,9</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Коллективные сады и огороды</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7,9</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8,2</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8,5</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8,4</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12,5</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Всего с/х угодий</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415,7</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418,6</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418,9</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419,3</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419,3</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1,0</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Земли в стадии мелиоративного строительства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0,5</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0,7</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1,1</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1,3</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1,1</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Лесные площади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28072,6</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28079,4</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28081,0</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26233,9</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26234,8</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62,9</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покрытые лесом</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27396,7</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27314,4</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27392,4</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25613,3</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25612,5</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61,5</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Древесно-кустарниковая растительность</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133,4</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133,6</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132,2</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132,0</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130,5</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0,3</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Болота</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4075,0</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4075,7</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4075,7</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3245,2</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3254,2</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7,8</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Под водой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622,9</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629,3</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630,1</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633,9</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634,9</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1,5</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Оленьи пастбища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6837,5</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6837,4</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6836,5 </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9499,9</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9499,6</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22,8</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Под площадями, улицами, дорогами, прогонами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169,1</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157,2</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157,3</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157,0</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154,8</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0,4</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Парки, скверы, ботсады, бульвары</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0,2</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gridAfter w:val="1"/>
          <w:wAfter w:w="142" w:type="dxa"/>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Застроенные территории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28,9</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37,2</w:t>
            </w:r>
          </w:p>
        </w:tc>
        <w:tc>
          <w:tcPr>
            <w:tcW w:w="884"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42,2 </w:t>
            </w:r>
          </w:p>
        </w:tc>
        <w:tc>
          <w:tcPr>
            <w:tcW w:w="841"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41,0</w:t>
            </w:r>
          </w:p>
        </w:tc>
        <w:tc>
          <w:tcPr>
            <w:tcW w:w="89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41,1</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0,1</w:t>
            </w:r>
          </w:p>
        </w:tc>
        <w:tc>
          <w:tcPr>
            <w:tcW w:w="992" w:type="dxa"/>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trHeight w:val="240"/>
        </w:trPr>
        <w:tc>
          <w:tcPr>
            <w:tcW w:w="2660" w:type="dxa"/>
            <w:gridSpan w:val="2"/>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Нарушенные земли </w:t>
            </w:r>
          </w:p>
        </w:tc>
        <w:tc>
          <w:tcPr>
            <w:tcW w:w="850"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13,4 </w:t>
            </w:r>
          </w:p>
        </w:tc>
        <w:tc>
          <w:tcPr>
            <w:tcW w:w="788"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17,0</w:t>
            </w:r>
          </w:p>
        </w:tc>
        <w:tc>
          <w:tcPr>
            <w:tcW w:w="863"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16,5</w:t>
            </w:r>
          </w:p>
        </w:tc>
        <w:tc>
          <w:tcPr>
            <w:tcW w:w="898" w:type="dxa"/>
            <w:gridSpan w:val="3"/>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16,8</w:t>
            </w:r>
          </w:p>
        </w:tc>
        <w:tc>
          <w:tcPr>
            <w:tcW w:w="854"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14,0</w:t>
            </w:r>
          </w:p>
        </w:tc>
        <w:tc>
          <w:tcPr>
            <w:tcW w:w="993"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0,0</w:t>
            </w:r>
          </w:p>
        </w:tc>
        <w:tc>
          <w:tcPr>
            <w:tcW w:w="1134" w:type="dxa"/>
            <w:gridSpan w:val="2"/>
            <w:tcBorders>
              <w:top w:val="single" w:sz="6" w:space="0" w:color="auto"/>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trHeight w:val="240"/>
        </w:trPr>
        <w:tc>
          <w:tcPr>
            <w:tcW w:w="2660" w:type="dxa"/>
            <w:gridSpan w:val="2"/>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Прочие земли </w:t>
            </w:r>
          </w:p>
        </w:tc>
        <w:tc>
          <w:tcPr>
            <w:tcW w:w="85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1302,7 </w:t>
            </w:r>
          </w:p>
        </w:tc>
        <w:tc>
          <w:tcPr>
            <w:tcW w:w="788"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1285,8</w:t>
            </w:r>
          </w:p>
        </w:tc>
        <w:tc>
          <w:tcPr>
            <w:tcW w:w="86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1280,5</w:t>
            </w:r>
          </w:p>
        </w:tc>
        <w:tc>
          <w:tcPr>
            <w:tcW w:w="898" w:type="dxa"/>
            <w:gridSpan w:val="3"/>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1282,6</w:t>
            </w:r>
          </w:p>
        </w:tc>
        <w:tc>
          <w:tcPr>
            <w:tcW w:w="854"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1281,6</w:t>
            </w:r>
          </w:p>
        </w:tc>
        <w:tc>
          <w:tcPr>
            <w:tcW w:w="993"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3,1</w:t>
            </w:r>
          </w:p>
        </w:tc>
        <w:tc>
          <w:tcPr>
            <w:tcW w:w="1134" w:type="dxa"/>
            <w:gridSpan w:val="2"/>
            <w:tcBorders>
              <w:top w:val="nil"/>
              <w:left w:val="nil"/>
              <w:bottom w:val="nil"/>
              <w:right w:val="nil"/>
            </w:tcBorders>
          </w:tcPr>
          <w:p w:rsidR="00A91DEE" w:rsidRDefault="00A91DEE">
            <w:pPr>
              <w:widowControl w:val="0"/>
              <w:jc w:val="both"/>
              <w:rPr>
                <w:color w:val="000000"/>
                <w:sz w:val="24"/>
                <w:szCs w:val="24"/>
              </w:rPr>
            </w:pPr>
          </w:p>
        </w:tc>
      </w:tr>
      <w:tr w:rsidR="00A91DEE">
        <w:tblPrEx>
          <w:tblCellMar>
            <w:left w:w="107" w:type="dxa"/>
            <w:right w:w="107" w:type="dxa"/>
          </w:tblCellMar>
        </w:tblPrEx>
        <w:trPr>
          <w:trHeight w:val="240"/>
        </w:trPr>
        <w:tc>
          <w:tcPr>
            <w:tcW w:w="2660" w:type="dxa"/>
            <w:gridSpan w:val="2"/>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Всего земель </w:t>
            </w:r>
          </w:p>
        </w:tc>
        <w:tc>
          <w:tcPr>
            <w:tcW w:w="850"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41677,4</w:t>
            </w:r>
          </w:p>
        </w:tc>
        <w:tc>
          <w:tcPr>
            <w:tcW w:w="788"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41677,4</w:t>
            </w:r>
          </w:p>
        </w:tc>
        <w:tc>
          <w:tcPr>
            <w:tcW w:w="863"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41677,4</w:t>
            </w:r>
          </w:p>
        </w:tc>
        <w:tc>
          <w:tcPr>
            <w:tcW w:w="898" w:type="dxa"/>
            <w:gridSpan w:val="3"/>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41677,4</w:t>
            </w:r>
          </w:p>
        </w:tc>
        <w:tc>
          <w:tcPr>
            <w:tcW w:w="854"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41677,4</w:t>
            </w:r>
          </w:p>
        </w:tc>
        <w:tc>
          <w:tcPr>
            <w:tcW w:w="993"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100,0</w:t>
            </w:r>
          </w:p>
        </w:tc>
        <w:tc>
          <w:tcPr>
            <w:tcW w:w="1134" w:type="dxa"/>
            <w:gridSpan w:val="2"/>
            <w:tcBorders>
              <w:top w:val="single" w:sz="6" w:space="0" w:color="auto"/>
              <w:left w:val="nil"/>
              <w:bottom w:val="nil"/>
              <w:right w:val="nil"/>
            </w:tcBorders>
          </w:tcPr>
          <w:p w:rsidR="00A91DEE" w:rsidRDefault="00A22492">
            <w:pPr>
              <w:widowControl w:val="0"/>
              <w:jc w:val="both"/>
              <w:rPr>
                <w:color w:val="000000"/>
                <w:sz w:val="24"/>
                <w:szCs w:val="24"/>
              </w:rPr>
            </w:pPr>
            <w:r>
              <w:rPr>
                <w:color w:val="000000"/>
                <w:sz w:val="24"/>
                <w:szCs w:val="24"/>
              </w:rPr>
              <w:t>100,0</w:t>
            </w:r>
          </w:p>
        </w:tc>
      </w:tr>
    </w:tbl>
    <w:p w:rsidR="00A91DEE" w:rsidRDefault="00A91DEE">
      <w:pPr>
        <w:widowControl w:val="0"/>
        <w:spacing w:before="120"/>
        <w:ind w:firstLine="567"/>
        <w:jc w:val="both"/>
        <w:rPr>
          <w:color w:val="000000"/>
          <w:sz w:val="24"/>
          <w:szCs w:val="24"/>
        </w:rPr>
      </w:pPr>
    </w:p>
    <w:p w:rsidR="00A91DEE" w:rsidRDefault="00A22492">
      <w:pPr>
        <w:widowControl w:val="0"/>
        <w:spacing w:before="120"/>
        <w:ind w:firstLine="567"/>
        <w:jc w:val="both"/>
        <w:rPr>
          <w:color w:val="000000"/>
          <w:sz w:val="24"/>
          <w:szCs w:val="24"/>
        </w:rPr>
      </w:pPr>
      <w:r>
        <w:rPr>
          <w:color w:val="000000"/>
          <w:sz w:val="24"/>
          <w:szCs w:val="24"/>
        </w:rPr>
        <w:t>В структуре земельного фонда произошли незначительные изменения. Из общей площади земельных ресурсов республики другими субъектами Российской Федерации используются 3818,7 тыс. га., а на территории сопредельных областей и округов России в пользовании сельскохозяйственных предприятий республики находится 5558,0 тыс. га.</w:t>
      </w:r>
    </w:p>
    <w:p w:rsidR="00A91DEE" w:rsidRDefault="00A22492">
      <w:pPr>
        <w:widowControl w:val="0"/>
        <w:spacing w:before="120"/>
        <w:ind w:firstLine="567"/>
        <w:jc w:val="both"/>
        <w:rPr>
          <w:color w:val="000000"/>
          <w:sz w:val="24"/>
          <w:szCs w:val="24"/>
        </w:rPr>
      </w:pPr>
      <w:r>
        <w:rPr>
          <w:color w:val="000000"/>
          <w:sz w:val="24"/>
          <w:szCs w:val="24"/>
        </w:rPr>
        <w:t xml:space="preserve">Наиболее крупной категорией является лесной фонд - 66,5 % земельного фонда республики (без учета земель предоставленных во временное пользование и долгосрочную аренду). Земли сельскохозяйственных предприятий, организаций и граждан составляют 28,9 % земельного фонда, но при этом площадь сельскохозяйственных угодий составляет лишь 1%. </w:t>
      </w:r>
    </w:p>
    <w:p w:rsidR="00A91DEE" w:rsidRDefault="00A22492">
      <w:pPr>
        <w:widowControl w:val="0"/>
        <w:spacing w:before="120"/>
        <w:ind w:firstLine="567"/>
        <w:jc w:val="both"/>
        <w:rPr>
          <w:color w:val="000000"/>
          <w:sz w:val="24"/>
          <w:szCs w:val="24"/>
        </w:rPr>
      </w:pPr>
      <w:r>
        <w:rPr>
          <w:color w:val="000000"/>
          <w:sz w:val="24"/>
          <w:szCs w:val="24"/>
        </w:rPr>
        <w:t>Важными условиями повышения плодородия северных почв являются внесение минеральных и органических удобрений, известкование и фосфоритирование почв, осушение и проведение культуртехнических работ. Однако сложившаяся экономическая ситуация и неудовлетворительное состояние материально-технической базы в хозяйствах республики не позволяют ежегодно проводить комплекс обязательных агротехнических мероприятий. Все это ведет к деградации почв и потере их плодородия, мелиоративной неустроенности, что в сочетании с неблагоприятными климатическими условиями приводит к ежегодному недобору сельскохозяйственной продукции. Качественное состояние значительной части пашни и кормовых угодий неудовлетворительное. Около 34 % сельскохозяйственных угодий расположено на заболоченных землях. Водной эрозии подвержено 14% пашни, засорено камнями - более 13%.</w:t>
      </w:r>
    </w:p>
    <w:p w:rsidR="00A91DEE" w:rsidRDefault="00A22492">
      <w:pPr>
        <w:widowControl w:val="0"/>
        <w:spacing w:before="120"/>
        <w:ind w:firstLine="567"/>
        <w:jc w:val="both"/>
        <w:rPr>
          <w:color w:val="000000"/>
          <w:sz w:val="24"/>
          <w:szCs w:val="24"/>
        </w:rPr>
      </w:pPr>
      <w:r>
        <w:rPr>
          <w:color w:val="000000"/>
          <w:sz w:val="24"/>
          <w:szCs w:val="24"/>
        </w:rPr>
        <w:t xml:space="preserve">В республике имеется 50,59 тыс. га мелиорированных сельхозугодий, включая пашню - 26,36 (52,1%), сенокосы - 21,36 (42,3) пастбища - 2,69(5,3) тыс. га. Наибольшие площади осушенных земель находятся в районах южной и центральной зон: Сыктывдинский - 12,2, Сысольский - 8,6, Прилузский - 6,3, Усть-Куломский - 4,2 тыс. га. В Койгородском, Корткеросском и Усть-Вымском районах количество неблагополучных земель превышает 30%, Усть-Цилемском, Ухтинском и Вуктыльском - 70%. Из-за отсутствия ухода происходит зарастание открытых каналов кустарником и травянистой растительностью, заиливаются устья закрытых коллекторов и дрен, разрушаются гидротехнические сооружения и дороги. Эффективная эксплуатация осушенных земель невозможна без ежегодного внесения минеральных удобрений и периодического известкования площадей с повышенной кислотностью. Положительные результаты мелиорации земель будут сведены к нулю, если в течение 1997-2000 гг. не будет выполнена программа реконструкции и восстановления осушительных систем и повышения плодородия мелиорируемых земель в соответствии с «Государственной комплексной программой повышения плодородия почв Республики Коми» (Указ Главы Республики Коми № 301 от 29.12.94 г.).[2; </w:t>
      </w:r>
      <w:r>
        <w:rPr>
          <w:color w:val="000000"/>
          <w:sz w:val="24"/>
          <w:szCs w:val="24"/>
          <w:lang w:val="en-US"/>
        </w:rPr>
        <w:t>C</w:t>
      </w:r>
      <w:r>
        <w:rPr>
          <w:color w:val="000000"/>
          <w:sz w:val="24"/>
          <w:szCs w:val="24"/>
        </w:rPr>
        <w:t>. 44]</w:t>
      </w:r>
    </w:p>
    <w:p w:rsidR="00A91DEE" w:rsidRDefault="00A22492">
      <w:pPr>
        <w:widowControl w:val="0"/>
        <w:spacing w:before="120"/>
        <w:ind w:firstLine="567"/>
        <w:jc w:val="both"/>
        <w:rPr>
          <w:color w:val="000000"/>
          <w:sz w:val="24"/>
          <w:szCs w:val="24"/>
        </w:rPr>
      </w:pPr>
      <w:r>
        <w:rPr>
          <w:color w:val="000000"/>
          <w:sz w:val="24"/>
          <w:szCs w:val="24"/>
        </w:rPr>
        <w:t>Надзор за охраной недр, рациональным их использованием проводится в соответствии с Законами Российской Федерации и Республики Коми «О недрах». Положением о федеральном горном и промышленном надзоре России, утвержденным Указом Президента России (№234 от 18.02.93 г.), а также разработанных Госгортехнадзором России «Методических указаний по организации государственного надзора за использованием и охраной недр и маркшейдерского контроля», «Методических указаний по осуществлению государственного надзора за переработкой минерального сырья» и «Методических указаний по выполнению органами Госгортехнадзора России обязанностей по участию в государственной системе лицензирования пользования недрами».</w:t>
      </w:r>
    </w:p>
    <w:p w:rsidR="00A91DEE" w:rsidRDefault="00A22492">
      <w:pPr>
        <w:widowControl w:val="0"/>
        <w:spacing w:before="120"/>
        <w:ind w:firstLine="567"/>
        <w:jc w:val="both"/>
        <w:rPr>
          <w:color w:val="000000"/>
          <w:sz w:val="24"/>
          <w:szCs w:val="24"/>
        </w:rPr>
      </w:pPr>
      <w:r>
        <w:rPr>
          <w:color w:val="000000"/>
          <w:sz w:val="24"/>
          <w:szCs w:val="24"/>
        </w:rPr>
        <w:t>Большинство предприятий, разрабатывающих месторождения общераспространенных полезных ископаемых, не имеют соответствующих геолого-маркшейдерских служб, что не обеспечивает полноту отработки запасов в пределах горных отводов и достоверный учет добытых строительных материалов. Допускается отработка запасов за пределами горных отводов и не соблюдаются проекты на разработку месторождений. Местные органы исполнительной власти должны выдавать лицензии на разработку месторождений общераспространенных полезных ископаемых только тем предприятиям, которые решили вопрос геолого-маркшейдерского обеспечения ведения горных работ либо собственными силами, либо по договору сторонними организациями. Не выполнена рекультивация нарушенных горными работами земель после приостановки ведения геологоразведочных работ и добычи горного хрусталя и жильного кварца на месторождении «Желанное», прекращения добычи золота на участках в бассейне р. Кожим, ликвидации и консервации угольных шахт в г. Воркута, отчуждения геологоразведочными предприятиями для строительства буровых и баз полевых партий и отрядов.</w:t>
      </w:r>
    </w:p>
    <w:p w:rsidR="00A91DEE" w:rsidRDefault="00A22492">
      <w:pPr>
        <w:widowControl w:val="0"/>
        <w:spacing w:before="120"/>
        <w:ind w:firstLine="567"/>
        <w:jc w:val="both"/>
        <w:rPr>
          <w:color w:val="000000"/>
          <w:sz w:val="24"/>
          <w:szCs w:val="24"/>
        </w:rPr>
      </w:pPr>
      <w:r>
        <w:rPr>
          <w:color w:val="000000"/>
          <w:sz w:val="24"/>
          <w:szCs w:val="24"/>
        </w:rPr>
        <w:t>В целом по республике значительные площади нарушенных земель числятся за предприятиями нефтегазовой и угольной отрасли.</w:t>
      </w:r>
    </w:p>
    <w:p w:rsidR="00A91DEE" w:rsidRDefault="00A22492">
      <w:pPr>
        <w:widowControl w:val="0"/>
        <w:spacing w:before="120"/>
        <w:ind w:firstLine="567"/>
        <w:jc w:val="both"/>
        <w:rPr>
          <w:color w:val="000000"/>
          <w:sz w:val="24"/>
          <w:szCs w:val="24"/>
        </w:rPr>
      </w:pPr>
      <w:r>
        <w:rPr>
          <w:color w:val="000000"/>
          <w:sz w:val="24"/>
          <w:szCs w:val="24"/>
        </w:rPr>
        <w:t xml:space="preserve">Проверки показали, что на 1,2 тыс. га земельные участки используются с просроченным сроком пользования, в том числе на площади 1,0 тыс. га не проведены мероприятия по приведению земель в состоянии пригодное для использования в народном хозяйстве. Неудовлетворительное положение складывается в Печорском, Усинском, Интинском и других районах, из-за отсутствия средств работы по рекультивации нарушенных земель предприятиями не выполняются, увеличиваются площади земель с просроченным сроком пользования. Надзор за охраной недр при разведке и разработке нефтяных, газовых и газоконденсатных месторождений выявил, что одной из общих коренных причин выявленных нарушений требований охраны недр является хроническая финансово-экономическая несостоятельность большинства предприятий, не позволяющая держать на должном уровне как исполнение требуемых организационно-технических мероприятий при разработке, пробной эксплуатации, ликвидации и консервации объектов, так и осуществлять эффективный ведомственный контроль за их исполнением.[2; </w:t>
      </w:r>
      <w:r>
        <w:rPr>
          <w:color w:val="000000"/>
          <w:sz w:val="24"/>
          <w:szCs w:val="24"/>
          <w:lang w:val="en-US"/>
        </w:rPr>
        <w:t>C</w:t>
      </w:r>
      <w:r>
        <w:rPr>
          <w:color w:val="000000"/>
          <w:sz w:val="24"/>
          <w:szCs w:val="24"/>
        </w:rPr>
        <w:t>.47]</w:t>
      </w:r>
    </w:p>
    <w:p w:rsidR="00A91DEE" w:rsidRDefault="00A22492">
      <w:pPr>
        <w:widowControl w:val="0"/>
        <w:spacing w:before="120"/>
        <w:ind w:firstLine="567"/>
        <w:jc w:val="both"/>
        <w:rPr>
          <w:color w:val="000000"/>
          <w:sz w:val="24"/>
          <w:szCs w:val="24"/>
        </w:rPr>
      </w:pPr>
      <w:r>
        <w:rPr>
          <w:color w:val="000000"/>
          <w:sz w:val="24"/>
          <w:szCs w:val="24"/>
        </w:rPr>
        <w:t xml:space="preserve"> Несмотря на наметившуюся положительную тенденцию увеличения количества имеющих лицензии объектов недропользования, эксплуатация еще значительной части объектов общераспространенных полезных ископаемых и подземных вод продолжается в безлицензионном порядке. Основными причинами безлицензионного пользования недрами остаются: неплатежеспособность предприятий - недропользователей, отсутствие законодательной основы для действенных мер воздействия на нарушителей порядка пользования недрами и использованию контроля не как функции управления, а как формы фиксации недостатков недропользователей, недостаточный контроль министерств и ведомств за субъектами недропользования всех форм собственности, неисполнение Законов Республики Коми «О недрах» и «Об органах исполнительной власти в Республике Коми» представителями районных и городских администраций при осуществления государственной системы лицензирования пользования недрами, учета и контроля за пользованием недрами при разработке общераспространенных полезных ископаемых и добыче подземных вод. Нарушения стандартов (норм, правил) при пользовании недрами в республике объясняется в основном тем, что при дефиците финансовых средств предприятия стремятся к форсированной добыче полезных ископаемых без проведения опережающего геологического изучения недр, что, в конечном итоге, приводит к истощению месторождений и уменьшению фонда разведанных запасов полезных ископаемых. Для обеспечения государственной системы лицензирования и наведения порядка пользования недрами в республике необходимо повысить требовательность к недропользователям, используя для этого контракты с предприятиями о выполнении госзаказа, применяя административное воздействие и ужесточая критерии для освобождению от платы за пользование недрами.[2; </w:t>
      </w:r>
      <w:r>
        <w:rPr>
          <w:color w:val="000000"/>
          <w:sz w:val="24"/>
          <w:szCs w:val="24"/>
          <w:lang w:val="en-US"/>
        </w:rPr>
        <w:t>C</w:t>
      </w:r>
      <w:r>
        <w:rPr>
          <w:color w:val="000000"/>
          <w:sz w:val="24"/>
          <w:szCs w:val="24"/>
        </w:rPr>
        <w:t>. 75]</w:t>
      </w:r>
    </w:p>
    <w:p w:rsidR="00A91DEE" w:rsidRDefault="00A22492">
      <w:pPr>
        <w:widowControl w:val="0"/>
        <w:spacing w:before="120"/>
        <w:jc w:val="center"/>
        <w:rPr>
          <w:b/>
          <w:bCs/>
          <w:color w:val="000000"/>
          <w:sz w:val="28"/>
          <w:szCs w:val="28"/>
        </w:rPr>
      </w:pPr>
      <w:r>
        <w:rPr>
          <w:b/>
          <w:bCs/>
          <w:color w:val="000000"/>
          <w:sz w:val="28"/>
          <w:szCs w:val="28"/>
        </w:rPr>
        <w:t>4 РАСТИТЕЛЬНЫЙ И ЖИВОТНЫЙ МИР</w:t>
      </w:r>
    </w:p>
    <w:p w:rsidR="00A91DEE" w:rsidRDefault="00A22492">
      <w:pPr>
        <w:widowControl w:val="0"/>
        <w:spacing w:before="120"/>
        <w:ind w:firstLine="567"/>
        <w:jc w:val="both"/>
        <w:rPr>
          <w:color w:val="000000"/>
          <w:sz w:val="24"/>
          <w:szCs w:val="24"/>
        </w:rPr>
      </w:pPr>
      <w:r>
        <w:rPr>
          <w:color w:val="000000"/>
          <w:sz w:val="24"/>
          <w:szCs w:val="24"/>
        </w:rPr>
        <w:t>Площадь лесного фонда (94 % ее территории) составляет 39,0 млн. га: в управлении Комитета лесов Минприроды РК (Комитет лесов) - 37,9 млн. га (97 %), Печоро-Илычского заповедника - 721,3 тыс. га, в безвозмездном пользовании совхозов и колхозов - 165,6 тыс. га, Ухтинского учебно-опытного лесхоза - 120 тыс. га. На долю прочих пользователей приходится 150,9 тыс. га. Сложившееся разделение лесов республики между пользователями не способствует рациональному ведению лесного хозяйства, эффективному использованию лесосырьевых ресурсов, повышению продуктивности лесов, охране и защите лесов от пожара и лесонарушений. В целях упорядочения ведения лесного хозяйства, леса колхозов, совхозов и прочих пользователей следует передать в управление Комитета лесов.</w:t>
      </w:r>
    </w:p>
    <w:p w:rsidR="00A91DEE" w:rsidRDefault="00A22492">
      <w:pPr>
        <w:widowControl w:val="0"/>
        <w:spacing w:before="120"/>
        <w:ind w:firstLine="567"/>
        <w:jc w:val="both"/>
        <w:rPr>
          <w:color w:val="000000"/>
          <w:sz w:val="24"/>
          <w:szCs w:val="24"/>
        </w:rPr>
      </w:pPr>
      <w:r>
        <w:rPr>
          <w:color w:val="000000"/>
          <w:sz w:val="24"/>
          <w:szCs w:val="24"/>
        </w:rPr>
        <w:t>Таблица 2</w:t>
      </w:r>
    </w:p>
    <w:p w:rsidR="00A91DEE" w:rsidRDefault="00A22492">
      <w:pPr>
        <w:widowControl w:val="0"/>
        <w:spacing w:before="120"/>
        <w:ind w:firstLine="567"/>
        <w:jc w:val="both"/>
        <w:rPr>
          <w:color w:val="000000"/>
          <w:sz w:val="24"/>
          <w:szCs w:val="24"/>
        </w:rPr>
      </w:pPr>
      <w:r>
        <w:rPr>
          <w:color w:val="000000"/>
          <w:sz w:val="24"/>
          <w:szCs w:val="24"/>
        </w:rPr>
        <w:t xml:space="preserve">Характеристика лесного фонда [2; </w:t>
      </w:r>
      <w:r>
        <w:rPr>
          <w:color w:val="000000"/>
          <w:sz w:val="24"/>
          <w:szCs w:val="24"/>
          <w:lang w:val="en-US"/>
        </w:rPr>
        <w:t>C</w:t>
      </w:r>
      <w:r>
        <w:rPr>
          <w:color w:val="000000"/>
          <w:sz w:val="24"/>
          <w:szCs w:val="24"/>
        </w:rPr>
        <w:t>. 72]</w:t>
      </w:r>
    </w:p>
    <w:p w:rsidR="00A91DEE" w:rsidRDefault="00A91DEE">
      <w:pPr>
        <w:widowControl w:val="0"/>
        <w:spacing w:before="120"/>
        <w:ind w:firstLine="567"/>
        <w:jc w:val="both"/>
        <w:rPr>
          <w:color w:val="000000"/>
          <w:sz w:val="24"/>
          <w:szCs w:val="24"/>
        </w:rPr>
      </w:pPr>
    </w:p>
    <w:tbl>
      <w:tblPr>
        <w:tblW w:w="0" w:type="auto"/>
        <w:tblInd w:w="-108" w:type="dxa"/>
        <w:tblLayout w:type="fixed"/>
        <w:tblLook w:val="0000" w:firstRow="0" w:lastRow="0" w:firstColumn="0" w:lastColumn="0" w:noHBand="0" w:noVBand="0"/>
      </w:tblPr>
      <w:tblGrid>
        <w:gridCol w:w="4219"/>
        <w:gridCol w:w="1070"/>
        <w:gridCol w:w="1070"/>
        <w:gridCol w:w="1266"/>
        <w:gridCol w:w="1136"/>
        <w:gridCol w:w="142"/>
      </w:tblGrid>
      <w:tr w:rsidR="00A91DEE">
        <w:trPr>
          <w:gridAfter w:val="1"/>
          <w:wAfter w:w="142" w:type="dxa"/>
        </w:trPr>
        <w:tc>
          <w:tcPr>
            <w:tcW w:w="4219"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Наименование </w:t>
            </w:r>
          </w:p>
        </w:tc>
        <w:tc>
          <w:tcPr>
            <w:tcW w:w="1070"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01.01.88г. </w:t>
            </w:r>
          </w:p>
        </w:tc>
        <w:tc>
          <w:tcPr>
            <w:tcW w:w="1070"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01.01.93г. </w:t>
            </w:r>
          </w:p>
        </w:tc>
        <w:tc>
          <w:tcPr>
            <w:tcW w:w="1266" w:type="dxa"/>
            <w:tcBorders>
              <w:top w:val="single" w:sz="6" w:space="0" w:color="auto"/>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01.01.96г.</w:t>
            </w:r>
          </w:p>
        </w:tc>
        <w:tc>
          <w:tcPr>
            <w:tcW w:w="1136" w:type="dxa"/>
            <w:tcBorders>
              <w:top w:val="single" w:sz="6" w:space="0" w:color="auto"/>
              <w:left w:val="nil"/>
              <w:bottom w:val="nil"/>
              <w:right w:val="nil"/>
            </w:tcBorders>
          </w:tcPr>
          <w:p w:rsidR="00A91DEE" w:rsidRDefault="00A22492">
            <w:pPr>
              <w:widowControl w:val="0"/>
              <w:jc w:val="both"/>
              <w:rPr>
                <w:color w:val="000000"/>
                <w:sz w:val="24"/>
                <w:szCs w:val="24"/>
              </w:rPr>
            </w:pPr>
            <w:r>
              <w:rPr>
                <w:color w:val="000000"/>
                <w:sz w:val="24"/>
                <w:szCs w:val="24"/>
              </w:rPr>
              <w:t>01.01.97г.</w:t>
            </w:r>
          </w:p>
        </w:tc>
      </w:tr>
      <w:tr w:rsidR="00A91DEE">
        <w:trPr>
          <w:gridAfter w:val="1"/>
          <w:wAfter w:w="142" w:type="dxa"/>
        </w:trPr>
        <w:tc>
          <w:tcPr>
            <w:tcW w:w="4219" w:type="dxa"/>
            <w:tcBorders>
              <w:top w:val="single" w:sz="6" w:space="0" w:color="auto"/>
              <w:left w:val="nil"/>
              <w:bottom w:val="nil"/>
              <w:right w:val="single" w:sz="6" w:space="0" w:color="auto"/>
            </w:tcBorders>
          </w:tcPr>
          <w:p w:rsidR="00A91DEE" w:rsidRDefault="00A91DEE">
            <w:pPr>
              <w:widowControl w:val="0"/>
              <w:jc w:val="both"/>
              <w:rPr>
                <w:color w:val="000000"/>
                <w:sz w:val="24"/>
                <w:szCs w:val="24"/>
              </w:rPr>
            </w:pPr>
          </w:p>
        </w:tc>
        <w:tc>
          <w:tcPr>
            <w:tcW w:w="1070" w:type="dxa"/>
            <w:tcBorders>
              <w:top w:val="single" w:sz="6" w:space="0" w:color="auto"/>
              <w:left w:val="nil"/>
              <w:bottom w:val="nil"/>
              <w:right w:val="single" w:sz="6" w:space="0" w:color="auto"/>
            </w:tcBorders>
          </w:tcPr>
          <w:p w:rsidR="00A91DEE" w:rsidRDefault="00A91DEE">
            <w:pPr>
              <w:widowControl w:val="0"/>
              <w:jc w:val="both"/>
              <w:rPr>
                <w:color w:val="000000"/>
                <w:sz w:val="24"/>
                <w:szCs w:val="24"/>
              </w:rPr>
            </w:pPr>
          </w:p>
        </w:tc>
        <w:tc>
          <w:tcPr>
            <w:tcW w:w="1070" w:type="dxa"/>
            <w:tcBorders>
              <w:top w:val="single" w:sz="6" w:space="0" w:color="auto"/>
              <w:left w:val="nil"/>
              <w:bottom w:val="nil"/>
              <w:right w:val="single" w:sz="6" w:space="0" w:color="auto"/>
            </w:tcBorders>
          </w:tcPr>
          <w:p w:rsidR="00A91DEE" w:rsidRDefault="00A91DEE">
            <w:pPr>
              <w:widowControl w:val="0"/>
              <w:jc w:val="both"/>
              <w:rPr>
                <w:color w:val="000000"/>
                <w:sz w:val="24"/>
                <w:szCs w:val="24"/>
              </w:rPr>
            </w:pPr>
          </w:p>
        </w:tc>
        <w:tc>
          <w:tcPr>
            <w:tcW w:w="1266" w:type="dxa"/>
            <w:tcBorders>
              <w:top w:val="single" w:sz="6" w:space="0" w:color="auto"/>
              <w:left w:val="nil"/>
              <w:bottom w:val="nil"/>
              <w:right w:val="single" w:sz="6" w:space="0" w:color="auto"/>
            </w:tcBorders>
          </w:tcPr>
          <w:p w:rsidR="00A91DEE" w:rsidRDefault="00A91DEE">
            <w:pPr>
              <w:widowControl w:val="0"/>
              <w:jc w:val="both"/>
              <w:rPr>
                <w:color w:val="000000"/>
                <w:sz w:val="24"/>
                <w:szCs w:val="24"/>
              </w:rPr>
            </w:pPr>
          </w:p>
        </w:tc>
        <w:tc>
          <w:tcPr>
            <w:tcW w:w="1136" w:type="dxa"/>
            <w:tcBorders>
              <w:top w:val="single" w:sz="6" w:space="0" w:color="auto"/>
              <w:left w:val="nil"/>
              <w:bottom w:val="nil"/>
              <w:right w:val="nil"/>
            </w:tcBorders>
          </w:tcPr>
          <w:p w:rsidR="00A91DEE" w:rsidRDefault="00A91DEE">
            <w:pPr>
              <w:widowControl w:val="0"/>
              <w:jc w:val="both"/>
              <w:rPr>
                <w:color w:val="000000"/>
                <w:sz w:val="24"/>
                <w:szCs w:val="24"/>
              </w:rPr>
            </w:pP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Общая площадь лесов, тыс. га</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37933,1</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 37895,3</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37974,1</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37973,7</w:t>
            </w: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покрытая лесом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28611,4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28751,3</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29049,7</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29145,3</w:t>
            </w: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лесные культуры</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315,2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354,4</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364,7 </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380,6</w:t>
            </w:r>
          </w:p>
        </w:tc>
      </w:tr>
      <w:tr w:rsidR="00A91DEE">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непокрытые лесом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613,8</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870,4</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484,4</w:t>
            </w:r>
          </w:p>
        </w:tc>
        <w:tc>
          <w:tcPr>
            <w:tcW w:w="1278" w:type="dxa"/>
            <w:gridSpan w:val="2"/>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405,3</w:t>
            </w: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леса 1 группы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12634,1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13944,3 </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15838,2 </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16711,8</w:t>
            </w: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леса Ш группы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25200,4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23427,0</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21606,5 </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20732,9</w:t>
            </w: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леса, возможные для эксплуатации</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22953,5</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22547,5</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15870,0</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15344,0</w:t>
            </w: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Общий запас древесины, млн. куб.м</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2740,1</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2836,8 </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2847,8</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2842,0</w:t>
            </w:r>
          </w:p>
        </w:tc>
      </w:tr>
      <w:tr w:rsidR="00A91DEE">
        <w:trPr>
          <w:gridAfter w:val="1"/>
          <w:wAfter w:w="142" w:type="dxa"/>
        </w:trPr>
        <w:tc>
          <w:tcPr>
            <w:tcW w:w="4219"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спелых и перестойных лесов, возможных для эксплуатации</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1917,4 </w:t>
            </w:r>
          </w:p>
        </w:tc>
        <w:tc>
          <w:tcPr>
            <w:tcW w:w="1070"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 xml:space="preserve">1879,2 </w:t>
            </w:r>
          </w:p>
        </w:tc>
        <w:tc>
          <w:tcPr>
            <w:tcW w:w="1266" w:type="dxa"/>
            <w:tcBorders>
              <w:top w:val="nil"/>
              <w:left w:val="nil"/>
              <w:bottom w:val="nil"/>
              <w:right w:val="single" w:sz="6" w:space="0" w:color="auto"/>
            </w:tcBorders>
          </w:tcPr>
          <w:p w:rsidR="00A91DEE" w:rsidRDefault="00A22492">
            <w:pPr>
              <w:widowControl w:val="0"/>
              <w:jc w:val="both"/>
              <w:rPr>
                <w:color w:val="000000"/>
                <w:sz w:val="24"/>
                <w:szCs w:val="24"/>
              </w:rPr>
            </w:pPr>
            <w:r>
              <w:rPr>
                <w:color w:val="000000"/>
                <w:sz w:val="24"/>
                <w:szCs w:val="24"/>
              </w:rPr>
              <w:t>1498,0</w:t>
            </w:r>
          </w:p>
        </w:tc>
        <w:tc>
          <w:tcPr>
            <w:tcW w:w="1136" w:type="dxa"/>
            <w:tcBorders>
              <w:top w:val="nil"/>
              <w:left w:val="nil"/>
              <w:bottom w:val="nil"/>
              <w:right w:val="nil"/>
            </w:tcBorders>
          </w:tcPr>
          <w:p w:rsidR="00A91DEE" w:rsidRDefault="00A22492">
            <w:pPr>
              <w:widowControl w:val="0"/>
              <w:jc w:val="both"/>
              <w:rPr>
                <w:color w:val="000000"/>
                <w:sz w:val="24"/>
                <w:szCs w:val="24"/>
              </w:rPr>
            </w:pPr>
            <w:r>
              <w:rPr>
                <w:color w:val="000000"/>
                <w:sz w:val="24"/>
                <w:szCs w:val="24"/>
              </w:rPr>
              <w:t xml:space="preserve"> 1490,0</w:t>
            </w:r>
          </w:p>
        </w:tc>
      </w:tr>
    </w:tbl>
    <w:p w:rsidR="00A91DEE" w:rsidRDefault="00A91DEE">
      <w:pPr>
        <w:widowControl w:val="0"/>
        <w:spacing w:before="120"/>
        <w:ind w:firstLine="567"/>
        <w:jc w:val="both"/>
        <w:rPr>
          <w:color w:val="000000"/>
          <w:sz w:val="24"/>
          <w:szCs w:val="24"/>
        </w:rPr>
      </w:pPr>
    </w:p>
    <w:p w:rsidR="00A91DEE" w:rsidRDefault="00A22492">
      <w:pPr>
        <w:widowControl w:val="0"/>
        <w:spacing w:before="120"/>
        <w:ind w:firstLine="567"/>
        <w:jc w:val="both"/>
        <w:rPr>
          <w:color w:val="000000"/>
          <w:sz w:val="24"/>
          <w:szCs w:val="24"/>
        </w:rPr>
      </w:pPr>
      <w:r>
        <w:rPr>
          <w:color w:val="000000"/>
          <w:sz w:val="24"/>
          <w:szCs w:val="24"/>
        </w:rPr>
        <w:t xml:space="preserve">Основная лесообразующая порода - ель занимает 56 % лесопокрытой площади. Общий запас древесины по лесному фонду находящийся в управлении Комитета лесов составляет 2,63 млрд. куб. м, в том числе на долю спелых и перестойных приходится 1,9 млрд. куб. м, из них доступные для эксплуатации - 1,5 млрд. куб. м. Средний запас на 1 га лесопокрытой площади составляет около 100 куб. м, при среднем ежегодном приросте на 1 га около 1 куб. м. Около 90% площади республики приходится на зону таежной, 5% - лесотундровой, 4% - тундровой и 1% - луговой растительности. [4; </w:t>
      </w:r>
      <w:r>
        <w:rPr>
          <w:color w:val="000000"/>
          <w:sz w:val="24"/>
          <w:szCs w:val="24"/>
          <w:lang w:val="en-US"/>
        </w:rPr>
        <w:t>C</w:t>
      </w:r>
      <w:r>
        <w:rPr>
          <w:color w:val="000000"/>
          <w:sz w:val="24"/>
          <w:szCs w:val="24"/>
        </w:rPr>
        <w:t>. 26]</w:t>
      </w:r>
    </w:p>
    <w:p w:rsidR="00A91DEE" w:rsidRDefault="00A22492">
      <w:pPr>
        <w:widowControl w:val="0"/>
        <w:spacing w:before="120"/>
        <w:ind w:firstLine="567"/>
        <w:jc w:val="both"/>
        <w:rPr>
          <w:color w:val="000000"/>
          <w:sz w:val="24"/>
          <w:szCs w:val="24"/>
        </w:rPr>
      </w:pPr>
      <w:r>
        <w:rPr>
          <w:color w:val="000000"/>
          <w:sz w:val="24"/>
          <w:szCs w:val="24"/>
        </w:rPr>
        <w:t xml:space="preserve">Уровень горимости лесов в последнее время зависит в основном от погодных особенностей в весенне-летний период. Многолетние наблюдения прозывают, что в обычные годы за сезон возникает не более 200-600 загораний. В 1995-1996 г. из-за прохладного и с частыми осадками лета горимость лесов была самой низкой за последние пять лет. Всего за сезон 1996 г. произошло 124 пожара на 382 га. Средняя площадь одного пожара за предшествующее пятилетие составила 3.6га. Штат специалистов Сыктывкарской авиационной базы охраны лесов от пожаров уменьшился из-за отсутствия федерального финансирования. В случае возникновения высокой и чрезвычайной горимости, учитывая бездорожье и отсутствие необходимой инфраструктуры, тушение лесных пожаров только наземными силами практически исключено. Последствия пожаров могут быть катастрофическими.[2; </w:t>
      </w:r>
      <w:r>
        <w:rPr>
          <w:color w:val="000000"/>
          <w:sz w:val="24"/>
          <w:szCs w:val="24"/>
          <w:lang w:val="en-US"/>
        </w:rPr>
        <w:t>C</w:t>
      </w:r>
      <w:r>
        <w:rPr>
          <w:color w:val="000000"/>
          <w:sz w:val="24"/>
          <w:szCs w:val="24"/>
        </w:rPr>
        <w:t>. 74]</w:t>
      </w:r>
    </w:p>
    <w:p w:rsidR="00A91DEE" w:rsidRDefault="00A22492">
      <w:pPr>
        <w:widowControl w:val="0"/>
        <w:spacing w:before="120"/>
        <w:ind w:firstLine="567"/>
        <w:jc w:val="both"/>
        <w:rPr>
          <w:color w:val="000000"/>
          <w:sz w:val="24"/>
          <w:szCs w:val="24"/>
        </w:rPr>
      </w:pPr>
      <w:r>
        <w:rPr>
          <w:color w:val="000000"/>
          <w:sz w:val="24"/>
          <w:szCs w:val="24"/>
        </w:rPr>
        <w:t>Основной причиной не выполнения требований лесного хозяйства по разработке лесосек, является несовершенное законодательство, которое «гарантирует» лесопользователю безнаказанность. Второй причиной увеличения лесонарушений является резкое снижение использования лиственной и мелкотоварной хвойной древесины, которую бросают в лесу, что ведет к захламлению лесосек. Усугубляющийся дефицит финансовых и материальных ресурсов в лесном хозяйстве, невыполнение объемов финансирования в нарушение действующего законодательства, например, только из республиканского бюджета в 1996 г было недополучено более 5 млрд. руб. собранных лесных податей, старение основных фондов и почти полное отсутствие их обновления в лесхозах, тяжелое финансовое положение основных лесопользователей отрицательно отражается на качественном выполнении работниками лесного хозяйства основных своих функций - охране и воспроизводстве лесов республики.</w:t>
      </w:r>
    </w:p>
    <w:p w:rsidR="00A91DEE" w:rsidRDefault="00A22492">
      <w:pPr>
        <w:widowControl w:val="0"/>
        <w:spacing w:before="120"/>
        <w:ind w:firstLine="567"/>
        <w:jc w:val="both"/>
        <w:rPr>
          <w:color w:val="000000"/>
          <w:sz w:val="24"/>
          <w:szCs w:val="24"/>
        </w:rPr>
      </w:pPr>
      <w:r>
        <w:rPr>
          <w:color w:val="000000"/>
          <w:sz w:val="24"/>
          <w:szCs w:val="24"/>
        </w:rPr>
        <w:t>18 мая 1998 года Глава Республики Коми подписал Указ об учреждении Красной книги Республики Коми. Критериями для включения в списки нуждающихся в охране видов растений являлись: небольшое количество местонахождений на территории республики, наличие вида в Красной книге МСОП, Красных книгах бывшего СССР и России, Красной книге мохообразных Европы, эндемизм и реликтовость видов, пограничное положение вида в регионе.</w:t>
      </w:r>
    </w:p>
    <w:p w:rsidR="00A91DEE" w:rsidRDefault="00A22492">
      <w:pPr>
        <w:widowControl w:val="0"/>
        <w:spacing w:before="120"/>
        <w:ind w:firstLine="567"/>
        <w:jc w:val="both"/>
        <w:rPr>
          <w:color w:val="000000"/>
          <w:sz w:val="24"/>
          <w:szCs w:val="24"/>
        </w:rPr>
      </w:pPr>
      <w:r>
        <w:rPr>
          <w:color w:val="000000"/>
          <w:sz w:val="24"/>
          <w:szCs w:val="24"/>
        </w:rPr>
        <w:t>С учетом новых данных список редких сосудистых растений на сегодняшний день включает 253 вида из 63 семейств, список нуждающихся в охране мохообразных насчитывает 161 вид, список редких видов лишайников включает 79 наименований, список нуждающихся в охране грибов насчитывает 17 видов.</w:t>
      </w:r>
    </w:p>
    <w:p w:rsidR="00A91DEE" w:rsidRDefault="00A22492">
      <w:pPr>
        <w:widowControl w:val="0"/>
        <w:spacing w:before="120"/>
        <w:ind w:firstLine="567"/>
        <w:jc w:val="both"/>
        <w:rPr>
          <w:color w:val="000000"/>
          <w:sz w:val="24"/>
          <w:szCs w:val="24"/>
        </w:rPr>
      </w:pPr>
      <w:r>
        <w:rPr>
          <w:color w:val="000000"/>
          <w:sz w:val="24"/>
          <w:szCs w:val="24"/>
        </w:rPr>
        <w:t xml:space="preserve">В регионе найдены растения, охраняемые во всем мире - башмачок настоящий, в бывшем СССР - надбородник безлистный, лобария легочная, бриория Фремонта и спарасис курчавый, в России - пальчатокоренник Траунштейнера нардия японская, цетрария Лаурера, синяк или гиропор, осиновик белый и на Урале - саркома шаровидная. Особый интерес представляют специфичные только для Европейского Северо-востока России эндемичные виды, число которых в связи с относительной молодостью флоры региона невелико: по характеру распространена выделены арктические - тонконог Поле, уральские - ветреница пермская, уральско-тиманские, заходящие западнее на известняки бассейна р.Пинеги, - качим уральский, равнинные - лядвенец печорский. [2; </w:t>
      </w:r>
      <w:r>
        <w:rPr>
          <w:color w:val="000000"/>
          <w:sz w:val="24"/>
          <w:szCs w:val="24"/>
          <w:lang w:val="en-US"/>
        </w:rPr>
        <w:t>C</w:t>
      </w:r>
      <w:r>
        <w:rPr>
          <w:color w:val="000000"/>
          <w:sz w:val="24"/>
          <w:szCs w:val="24"/>
        </w:rPr>
        <w:t>. 80]</w:t>
      </w:r>
    </w:p>
    <w:p w:rsidR="00A91DEE" w:rsidRDefault="00A22492">
      <w:pPr>
        <w:widowControl w:val="0"/>
        <w:spacing w:before="120"/>
        <w:ind w:firstLine="567"/>
        <w:jc w:val="both"/>
        <w:rPr>
          <w:color w:val="000000"/>
          <w:sz w:val="24"/>
          <w:szCs w:val="24"/>
        </w:rPr>
      </w:pPr>
      <w:r>
        <w:rPr>
          <w:color w:val="000000"/>
          <w:sz w:val="24"/>
          <w:szCs w:val="24"/>
        </w:rPr>
        <w:t>Границы распространения многих охраняемых видов проходя по территории республики - северные: липа сердцелистная, туидум нежненький и пармелина липовая, южные: куропаточья трава и псилопилум лоснящийся, западные: кедр сибирский, плагиомниум густозубчатый стикта Нюландера. Ряд редких растений региона является реликтами - остатками флоры прежних климатических эпох: дубравный вид - вяз гладкий и лесостепной - ветреница лесная сохранились во флоре с климатического оптимума голоцена, а арктический - мак лапландский в таежной зоне считается реликтом ледникового времени. Наряду с евроазиатскими и голарктическими растениями среди редких достаточно много видов с европейскими, криптограмма курчавая и бузина красная, и азиатскими, адонис сибирский и гвоздика ползучая, ареалами. Спорадически в отдаленных друг от друга место обитаниях под пологом лесов встречается мох со светящейся в темноте протонемой - схистостега перистая - реликт третичного периода.</w:t>
      </w:r>
    </w:p>
    <w:p w:rsidR="00A91DEE" w:rsidRDefault="00A22492">
      <w:pPr>
        <w:widowControl w:val="0"/>
        <w:spacing w:before="120"/>
        <w:ind w:firstLine="567"/>
        <w:jc w:val="both"/>
        <w:rPr>
          <w:color w:val="000000"/>
          <w:sz w:val="24"/>
          <w:szCs w:val="24"/>
        </w:rPr>
      </w:pPr>
      <w:r>
        <w:rPr>
          <w:color w:val="000000"/>
          <w:sz w:val="24"/>
          <w:szCs w:val="24"/>
        </w:rPr>
        <w:t xml:space="preserve">На настоящее время фауна наземных позвоночных республики насчитывает 314 видов (млекопитающие - 57, птиц - 247, рептилий - 5 и земноводных). Более чем на 60% природной территории республики отмечены антропогенные изменения. За последние несколько десятилетий природные ландшафты Европейского Северо-востока России претерпели значительные изменения - к настоящему времени около 25 % лесов пройдено рубками, 25 % хвойных и 52 % лиственных лесов приходится на молодняки и средневозрастные леса, сельскохозяйственный и селитебный ландшафты составляют 3 % общей площади. Интенсивное преобразование ландшафтного облика территории неадекватно сказалось на формирование фауны и населения животных. Роль позвоночных животных в биоценозах очень важна и полифункциональная. Видовое разнообразие и высокие плотностные характеристики, вариабельность экологических групп является прекрасным индикатором состояния окружающей среды. Многие виды животных исконно имели большое практическое значение для коренного населения республики. [2; </w:t>
      </w:r>
      <w:r>
        <w:rPr>
          <w:color w:val="000000"/>
          <w:sz w:val="24"/>
          <w:szCs w:val="24"/>
          <w:lang w:val="en-US"/>
        </w:rPr>
        <w:t>C</w:t>
      </w:r>
      <w:r>
        <w:rPr>
          <w:color w:val="000000"/>
          <w:sz w:val="24"/>
          <w:szCs w:val="24"/>
        </w:rPr>
        <w:t>. 82]</w:t>
      </w:r>
    </w:p>
    <w:p w:rsidR="00A91DEE" w:rsidRDefault="00A22492">
      <w:pPr>
        <w:widowControl w:val="0"/>
        <w:spacing w:before="120"/>
        <w:ind w:firstLine="567"/>
        <w:jc w:val="both"/>
        <w:rPr>
          <w:color w:val="000000"/>
          <w:sz w:val="24"/>
          <w:szCs w:val="24"/>
        </w:rPr>
      </w:pPr>
      <w:r>
        <w:rPr>
          <w:color w:val="000000"/>
          <w:sz w:val="24"/>
          <w:szCs w:val="24"/>
        </w:rPr>
        <w:t>Для обогащения промысловой териофауны акклиматизированы ондатра и енотовидная собака, реакклиматизирован бобр. Природоохранные мероприятия позволили повысить на территории республики численность лося и соболя.</w:t>
      </w:r>
    </w:p>
    <w:p w:rsidR="00A91DEE" w:rsidRDefault="00A22492">
      <w:pPr>
        <w:widowControl w:val="0"/>
        <w:spacing w:before="120"/>
        <w:ind w:firstLine="567"/>
        <w:jc w:val="both"/>
        <w:rPr>
          <w:color w:val="000000"/>
          <w:sz w:val="24"/>
          <w:szCs w:val="24"/>
        </w:rPr>
      </w:pPr>
      <w:r>
        <w:rPr>
          <w:color w:val="000000"/>
          <w:sz w:val="24"/>
          <w:szCs w:val="24"/>
        </w:rPr>
        <w:t>В зоне тайги и тундры мелкие млекопитающие составляют основную долю в населении позвоночных животных республики. Являясь основным кормом многих ценных промысловых животных (куница, горностай, лисица, песец), мелкие млекопитающие зачастую определяют численность последних в природе, что было подтверждено современными исследованиями.</w:t>
      </w:r>
    </w:p>
    <w:p w:rsidR="00A91DEE" w:rsidRDefault="00A22492">
      <w:pPr>
        <w:widowControl w:val="0"/>
        <w:spacing w:before="120"/>
        <w:ind w:firstLine="567"/>
        <w:jc w:val="both"/>
        <w:rPr>
          <w:color w:val="000000"/>
          <w:sz w:val="24"/>
          <w:szCs w:val="24"/>
        </w:rPr>
      </w:pPr>
      <w:r>
        <w:rPr>
          <w:color w:val="000000"/>
          <w:sz w:val="24"/>
          <w:szCs w:val="24"/>
        </w:rPr>
        <w:t xml:space="preserve">В восточноевропейских тундрах обитает 15 видов мелких млекопитающих (насекомоядных и грызунов), из которых сибирский и копытный лемминги - типично тундровые, ондатра - интродуцированный, домовая мышь и серая крыса - синантропные, остальные виды - полизональные и лесные. </w:t>
      </w:r>
    </w:p>
    <w:p w:rsidR="00A91DEE" w:rsidRDefault="00A22492">
      <w:pPr>
        <w:widowControl w:val="0"/>
        <w:spacing w:before="120"/>
        <w:ind w:firstLine="567"/>
        <w:jc w:val="both"/>
        <w:rPr>
          <w:color w:val="000000"/>
          <w:sz w:val="24"/>
          <w:szCs w:val="24"/>
        </w:rPr>
      </w:pPr>
      <w:r>
        <w:rPr>
          <w:color w:val="000000"/>
          <w:sz w:val="24"/>
          <w:szCs w:val="24"/>
        </w:rPr>
        <w:t xml:space="preserve"> В настоящее время состояние фауны и населения мелких млекопитающих в регионе в большой степени определяется теми изменениями, которые происходят в биоценозах под влиянием деятельности человека. Разведка угля, нефти и газа, промышленное освоение этих запасов, а также сельскохозяйственное производство приводят к нарушению почвенного и растительного покрова на значительных площадях.</w:t>
      </w:r>
    </w:p>
    <w:p w:rsidR="00A91DEE" w:rsidRDefault="00A22492">
      <w:pPr>
        <w:widowControl w:val="0"/>
        <w:spacing w:before="120"/>
        <w:ind w:firstLine="567"/>
        <w:jc w:val="both"/>
        <w:rPr>
          <w:color w:val="000000"/>
          <w:sz w:val="24"/>
          <w:szCs w:val="24"/>
        </w:rPr>
      </w:pPr>
      <w:r>
        <w:rPr>
          <w:color w:val="000000"/>
          <w:sz w:val="24"/>
          <w:szCs w:val="24"/>
        </w:rPr>
        <w:t xml:space="preserve">Урбанизация естественных ландшафтов способствует проникновению на север (вплоть до арктических тундр) серой крысы и домовой мыши. В районе г. Воркута зарегистрировано обитание полевой мыши (северная граница ее естественного ареала отстоит от зоны тундры более чем на 1000 км). [2; </w:t>
      </w:r>
      <w:r>
        <w:rPr>
          <w:color w:val="000000"/>
          <w:sz w:val="24"/>
          <w:szCs w:val="24"/>
          <w:lang w:val="en-US"/>
        </w:rPr>
        <w:t>C</w:t>
      </w:r>
      <w:r>
        <w:rPr>
          <w:color w:val="000000"/>
          <w:sz w:val="24"/>
          <w:szCs w:val="24"/>
        </w:rPr>
        <w:t>. 84]</w:t>
      </w:r>
    </w:p>
    <w:p w:rsidR="00A91DEE" w:rsidRDefault="00A22492">
      <w:pPr>
        <w:widowControl w:val="0"/>
        <w:spacing w:before="120"/>
        <w:ind w:firstLine="567"/>
        <w:jc w:val="both"/>
        <w:rPr>
          <w:color w:val="000000"/>
          <w:sz w:val="24"/>
          <w:szCs w:val="24"/>
        </w:rPr>
      </w:pPr>
      <w:r>
        <w:rPr>
          <w:color w:val="000000"/>
          <w:sz w:val="24"/>
          <w:szCs w:val="24"/>
        </w:rPr>
        <w:t xml:space="preserve">Значительные изменения за последние десятилетия произошли в фауне и населении птиц: в 1875-1930 гг. в регионе отмечено 200 видов из 14 отрядов с преобладанием гагарообразных, хищных, куриных и пластинчатоклювых птиц, а с 1935 по 1993 гг. - 247 видов - с большей долей дятлообразных и воробьиных птиц.[2; </w:t>
      </w:r>
      <w:r>
        <w:rPr>
          <w:color w:val="000000"/>
          <w:sz w:val="24"/>
          <w:szCs w:val="24"/>
          <w:lang w:val="en-US"/>
        </w:rPr>
        <w:t>C</w:t>
      </w:r>
      <w:r>
        <w:rPr>
          <w:color w:val="000000"/>
          <w:sz w:val="24"/>
          <w:szCs w:val="24"/>
        </w:rPr>
        <w:t>. 85]</w:t>
      </w:r>
    </w:p>
    <w:p w:rsidR="00A91DEE" w:rsidRDefault="00A22492">
      <w:pPr>
        <w:widowControl w:val="0"/>
        <w:spacing w:before="120"/>
        <w:ind w:firstLine="567"/>
        <w:jc w:val="both"/>
        <w:rPr>
          <w:color w:val="000000"/>
          <w:sz w:val="24"/>
          <w:szCs w:val="24"/>
        </w:rPr>
      </w:pPr>
      <w:r>
        <w:rPr>
          <w:color w:val="000000"/>
          <w:sz w:val="24"/>
          <w:szCs w:val="24"/>
        </w:rPr>
        <w:t>В связи с сокращением коренных таежных местообитаний и усилением рекреационных нагрузок уменьшается запас птиц, экологически связанных со спелыми лесными формациями, например, глухарь, крупные хищные, синицы и клесты.</w:t>
      </w:r>
    </w:p>
    <w:p w:rsidR="00A91DEE" w:rsidRDefault="00A22492">
      <w:pPr>
        <w:widowControl w:val="0"/>
        <w:spacing w:before="120"/>
        <w:ind w:firstLine="567"/>
        <w:jc w:val="both"/>
        <w:rPr>
          <w:color w:val="000000"/>
          <w:sz w:val="24"/>
          <w:szCs w:val="24"/>
        </w:rPr>
      </w:pPr>
      <w:r>
        <w:rPr>
          <w:color w:val="000000"/>
          <w:sz w:val="24"/>
          <w:szCs w:val="24"/>
        </w:rPr>
        <w:t>Повышение содержания нефтепродуктов в воде ухудшает кислородный обмен и вызывает замедление роста водных беспозвоночных. В концентрациях, даже близких к ПДК, нефтепродукты отрицательно влияют на фотосинтетическую деятельность водорослей в водоемах. Необходимым условием самоочищения водоемов, нейтрализации загрязняющих веществ является наличие в них водных растений. Благодаря активному влиянию водных растений, в несколько раз ускоряется процесс разрушения бактериями нефтяных загрязнений, деструкции фенолов и аккумуляции ряда элементов, поступающих в водоем с промышленными стоками.</w:t>
      </w:r>
    </w:p>
    <w:p w:rsidR="00A91DEE" w:rsidRDefault="00A22492">
      <w:pPr>
        <w:widowControl w:val="0"/>
        <w:spacing w:before="120"/>
        <w:ind w:firstLine="567"/>
        <w:jc w:val="both"/>
        <w:rPr>
          <w:color w:val="000000"/>
          <w:sz w:val="24"/>
          <w:szCs w:val="24"/>
        </w:rPr>
      </w:pPr>
      <w:r>
        <w:rPr>
          <w:color w:val="000000"/>
          <w:sz w:val="24"/>
          <w:szCs w:val="24"/>
        </w:rPr>
        <w:t xml:space="preserve">Анализ особенностей распределения гидробионтов в бассейнах рек Европейского Северо-востока России в зависимости от состава и концентрации загрязняющих веществ показывает, что, несмотря на усиливающуюся антропогенную нагрузку, водоемы этих бассейнов еще справляются с процессами самоочищения. </w:t>
      </w:r>
    </w:p>
    <w:p w:rsidR="00A91DEE" w:rsidRDefault="00A22492">
      <w:pPr>
        <w:widowControl w:val="0"/>
        <w:spacing w:before="120"/>
        <w:ind w:firstLine="567"/>
        <w:jc w:val="both"/>
        <w:rPr>
          <w:color w:val="000000"/>
          <w:sz w:val="24"/>
          <w:szCs w:val="24"/>
        </w:rPr>
      </w:pPr>
      <w:r>
        <w:rPr>
          <w:color w:val="000000"/>
          <w:sz w:val="24"/>
          <w:szCs w:val="24"/>
        </w:rPr>
        <w:t xml:space="preserve">Формирование ихтиофауны бассейнов главных рек Республики Коми происходило под влиянием сибирских рек, Волжского бассейна и работ по интродукции некоторых рыб из соседних бассейнов (северодвинская стерлядь - в р. Печора, печорская пелядь - в р. Вычегда ). Процесс естественного проникновения волжских рыб в р. Вычегда продолжается (в 70-е годы появились судак и белоглазка). Вселяемая с 70-х годов в реки Кольского полуострова горбуша заходит на нерест и в водоемы бассейна Печоры (рр.Пижма, Цильма и др.). В водоемах на территории республики обитает 44 вида рыб и рыбообразных, объектами искусственного выращивания на садковом хозяйстве при Печорской ГРЭС являются карп и бестер, в предыдущие годы этот перечень дополняли форель и толстолобик. [2; </w:t>
      </w:r>
      <w:r>
        <w:rPr>
          <w:color w:val="000000"/>
          <w:sz w:val="24"/>
          <w:szCs w:val="24"/>
          <w:lang w:val="en-US"/>
        </w:rPr>
        <w:t>C</w:t>
      </w:r>
      <w:r>
        <w:rPr>
          <w:color w:val="000000"/>
          <w:sz w:val="24"/>
          <w:szCs w:val="24"/>
        </w:rPr>
        <w:t>. 87]</w:t>
      </w:r>
    </w:p>
    <w:p w:rsidR="00A91DEE" w:rsidRDefault="00A22492">
      <w:pPr>
        <w:widowControl w:val="0"/>
        <w:spacing w:before="120"/>
        <w:ind w:firstLine="567"/>
        <w:jc w:val="both"/>
        <w:rPr>
          <w:color w:val="000000"/>
          <w:sz w:val="24"/>
          <w:szCs w:val="24"/>
        </w:rPr>
      </w:pPr>
      <w:r>
        <w:rPr>
          <w:color w:val="000000"/>
          <w:sz w:val="24"/>
          <w:szCs w:val="24"/>
        </w:rPr>
        <w:t xml:space="preserve">Ценные представители ихтиофауны в реках и озерах республики - рыбы семейства осетровых (стерлядь, осетр), лососевых (семга, омуль, голец, таймень, чир, сиг, пелядь, ряпушка), хариусовых (хариусы европейский и сибирский). Все перечисленные ценные виды рыб обитают в бассейне Печоры, а бассейн Вычегды в этом отношении намного беднее - стерлядь, семга, нельма, сиг, хариус. В бассейне Мезени осетровых нет, ценные рыбы представлены семгой, нельмой, ситом и хариусом. Но в бассейне Печоры по сравнению с Вычегдой более скромно представлены карповые - отсутствуют елец, уклея, голавль, верховка, густера, белоглазка. По разным причинам (ограниченность ареала, невысокая численность, промысел на другой территории или полный запрет) в пределах республики вылавливают только стерлядь, местного сига, пелядь, чира, ряпушку, хариуса, что обеспечивает 20 % общего вылова. Местные частиковые рыбы (лещ, язь, плотва, окунь, налим, карась, ерш и др.) в общем вылове составляют 80 %. [2; </w:t>
      </w:r>
      <w:r>
        <w:rPr>
          <w:color w:val="000000"/>
          <w:sz w:val="24"/>
          <w:szCs w:val="24"/>
          <w:lang w:val="en-US"/>
        </w:rPr>
        <w:t>C</w:t>
      </w:r>
      <w:r>
        <w:rPr>
          <w:color w:val="000000"/>
          <w:sz w:val="24"/>
          <w:szCs w:val="24"/>
        </w:rPr>
        <w:t>. 87]</w:t>
      </w:r>
    </w:p>
    <w:p w:rsidR="00A91DEE" w:rsidRDefault="00A22492">
      <w:pPr>
        <w:widowControl w:val="0"/>
        <w:spacing w:before="120"/>
        <w:ind w:firstLine="567"/>
        <w:jc w:val="both"/>
        <w:rPr>
          <w:color w:val="000000"/>
          <w:sz w:val="24"/>
          <w:szCs w:val="24"/>
        </w:rPr>
      </w:pPr>
      <w:r>
        <w:rPr>
          <w:color w:val="000000"/>
          <w:sz w:val="24"/>
          <w:szCs w:val="24"/>
        </w:rPr>
        <w:t>Промысел семги в пределах республики не ведется почти 25 лет, в целях увеличения численности родительского стада и повышения эффективности естественного воспроизводства. Одновременно с семгой прекращен промысел омуля и полупроходного сига.</w:t>
      </w:r>
    </w:p>
    <w:p w:rsidR="00A91DEE" w:rsidRDefault="00A22492">
      <w:pPr>
        <w:widowControl w:val="0"/>
        <w:spacing w:before="120"/>
        <w:ind w:firstLine="567"/>
        <w:jc w:val="both"/>
        <w:rPr>
          <w:color w:val="000000"/>
          <w:sz w:val="24"/>
          <w:szCs w:val="24"/>
        </w:rPr>
      </w:pPr>
      <w:r>
        <w:rPr>
          <w:color w:val="000000"/>
          <w:sz w:val="24"/>
          <w:szCs w:val="24"/>
        </w:rPr>
        <w:t xml:space="preserve">Группа сиговых рыб (чир, омуль, пелядь и ряпушка), обычные виды для бассейна Печоры, сохраняют численность на невысоком промысловом уровне.. Специализированного лова сиговых в республике не существует, их добывают как припав на весенне-летнем частиковом лове. </w:t>
      </w:r>
    </w:p>
    <w:p w:rsidR="00A91DEE" w:rsidRDefault="00A22492">
      <w:pPr>
        <w:widowControl w:val="0"/>
        <w:spacing w:before="120"/>
        <w:ind w:firstLine="567"/>
        <w:jc w:val="both"/>
        <w:rPr>
          <w:color w:val="000000"/>
          <w:sz w:val="24"/>
          <w:szCs w:val="24"/>
        </w:rPr>
      </w:pPr>
      <w:r>
        <w:rPr>
          <w:color w:val="000000"/>
          <w:sz w:val="24"/>
          <w:szCs w:val="24"/>
        </w:rPr>
        <w:t xml:space="preserve">Таким образом, для повышения эффективности естественного воспроизводства сиговых рыб необходимо сохранить достаточную численность нерестовых стад и экологические условия должны быть близкими к природным. На протяжении 1994 - 1997 гг. нефтяные загрязнения преследуют сиговых от нерестилищ в русле до мест нагула взрослых рыб в Коровинской губе Баренцева моря. В 1996 г., как и в предыдущие годы, в рр.Колва и Уса вылавливали сиговые с запахом нефтепродуктов, что дало основание На основных нерестилищах ряпушки в р.Уса зафиксирована самая незначительная за 90-е годы степень заполнения нерестилищ производителями. Тенденция снижения количества участвующих в нересте особей ряпушки прослеживается пятый год. По сведениям СевПИНРО (г. Архангельск) к середине текущего десятилетия по сравнению с его началом запасы сиговых снизились втрое. Из-за аккумуляции загрязняющих веществ в дельтовой и прилегающей к устью Печоры морской зоне происходит обеднение сообществ кормовых организмов, возникают заболевания, что, в первую очередь, сказывается на воспроизводительной системе всех видов рыб. [2; </w:t>
      </w:r>
      <w:r>
        <w:rPr>
          <w:color w:val="000000"/>
          <w:sz w:val="24"/>
          <w:szCs w:val="24"/>
          <w:lang w:val="en-US"/>
        </w:rPr>
        <w:t>C</w:t>
      </w:r>
      <w:r>
        <w:rPr>
          <w:color w:val="000000"/>
          <w:sz w:val="24"/>
          <w:szCs w:val="24"/>
        </w:rPr>
        <w:t>. 91]</w:t>
      </w:r>
    </w:p>
    <w:p w:rsidR="00A91DEE" w:rsidRDefault="00A22492">
      <w:pPr>
        <w:widowControl w:val="0"/>
        <w:spacing w:before="120"/>
        <w:ind w:firstLine="567"/>
        <w:jc w:val="both"/>
        <w:rPr>
          <w:color w:val="000000"/>
          <w:sz w:val="24"/>
          <w:szCs w:val="24"/>
        </w:rPr>
      </w:pPr>
      <w:r>
        <w:rPr>
          <w:color w:val="000000"/>
          <w:sz w:val="24"/>
          <w:szCs w:val="24"/>
        </w:rPr>
        <w:t>Промысел в республике базируется на облаве популяций местных частиковых рыб (плотва, язь, щука, окунь, карась, и др.). Объемы промысловой добычи за 90-е годы снизились на один-два порядка, но вызвано это убыточностью лова и не связано с состоянием сырьевой базы. Достаточно высоки промыслово-биологические показатели щуки, окуня и карася, что при необходимости позволит нарастить вылов этих рыб до уровня 70-80-х годов. Популяции аборигенных видов рыб в других районах менее значительны, их биологические показатели ниже, а в отдельных случаях имеют тенденцию к снижению (язь на промысловых участках в бассейне р.Уса). Для оптимизации режима добычи в этом районе доля стайных сетей с размером ячеи 40 мм должна быть снижена. Вместе с тем, целенаправленный и равномерный облав всех рыбохозяйственных водоемов позволяет увеличить вылов до объемов предыдущего десятилетия. В ихтиофауне бассейна р.Вычегда преобладают характерные для Волжского бассейна виды рыб (язь, лещ, окунь, щука и др.). Численность семги, как и в прошлые годы, оценивается как стабильно низкая.</w:t>
      </w:r>
    </w:p>
    <w:p w:rsidR="00A91DEE" w:rsidRDefault="00A22492">
      <w:pPr>
        <w:widowControl w:val="0"/>
        <w:spacing w:before="120"/>
        <w:ind w:firstLine="567"/>
        <w:jc w:val="both"/>
        <w:rPr>
          <w:color w:val="000000"/>
          <w:sz w:val="24"/>
          <w:szCs w:val="24"/>
        </w:rPr>
      </w:pPr>
      <w:r>
        <w:rPr>
          <w:color w:val="000000"/>
          <w:sz w:val="24"/>
          <w:szCs w:val="24"/>
        </w:rPr>
        <w:t xml:space="preserve">Нельма обитает на всем протяжении Вычегды, однако численность ее низка. Численность сига также невелика. Стерлядь обитает на всем протяжении Вычеды, запасы ее более значительны, тем не менее промысловый вылов все годы находился на невысоком уровне. В настоящее время популяция стерляди в реке значительно омоложена -преобладают неполовозрелые и впервые нерестующие рыбы. Такое положение вызвано чрезмерной эксплуатацией вида, которая определяется потребительским рыболовством. Популяция частиковых рыб (язь, щука, плотва и окунь) на многих участках реки Вычегда находится на невысоком уровне, что связано, в первую очередь, с воздействием постоянного пресса любительского рыболовства. Об этом свидетельствуют низкие средние показатели длины и массы, преобладание в уловах младших возрастных категорий рыб. Ухудшение возрастных характеристик в большой степени характерно для популяций щуки и язя, в меньшей - плотвы и окуня. Численность леща находится на стабильно среднем уровне, о чем свидетельствуют средние длина и навеска, значительная плотность молоди в местах нагула. [2; </w:t>
      </w:r>
      <w:r>
        <w:rPr>
          <w:color w:val="000000"/>
          <w:sz w:val="24"/>
          <w:szCs w:val="24"/>
          <w:lang w:val="en-US"/>
        </w:rPr>
        <w:t>C</w:t>
      </w:r>
      <w:r>
        <w:rPr>
          <w:color w:val="000000"/>
          <w:sz w:val="24"/>
          <w:szCs w:val="24"/>
        </w:rPr>
        <w:t>. 95]</w:t>
      </w:r>
    </w:p>
    <w:p w:rsidR="00A91DEE" w:rsidRDefault="00A22492">
      <w:pPr>
        <w:widowControl w:val="0"/>
        <w:spacing w:before="120"/>
        <w:ind w:firstLine="567"/>
        <w:jc w:val="both"/>
        <w:rPr>
          <w:color w:val="000000"/>
          <w:sz w:val="24"/>
          <w:szCs w:val="24"/>
        </w:rPr>
      </w:pPr>
      <w:r>
        <w:rPr>
          <w:color w:val="000000"/>
          <w:sz w:val="24"/>
          <w:szCs w:val="24"/>
        </w:rPr>
        <w:t>Возможности использования сырьевых ресурсов водоемов республики существенно ограничены необходимостью обеспечивать необходимые условия для естественного воспроизводства семги. В 89-ти наиболее крупных реках, включая Печору (выше Пачгино), Вычегду (выше Помоздино) и Мезень в соответствии с рыбоохранным законодательством промысел рыбы запрещен круглогодично, местным жителям на определенных участках и в ограниченный период разрешается ловить рыб удочкой или отавной сетью.</w:t>
      </w:r>
    </w:p>
    <w:p w:rsidR="00A91DEE" w:rsidRDefault="00A22492">
      <w:pPr>
        <w:widowControl w:val="0"/>
        <w:spacing w:before="120"/>
        <w:ind w:firstLine="567"/>
        <w:jc w:val="both"/>
        <w:rPr>
          <w:color w:val="000000"/>
          <w:sz w:val="24"/>
          <w:szCs w:val="24"/>
        </w:rPr>
      </w:pPr>
      <w:r>
        <w:rPr>
          <w:color w:val="000000"/>
          <w:sz w:val="24"/>
          <w:szCs w:val="24"/>
        </w:rPr>
        <w:t>Воспроизводство рыбных ресурсов в республике осуществляется естественным путем, поэтому важнейшую роль в эффективности данного процесса имеют гидрометеорологические факторы.</w:t>
      </w:r>
    </w:p>
    <w:p w:rsidR="00A91DEE" w:rsidRDefault="00A22492">
      <w:pPr>
        <w:widowControl w:val="0"/>
        <w:spacing w:before="120"/>
        <w:ind w:firstLine="567"/>
        <w:jc w:val="both"/>
        <w:rPr>
          <w:color w:val="000000"/>
          <w:sz w:val="24"/>
          <w:szCs w:val="24"/>
        </w:rPr>
      </w:pPr>
      <w:r>
        <w:rPr>
          <w:color w:val="000000"/>
          <w:sz w:val="24"/>
          <w:szCs w:val="24"/>
        </w:rPr>
        <w:t xml:space="preserve">Правовой базой, на которой строится весь комплекс рыбоохранных мероприятий, являются Законы Российской Федерации «Об охране животного мира» и «Об охране окружающей природной среды». Положение об охране рыбных запасов. Правила рыболовства в бассейнах Белого и Баренцева морей. Правила любительского и спортивного рыболовства в водоемах Республики Коми, другие законодательные и нормативные акты федеральных и республиканских органов власти.[2; </w:t>
      </w:r>
      <w:r>
        <w:rPr>
          <w:color w:val="000000"/>
          <w:sz w:val="24"/>
          <w:szCs w:val="24"/>
          <w:lang w:val="en-US"/>
        </w:rPr>
        <w:t>C</w:t>
      </w:r>
      <w:r>
        <w:rPr>
          <w:color w:val="000000"/>
          <w:sz w:val="24"/>
          <w:szCs w:val="24"/>
        </w:rPr>
        <w:t>. 96]</w:t>
      </w:r>
    </w:p>
    <w:p w:rsidR="00A91DEE" w:rsidRDefault="00A22492">
      <w:pPr>
        <w:widowControl w:val="0"/>
        <w:spacing w:before="120"/>
        <w:jc w:val="center"/>
        <w:rPr>
          <w:b/>
          <w:bCs/>
          <w:color w:val="000000"/>
          <w:sz w:val="28"/>
          <w:szCs w:val="28"/>
        </w:rPr>
      </w:pPr>
      <w:r>
        <w:rPr>
          <w:b/>
          <w:bCs/>
          <w:color w:val="000000"/>
          <w:sz w:val="28"/>
          <w:szCs w:val="28"/>
        </w:rPr>
        <w:t>5 ВЛИЯНИЕ ОСНОВНЫХ ОТРАСЛЕЙ НА ЭКОЛОГИЧЕСКУЮ ОБСТАНОВКУ</w:t>
      </w:r>
    </w:p>
    <w:p w:rsidR="00A91DEE" w:rsidRDefault="00A22492">
      <w:pPr>
        <w:widowControl w:val="0"/>
        <w:spacing w:before="120"/>
        <w:ind w:firstLine="567"/>
        <w:jc w:val="both"/>
        <w:rPr>
          <w:color w:val="000000"/>
          <w:sz w:val="24"/>
          <w:szCs w:val="24"/>
        </w:rPr>
      </w:pPr>
      <w:r>
        <w:rPr>
          <w:color w:val="000000"/>
          <w:sz w:val="24"/>
          <w:szCs w:val="24"/>
        </w:rPr>
        <w:t xml:space="preserve"> В целом по республике на предприятиях нефтедобывающей промышленности Тимано-Печорской нефтегазоносной провинции наблюдается катастрофическое старение и коррозийный износ внутри - и межпромысловых трубопроводных коммуникаций. Число аварий (разрушений, порывов, в том числе по причинам коррозийного износа), сопровождающихся разливами нефти, нефтесодержащей жидкости и пластовых вод, возросло с 476 (1992 г.) до 1180 (1995 г.), те, в 2,5 раза. За 1996 г. их было менее 700, что, хотя и заметно меньше, чем за прошлый год, но по-прежнему является совершенно недопустимым. При постоянном нарастании протяженности физически изношенных, требующих замены трубопроводов, фактические объемы работ по их замене, строительству и реконструкции из года в год снижаются, а в 1996 г, как и в предыдущем, произведена замена менее 10 % общего числа требующих такой замены трубопроводов. Для предупреждения возможных аварийных разливов нефти и нефтесодержащей жидкости приостанавливалась работа 34-х внутрипромысловых трубопроводов, физическое состояние которых по объективным показателям (полный коррозийный износ) не позволяет продолжать их дальнейшее использование. При отсутствия необходимых финансовых средств большинство промышленных предприятий хронически не выполняют мероприятия по их техническому перевооружению. Серьезной проблемой при эксплуатации нефтяных месторождений, и, в первую очередь, в Усинском районе, становится нарастание содержания в продукции месторождений токсичных и агрессивных компонентов, в частности, сероводорода. Это резко снижает сроки службы внутри- и межпромысловых нефтепроводов и водоводов для пластовой воды (отдельные из них служат не более года).[2; </w:t>
      </w:r>
      <w:r>
        <w:rPr>
          <w:color w:val="000000"/>
          <w:sz w:val="24"/>
          <w:szCs w:val="24"/>
          <w:lang w:val="en-US"/>
        </w:rPr>
        <w:t>C</w:t>
      </w:r>
      <w:r>
        <w:rPr>
          <w:color w:val="000000"/>
          <w:sz w:val="24"/>
          <w:szCs w:val="24"/>
        </w:rPr>
        <w:t>.101]</w:t>
      </w:r>
    </w:p>
    <w:p w:rsidR="00A91DEE" w:rsidRDefault="00A22492">
      <w:pPr>
        <w:widowControl w:val="0"/>
        <w:spacing w:before="120"/>
        <w:ind w:firstLine="567"/>
        <w:jc w:val="both"/>
        <w:rPr>
          <w:color w:val="000000"/>
          <w:sz w:val="24"/>
          <w:szCs w:val="24"/>
        </w:rPr>
      </w:pPr>
      <w:r>
        <w:rPr>
          <w:color w:val="000000"/>
          <w:sz w:val="24"/>
          <w:szCs w:val="24"/>
        </w:rPr>
        <w:t>При строительстве глубоких нефтяных и газовых поисковых и разведочных, а также эксплуатационных скважин особую тревогу вызывает состояние противофонтанной безопасности, так как резкое уменьшение объемов финансирования повлекло за собой значительное снижение уровня профилактической работы военизированных противофонтанных служб и уже поставило под вопрос саму возможность проведения работ по оперативной ликвидации нефтегазопроявлений. Буровые предприятия и организации провели необходимую работу по оснащению установок глубокого бурения системой контроля технологических параметров бурения. В настоящее время все действующие буровые установки оснащены станциями контроля правления бурением и газокаротажными станциями.</w:t>
      </w:r>
    </w:p>
    <w:p w:rsidR="00A91DEE" w:rsidRDefault="00A22492">
      <w:pPr>
        <w:widowControl w:val="0"/>
        <w:spacing w:before="120"/>
        <w:ind w:firstLine="567"/>
        <w:jc w:val="both"/>
        <w:rPr>
          <w:color w:val="000000"/>
          <w:sz w:val="24"/>
          <w:szCs w:val="24"/>
        </w:rPr>
      </w:pPr>
      <w:r>
        <w:rPr>
          <w:color w:val="000000"/>
          <w:sz w:val="24"/>
          <w:szCs w:val="24"/>
        </w:rPr>
        <w:t xml:space="preserve"> Одной из важнейших проблем обеспечения промышленной и экологической безопасности остаются расположенные на территории республики многие сотни глубоких нефтяных и газовых скважин, находящихся в состоянии ликвидации и долговременной консервации. Ведомственный контроль за их техническим состоянием находится на неудовлетворительном уровне, что не только осложняет надзорную и контрольно-профилактическую работу по предупреждению открытых газо-нефт-водопроявлений, но и повышает опасность возникновения. Газодобывающая и газоперерабатывающая промышленность представлена на территории республики структурными подразделениями предприятия «Севергазпром»: Вуктыльское газопромысловое управление (ВГПУ) ведет добычу газа и осуществляет монтаж установки по производству пропана и моторных топлив, а Сосногорский газоперерабатывающий завод (СГПЗ) - переработку газа.[2; </w:t>
      </w:r>
      <w:r>
        <w:rPr>
          <w:color w:val="000000"/>
          <w:sz w:val="24"/>
          <w:szCs w:val="24"/>
          <w:lang w:val="en-US"/>
        </w:rPr>
        <w:t>C</w:t>
      </w:r>
      <w:r>
        <w:rPr>
          <w:color w:val="000000"/>
          <w:sz w:val="24"/>
          <w:szCs w:val="24"/>
        </w:rPr>
        <w:t>. 99]</w:t>
      </w:r>
    </w:p>
    <w:p w:rsidR="00A91DEE" w:rsidRDefault="00A22492">
      <w:pPr>
        <w:widowControl w:val="0"/>
        <w:spacing w:before="120"/>
        <w:ind w:firstLine="567"/>
        <w:jc w:val="both"/>
        <w:rPr>
          <w:color w:val="000000"/>
          <w:sz w:val="24"/>
          <w:szCs w:val="24"/>
        </w:rPr>
      </w:pPr>
      <w:r>
        <w:rPr>
          <w:color w:val="000000"/>
          <w:sz w:val="24"/>
          <w:szCs w:val="24"/>
        </w:rPr>
        <w:t xml:space="preserve">Для снижения отрицательного воздействия производств на окружающую среду и повышения экологической безопасности предприятие «Севергазпром» на СГПЗ продолжило строительство утилизационной котельной, которая позволит обеспечить дожиг всего объема окиси углерода и утилизацию получаемой при этом тепловой энергии, и очистных сооружений в пос. Верхне-Ижемский, закончило строительство опытно промышленной установки зернистого фильтра по улавливанию сажи и модернизацию камер сгорания газоперекачивающих агрегатов (ГТК-10) для снижения выбросов окислов азота, выполнило капитальный ремонт ливневой канализации на территории АТЦ ВГПУ (г. Вуктыл) и испытание принципиальной схемы по каталитическому снижению выбросов азота в производстве стабилизации конденсата. Расходы на природоохранные цели за счет всех источников финансирования составили 6874,2 млн. Руб. Сброс загрязненных сточных вод в поверхностные водоемы уменьшился на 221 тыс. куб. м. [2; </w:t>
      </w:r>
      <w:r>
        <w:rPr>
          <w:color w:val="000000"/>
          <w:sz w:val="24"/>
          <w:szCs w:val="24"/>
          <w:lang w:val="en-US"/>
        </w:rPr>
        <w:t>C</w:t>
      </w:r>
      <w:r>
        <w:rPr>
          <w:color w:val="000000"/>
          <w:sz w:val="24"/>
          <w:szCs w:val="24"/>
        </w:rPr>
        <w:t>. 102]</w:t>
      </w:r>
    </w:p>
    <w:p w:rsidR="00A91DEE" w:rsidRDefault="00A22492">
      <w:pPr>
        <w:widowControl w:val="0"/>
        <w:spacing w:before="120"/>
        <w:ind w:firstLine="567"/>
        <w:jc w:val="both"/>
        <w:rPr>
          <w:color w:val="000000"/>
          <w:sz w:val="24"/>
          <w:szCs w:val="24"/>
        </w:rPr>
      </w:pPr>
      <w:r>
        <w:rPr>
          <w:color w:val="000000"/>
          <w:sz w:val="24"/>
          <w:szCs w:val="24"/>
        </w:rPr>
        <w:t>На предприятия химической и нефтеперерабатывающей промышленности заметно увеличилось число объектов надзора в связи с дополнительным принятием под надзор производств, использующих хлор и аммиак (аммиачные холодильные установки - АХУ). Состояние большинства обследованных и принятых под надзор объектов АХУ не отвечает действующим ПБ.</w:t>
      </w:r>
    </w:p>
    <w:p w:rsidR="00A91DEE" w:rsidRDefault="00A22492">
      <w:pPr>
        <w:widowControl w:val="0"/>
        <w:spacing w:before="120"/>
        <w:ind w:firstLine="567"/>
        <w:jc w:val="both"/>
        <w:rPr>
          <w:color w:val="000000"/>
          <w:sz w:val="24"/>
          <w:szCs w:val="24"/>
        </w:rPr>
      </w:pPr>
      <w:r>
        <w:rPr>
          <w:color w:val="000000"/>
          <w:sz w:val="24"/>
          <w:szCs w:val="24"/>
        </w:rPr>
        <w:t xml:space="preserve">Важнейшей задачей является совершенствование химического надзора на химических объектах Сыктывкарского ЛПК и АО «Ухтинский НПЗ», которые включены в перечень производств и объектов, подлежащих декларированию промышленной безопасности. [2; </w:t>
      </w:r>
      <w:r>
        <w:rPr>
          <w:color w:val="000000"/>
          <w:sz w:val="24"/>
          <w:szCs w:val="24"/>
          <w:lang w:val="en-US"/>
        </w:rPr>
        <w:t>Cc</w:t>
      </w:r>
      <w:r>
        <w:rPr>
          <w:color w:val="000000"/>
          <w:sz w:val="24"/>
          <w:szCs w:val="24"/>
        </w:rPr>
        <w:t>. 100]</w:t>
      </w:r>
    </w:p>
    <w:p w:rsidR="00A91DEE" w:rsidRDefault="00A22492">
      <w:pPr>
        <w:widowControl w:val="0"/>
        <w:spacing w:before="120"/>
        <w:jc w:val="center"/>
        <w:rPr>
          <w:b/>
          <w:bCs/>
          <w:color w:val="000000"/>
          <w:sz w:val="28"/>
          <w:szCs w:val="28"/>
        </w:rPr>
      </w:pPr>
      <w:r>
        <w:rPr>
          <w:b/>
          <w:bCs/>
          <w:color w:val="000000"/>
          <w:sz w:val="28"/>
          <w:szCs w:val="28"/>
        </w:rPr>
        <w:t>6 ОСОБО ОХРАНЯЕМЫЕ ПРИРОДНЫЕ ТЕРРИТОРИИ</w:t>
      </w:r>
    </w:p>
    <w:p w:rsidR="00A91DEE" w:rsidRDefault="00A22492">
      <w:pPr>
        <w:widowControl w:val="0"/>
        <w:spacing w:before="120"/>
        <w:ind w:firstLine="567"/>
        <w:jc w:val="both"/>
        <w:rPr>
          <w:color w:val="000000"/>
          <w:sz w:val="24"/>
          <w:szCs w:val="24"/>
        </w:rPr>
      </w:pPr>
      <w:r>
        <w:rPr>
          <w:color w:val="000000"/>
          <w:sz w:val="24"/>
          <w:szCs w:val="24"/>
        </w:rPr>
        <w:t xml:space="preserve">Система особо охраняемых природных территорий (ООПТ) объединяет 287 объектов на площади более 6 млн. га (около 14,6 % территории), в том числе Печоро-Илычский биосферный заповедник, национальный природный парк «Югыд ва», заказники (ландшафтные, лесные, флористические, луговые, болотные, водные, ихтиологические, орнитологические, геологические) и памятники природы. За счет средств экологического фонда издана карта «Охраняемые природные территории Республики Коми» (М 1: 1 200 000) о распределении объектов системы ООПТ по административным районам. В пояснительной записке к карте охарактеризованы основные принципы выделения ООПТ и дан анализ существующей системы ООПТ и намечены перспективы ее развития. Большинство природоохранных объектов размещаются на землях лесного фонда и их охрана, согласно действующему законодательству возложена на Комитет лесов и соответствующие лесхозы. [2; </w:t>
      </w:r>
      <w:r>
        <w:rPr>
          <w:color w:val="000000"/>
          <w:sz w:val="24"/>
          <w:szCs w:val="24"/>
          <w:lang w:val="en-US"/>
        </w:rPr>
        <w:t>C</w:t>
      </w:r>
      <w:r>
        <w:rPr>
          <w:color w:val="000000"/>
          <w:sz w:val="24"/>
          <w:szCs w:val="24"/>
        </w:rPr>
        <w:t>. 103]</w:t>
      </w:r>
    </w:p>
    <w:p w:rsidR="00A91DEE" w:rsidRDefault="00A22492">
      <w:pPr>
        <w:widowControl w:val="0"/>
        <w:spacing w:before="120"/>
        <w:ind w:firstLine="567"/>
        <w:jc w:val="both"/>
        <w:rPr>
          <w:color w:val="000000"/>
          <w:sz w:val="24"/>
          <w:szCs w:val="24"/>
        </w:rPr>
      </w:pPr>
      <w:r>
        <w:rPr>
          <w:color w:val="000000"/>
          <w:sz w:val="24"/>
          <w:szCs w:val="24"/>
        </w:rPr>
        <w:t xml:space="preserve">В границы национального парка попал Кожимский горнопромышленный район. Сказать, что Кожим богат - значит ничего не сказать. С одной стороны там находится целый комплекс особо охраняемых природных объектов, редкие виды растений, геологические и археологические памятники, ценные и интересные в научном, познавательном и просветительском отношении, требующие особой охраны. То есть растут северный лен, гусиный ненецкий лук, курильский чай, знаменитая радиола розовая (золотой корень), осока ледниковая, нерестится семга, в реках водится хариус, хватает озер, в лесах полно дичи, живет ставший редким соболь, охраняемые на международном и региональном уровнях беркуты, скопы, орланы-белохвосты. [3; </w:t>
      </w:r>
      <w:r>
        <w:rPr>
          <w:color w:val="000000"/>
          <w:sz w:val="24"/>
          <w:szCs w:val="24"/>
          <w:lang w:val="en-US"/>
        </w:rPr>
        <w:t>C</w:t>
      </w:r>
      <w:r>
        <w:rPr>
          <w:color w:val="000000"/>
          <w:sz w:val="24"/>
          <w:szCs w:val="24"/>
        </w:rPr>
        <w:t>. 16]</w:t>
      </w:r>
    </w:p>
    <w:p w:rsidR="00A91DEE" w:rsidRDefault="00A22492">
      <w:pPr>
        <w:widowControl w:val="0"/>
        <w:spacing w:before="120"/>
        <w:ind w:firstLine="567"/>
        <w:jc w:val="both"/>
        <w:rPr>
          <w:color w:val="000000"/>
          <w:sz w:val="24"/>
          <w:szCs w:val="24"/>
        </w:rPr>
      </w:pPr>
      <w:r>
        <w:rPr>
          <w:color w:val="000000"/>
          <w:sz w:val="24"/>
          <w:szCs w:val="24"/>
        </w:rPr>
        <w:t>Там располагается горно-тундровый памятник природы "Балбан-ю" и ряд комплексных заказников. Гольцовые природные образования и тундровые формации имеют исключительно важное значение для гидрогеологического режима Кожима и его притоков, сохранения чистой воды реки Усы и в целом бассейна реки Печоры...[5;</w:t>
      </w:r>
      <w:r>
        <w:rPr>
          <w:color w:val="000000"/>
          <w:sz w:val="24"/>
          <w:szCs w:val="24"/>
          <w:lang w:val="en-US"/>
        </w:rPr>
        <w:t>C</w:t>
      </w:r>
      <w:r>
        <w:rPr>
          <w:color w:val="000000"/>
          <w:sz w:val="24"/>
          <w:szCs w:val="24"/>
        </w:rPr>
        <w:t>.16]</w:t>
      </w:r>
    </w:p>
    <w:p w:rsidR="00A91DEE" w:rsidRDefault="00A22492">
      <w:pPr>
        <w:widowControl w:val="0"/>
        <w:spacing w:before="120"/>
        <w:ind w:firstLine="567"/>
        <w:jc w:val="both"/>
        <w:rPr>
          <w:color w:val="000000"/>
          <w:sz w:val="24"/>
          <w:szCs w:val="24"/>
        </w:rPr>
      </w:pPr>
      <w:r>
        <w:rPr>
          <w:color w:val="000000"/>
          <w:sz w:val="24"/>
          <w:szCs w:val="24"/>
        </w:rPr>
        <w:t>Но там же расположен Кожимский горнопромышленный узел - один из старейших, наиболее изученных и освоенных в республике. Здесь расположены значительные ресурсы таких стратегических видов полезных ископаемых, как кварц, золото, редкие и редкоземельные металлы, марганцевые руды.</w:t>
      </w:r>
    </w:p>
    <w:p w:rsidR="00A91DEE" w:rsidRDefault="00A22492">
      <w:pPr>
        <w:widowControl w:val="0"/>
        <w:spacing w:before="120"/>
        <w:ind w:firstLine="567"/>
        <w:jc w:val="both"/>
        <w:rPr>
          <w:color w:val="000000"/>
          <w:sz w:val="24"/>
          <w:szCs w:val="24"/>
        </w:rPr>
      </w:pPr>
      <w:r>
        <w:rPr>
          <w:color w:val="000000"/>
          <w:sz w:val="24"/>
          <w:szCs w:val="24"/>
        </w:rPr>
        <w:t>В 1995 году был принят Федеральный Закон, по которому статус национального парка запрещает любую хозяйственную деятельность на его территории. Правовая неразбериха последних лет сказалась и тут. Осталось неясным, что же делать в случаях, когда эта деятельность уже вовсю идет? Но в какие сроки и кто компенсирует убытки? Экспертная комиссия, собранная в 1998 году сделала вывод, что границы парка не могут быть изменены. Пока идут все эти научные и правовые дискуссии, предприятия, которые действуют на территории Кожима (ОАО "Полярноуралгеология", ОАО "Интагео", ЗАО "Кожемский РДП") оказались в интересном положении: границы их деятельности без их ведома, безо всякого предупреждения сильно сузились. Федеральные ведомства никакого выхода из этого положения предложить пока не могут.</w:t>
      </w:r>
    </w:p>
    <w:p w:rsidR="00A91DEE" w:rsidRDefault="00A22492">
      <w:pPr>
        <w:widowControl w:val="0"/>
        <w:spacing w:before="120"/>
        <w:ind w:firstLine="567"/>
        <w:jc w:val="both"/>
        <w:rPr>
          <w:color w:val="000000"/>
          <w:sz w:val="24"/>
          <w:szCs w:val="24"/>
        </w:rPr>
      </w:pPr>
      <w:r>
        <w:rPr>
          <w:color w:val="000000"/>
          <w:sz w:val="24"/>
          <w:szCs w:val="24"/>
        </w:rPr>
        <w:t xml:space="preserve">А ведь надо учитывать все факторы. И нельзя закрывать глаза на то, что связано с экономикой. Надо знать и понимать, что экономика и экология нужны друг другу. Человечество никогда не обойдется без природных ресурсов. Нам надо вырабатывать другой подход. Крупные западные компании берут за правило, что под экологические нормы они разрабатывают свою политику, даже более жесткую, чем нормативная. Все же на одной Земле живем. Запрет - проще, грубее и бессмысленнее всего. Нужен реальный подход, тесная работа всех специалистов, но пока вокруг столь важной для развития республики проблемы концентрируется ограниченный круг людей, специалисты не обсуждают эту тему. Именно специалисты с учетом международного опыта и средств могут помочь найти выход из этой проблемы, устраивающий всех. [3; </w:t>
      </w:r>
      <w:r>
        <w:rPr>
          <w:color w:val="000000"/>
          <w:sz w:val="24"/>
          <w:szCs w:val="24"/>
          <w:lang w:val="en-US"/>
        </w:rPr>
        <w:t>C</w:t>
      </w:r>
      <w:r>
        <w:rPr>
          <w:color w:val="000000"/>
          <w:sz w:val="24"/>
          <w:szCs w:val="24"/>
        </w:rPr>
        <w:t>.17]</w:t>
      </w:r>
    </w:p>
    <w:p w:rsidR="00A91DEE" w:rsidRDefault="00A22492">
      <w:pPr>
        <w:widowControl w:val="0"/>
        <w:spacing w:before="120"/>
        <w:jc w:val="center"/>
        <w:rPr>
          <w:b/>
          <w:bCs/>
          <w:color w:val="000000"/>
          <w:sz w:val="28"/>
          <w:szCs w:val="28"/>
        </w:rPr>
      </w:pPr>
      <w:r>
        <w:rPr>
          <w:b/>
          <w:bCs/>
          <w:color w:val="000000"/>
          <w:sz w:val="28"/>
          <w:szCs w:val="28"/>
        </w:rPr>
        <w:t>7 ЭКОЛОГИЧЕСКОЕ ОБРАЗОВАНИЕ И ВОСПИТАНИЕ</w:t>
      </w:r>
    </w:p>
    <w:p w:rsidR="00A91DEE" w:rsidRDefault="00A22492">
      <w:pPr>
        <w:widowControl w:val="0"/>
        <w:spacing w:before="120"/>
        <w:ind w:firstLine="567"/>
        <w:jc w:val="both"/>
        <w:rPr>
          <w:color w:val="000000"/>
          <w:sz w:val="24"/>
          <w:szCs w:val="24"/>
        </w:rPr>
      </w:pPr>
      <w:r>
        <w:rPr>
          <w:color w:val="000000"/>
          <w:sz w:val="24"/>
          <w:szCs w:val="24"/>
        </w:rPr>
        <w:t>В соответствии с Соглашением между Министерством охраны окружающей среды и природных ресурсов Российской Федерации и Правительством Республики Коми о совместной деятельности по реализации Постановления правительства Российской Федерации «О мерах по улучшению экологического образования населения»</w:t>
      </w:r>
      <w:r>
        <w:rPr>
          <w:noProof/>
          <w:color w:val="000000"/>
          <w:sz w:val="24"/>
          <w:szCs w:val="24"/>
        </w:rPr>
        <w:t xml:space="preserve"> (№ 1208</w:t>
      </w:r>
      <w:r>
        <w:rPr>
          <w:color w:val="000000"/>
          <w:sz w:val="24"/>
          <w:szCs w:val="24"/>
        </w:rPr>
        <w:t xml:space="preserve"> от</w:t>
      </w:r>
      <w:r>
        <w:rPr>
          <w:noProof/>
          <w:color w:val="000000"/>
          <w:sz w:val="24"/>
          <w:szCs w:val="24"/>
        </w:rPr>
        <w:t xml:space="preserve"> 03.11.94</w:t>
      </w:r>
      <w:r>
        <w:rPr>
          <w:color w:val="000000"/>
          <w:sz w:val="24"/>
          <w:szCs w:val="24"/>
        </w:rPr>
        <w:t xml:space="preserve"> г) были определены задачи по созданию системы всеобщего непрерывного экологического образования, в том числе: формирование системы мониторинга общественного экологического сознания; формирование и совершенствование нормативно-правовой базы в области экологического образования; повышение уровня общественного экологического сознания. Вопросы пропаганды и развития экологического просвещения населения были включены вовсе межгосударственные договора и соглашения в области природопользования, а также в республиканские экологические программы.[2; </w:t>
      </w:r>
      <w:r>
        <w:rPr>
          <w:color w:val="000000"/>
          <w:sz w:val="24"/>
          <w:szCs w:val="24"/>
          <w:lang w:val="en-US"/>
        </w:rPr>
        <w:t>C</w:t>
      </w:r>
      <w:r>
        <w:rPr>
          <w:color w:val="000000"/>
          <w:sz w:val="24"/>
          <w:szCs w:val="24"/>
        </w:rPr>
        <w:t>.140]</w:t>
      </w:r>
    </w:p>
    <w:p w:rsidR="00A91DEE" w:rsidRDefault="00A22492">
      <w:pPr>
        <w:widowControl w:val="0"/>
        <w:spacing w:before="120"/>
        <w:ind w:firstLine="567"/>
        <w:jc w:val="both"/>
        <w:rPr>
          <w:color w:val="000000"/>
          <w:sz w:val="24"/>
          <w:szCs w:val="24"/>
        </w:rPr>
      </w:pPr>
      <w:r>
        <w:rPr>
          <w:color w:val="000000"/>
          <w:sz w:val="24"/>
          <w:szCs w:val="24"/>
        </w:rPr>
        <w:t>Разработана и утверждена республиканская целевая программа «Экологическое образование детей и подростков Республики Коми на</w:t>
      </w:r>
      <w:r>
        <w:rPr>
          <w:noProof/>
          <w:color w:val="000000"/>
          <w:sz w:val="24"/>
          <w:szCs w:val="24"/>
        </w:rPr>
        <w:t xml:space="preserve"> 1996-2000</w:t>
      </w:r>
      <w:r>
        <w:rPr>
          <w:color w:val="000000"/>
          <w:sz w:val="24"/>
          <w:szCs w:val="24"/>
        </w:rPr>
        <w:t xml:space="preserve"> гг.», основной целью которой является создание условий для широкого вовлечения образовательных и воспитательных учреждений республики в эколого-образовательный процесс. В настоящее время наиболее активно функционирует звено традиционного образования, включающее в себя уровни дошкольного, школьного, среднепрофессионального, высшего и дополнительного образования. Во всех районах и городах в рамках общеобразовательной подготовки введены курсы экологической направленности: «Экология для младших школьников», «Окружающий мир», «Экология России», «Природопользование», «Здоровье и окружающая среда». В некоторых школах Сыктывкара, Усинска, Ухты, Инты разработаны факультативные курсы, например, «Биосфера и человек» и «Медицинская экология».[2; </w:t>
      </w:r>
      <w:r>
        <w:rPr>
          <w:color w:val="000000"/>
          <w:sz w:val="24"/>
          <w:szCs w:val="24"/>
          <w:lang w:val="en-US"/>
        </w:rPr>
        <w:t>C</w:t>
      </w:r>
      <w:r>
        <w:rPr>
          <w:color w:val="000000"/>
          <w:sz w:val="24"/>
          <w:szCs w:val="24"/>
        </w:rPr>
        <w:t>. 141]</w:t>
      </w:r>
    </w:p>
    <w:p w:rsidR="00A91DEE" w:rsidRDefault="00A22492">
      <w:pPr>
        <w:widowControl w:val="0"/>
        <w:spacing w:before="120"/>
        <w:ind w:firstLine="567"/>
        <w:jc w:val="both"/>
        <w:rPr>
          <w:color w:val="000000"/>
          <w:sz w:val="24"/>
          <w:szCs w:val="24"/>
        </w:rPr>
      </w:pPr>
      <w:r>
        <w:rPr>
          <w:color w:val="000000"/>
          <w:sz w:val="24"/>
          <w:szCs w:val="24"/>
        </w:rPr>
        <w:t>В рамках дополнительного образования проведены смотры-конкурсы экологического образования в школах и детских дошкольных учреждениях; районные (городские) и республиканские слеты юных экологов; Дни защиты от экологической опасности; выставки-конкурсы детских рисунков, плакатов, сочинений, исследовательских проектов и фоторабот (например, «Человек и окружающая среда»), научно-практических конференций, походов и слетов экологической направленности. В рамках общероссийского организован и проведен республиканский смотр-конкурс работы библиотек по экологическому просвещению населения.</w:t>
      </w:r>
    </w:p>
    <w:p w:rsidR="00A91DEE" w:rsidRDefault="00A22492">
      <w:pPr>
        <w:widowControl w:val="0"/>
        <w:spacing w:before="120"/>
        <w:ind w:firstLine="567"/>
        <w:jc w:val="both"/>
        <w:rPr>
          <w:color w:val="000000"/>
          <w:sz w:val="24"/>
          <w:szCs w:val="24"/>
        </w:rPr>
      </w:pPr>
      <w:r>
        <w:rPr>
          <w:color w:val="000000"/>
          <w:sz w:val="24"/>
          <w:szCs w:val="24"/>
        </w:rPr>
        <w:t>Разработаны Положение о ежегодном республиканском конкурсе учащихся «За сохранение природы и бережное отношение к лесным богатствам России», который также будет проходить в рамках общероссийского конкурса, и Положение о школьном лесничестве, создание которого позволит учащимся получать теоретические и практические знания по выращиванию, использованию и охране лесных ресурсов под руководством профессиональных работников лесной службы.</w:t>
      </w:r>
    </w:p>
    <w:p w:rsidR="00A91DEE" w:rsidRDefault="00A22492">
      <w:pPr>
        <w:widowControl w:val="0"/>
        <w:spacing w:before="120"/>
        <w:ind w:firstLine="567"/>
        <w:jc w:val="both"/>
        <w:rPr>
          <w:color w:val="000000"/>
          <w:sz w:val="24"/>
          <w:szCs w:val="24"/>
        </w:rPr>
      </w:pPr>
      <w:r>
        <w:rPr>
          <w:color w:val="000000"/>
          <w:sz w:val="24"/>
          <w:szCs w:val="24"/>
        </w:rPr>
        <w:t>Одним из труднорешаемых вопросов в области экологического образования из-за отсутствия необходимой нормативно-правовой базы и финансовых средств остается проблема широкого вовлечения в этот процесс всех слоев населения, и, что особенно важно, управленческого персонала предприятий, организаций и учреждений различных форм собственности. В настоящее время в рамках реализации Федеральной целевой программы экологического образования населения России проводится анализ выполнения принятой в 1990г. Республиканской комплексной программы «Экология-2005» для внесения соответствующих дополнений и изменений в раздел «Экологическое образование и просвещение».</w:t>
      </w:r>
    </w:p>
    <w:p w:rsidR="00A91DEE" w:rsidRDefault="00A22492">
      <w:pPr>
        <w:widowControl w:val="0"/>
        <w:spacing w:before="120"/>
        <w:ind w:firstLine="567"/>
        <w:jc w:val="both"/>
        <w:rPr>
          <w:color w:val="000000"/>
          <w:sz w:val="24"/>
          <w:szCs w:val="24"/>
        </w:rPr>
      </w:pPr>
      <w:r>
        <w:rPr>
          <w:color w:val="000000"/>
          <w:sz w:val="24"/>
          <w:szCs w:val="24"/>
        </w:rPr>
        <w:t xml:space="preserve">Значительную профилактическую работу по предотвращению нарушений рыбоохранного законодательства провели инспекции рыбоохраны Комирыбвода совместно с общественными инспекторами и активистами отрядов «Голубой патруль»: чтение лекций, проведение индивидуальных и коллективных бесед, выступления в печати, на радио и телевидении. [2; </w:t>
      </w:r>
      <w:r>
        <w:rPr>
          <w:color w:val="000000"/>
          <w:sz w:val="24"/>
          <w:szCs w:val="24"/>
          <w:lang w:val="en-US"/>
        </w:rPr>
        <w:t>C</w:t>
      </w:r>
      <w:r>
        <w:rPr>
          <w:color w:val="000000"/>
          <w:sz w:val="24"/>
          <w:szCs w:val="24"/>
        </w:rPr>
        <w:t>. 142]</w:t>
      </w:r>
    </w:p>
    <w:p w:rsidR="00A91DEE" w:rsidRDefault="00A22492">
      <w:pPr>
        <w:widowControl w:val="0"/>
        <w:spacing w:before="120"/>
        <w:jc w:val="center"/>
        <w:rPr>
          <w:b/>
          <w:bCs/>
          <w:color w:val="000000"/>
          <w:sz w:val="28"/>
          <w:szCs w:val="28"/>
        </w:rPr>
      </w:pPr>
      <w:r>
        <w:rPr>
          <w:b/>
          <w:bCs/>
          <w:color w:val="000000"/>
          <w:sz w:val="28"/>
          <w:szCs w:val="28"/>
        </w:rPr>
        <w:t>ЗАКЛЮЧЕНИЕ</w:t>
      </w:r>
    </w:p>
    <w:p w:rsidR="00A91DEE" w:rsidRDefault="00A22492">
      <w:pPr>
        <w:widowControl w:val="0"/>
        <w:spacing w:before="120"/>
        <w:ind w:firstLine="567"/>
        <w:jc w:val="both"/>
        <w:rPr>
          <w:color w:val="000000"/>
          <w:sz w:val="24"/>
          <w:szCs w:val="24"/>
        </w:rPr>
      </w:pPr>
      <w:r>
        <w:rPr>
          <w:color w:val="000000"/>
          <w:sz w:val="24"/>
          <w:szCs w:val="24"/>
        </w:rPr>
        <w:t>Можно отметить снижение количества выбросов загрязняющих веществ в атмосферу, сброса загрязненных стоков в поверхностные водоемы, заметное уменьшение аварий на нефтепроводах. Ослабление техногенного воздействия на природу обусловлено, в первую очередь, применением новых экологичных технологий в геологоразведочном производстве, нефтегазопереработке, строительстве и содержании трубопроводов. Высокий природоохранный эффект дают также технология безамбарного бурения скважин, применение буровых растворов с пониженным классом токсичности, использование геотекстиля для сохранения многомерзлотных пород и новых систем диагностики состояния трубопроводов. Большое значение имеют проведение научно-исследовательских работ по экологической тематике и использование их результатов в практике.</w:t>
      </w:r>
    </w:p>
    <w:p w:rsidR="00A91DEE" w:rsidRDefault="00A22492">
      <w:pPr>
        <w:widowControl w:val="0"/>
        <w:spacing w:before="120"/>
        <w:ind w:firstLine="567"/>
        <w:jc w:val="both"/>
        <w:rPr>
          <w:color w:val="000000"/>
          <w:sz w:val="24"/>
          <w:szCs w:val="24"/>
        </w:rPr>
      </w:pPr>
      <w:r>
        <w:rPr>
          <w:color w:val="000000"/>
          <w:sz w:val="24"/>
          <w:szCs w:val="24"/>
        </w:rPr>
        <w:t>Тем не менее экологические проблемы стоят еще достаточно остро. Главным препятствием в проведении масштабных природоохранных мероприятий является хорошо известная причина</w:t>
      </w:r>
      <w:r>
        <w:rPr>
          <w:noProof/>
          <w:color w:val="000000"/>
          <w:sz w:val="24"/>
          <w:szCs w:val="24"/>
        </w:rPr>
        <w:t xml:space="preserve"> -</w:t>
      </w:r>
      <w:r>
        <w:rPr>
          <w:color w:val="000000"/>
          <w:sz w:val="24"/>
          <w:szCs w:val="24"/>
        </w:rPr>
        <w:t xml:space="preserve"> недостаток финансовых средств.</w:t>
      </w:r>
    </w:p>
    <w:p w:rsidR="00A91DEE" w:rsidRDefault="00A22492">
      <w:pPr>
        <w:widowControl w:val="0"/>
        <w:spacing w:before="120"/>
        <w:ind w:firstLine="567"/>
        <w:jc w:val="both"/>
        <w:rPr>
          <w:color w:val="000000"/>
          <w:sz w:val="24"/>
          <w:szCs w:val="24"/>
        </w:rPr>
      </w:pPr>
      <w:r>
        <w:rPr>
          <w:color w:val="000000"/>
          <w:sz w:val="24"/>
          <w:szCs w:val="24"/>
        </w:rPr>
        <w:t xml:space="preserve">В нефтегазодобывающей отрасли значительные экологическую опасность представляет состояние трубопроводных коммуникаций, которое характеризуется катастрофическим старением и коррозионным износом. Ухудшение качества углеводородного сырья еще более осложняет ситуацию, главным образом в Усинском районе. </w:t>
      </w:r>
    </w:p>
    <w:p w:rsidR="00A91DEE" w:rsidRDefault="00A22492">
      <w:pPr>
        <w:widowControl w:val="0"/>
        <w:spacing w:before="120"/>
        <w:ind w:firstLine="567"/>
        <w:jc w:val="both"/>
        <w:rPr>
          <w:color w:val="000000"/>
          <w:sz w:val="24"/>
          <w:szCs w:val="24"/>
        </w:rPr>
      </w:pPr>
      <w:r>
        <w:rPr>
          <w:color w:val="000000"/>
          <w:sz w:val="24"/>
          <w:szCs w:val="24"/>
        </w:rPr>
        <w:t>Из-за недостаточного финансирования продолжается сокращение количества пунктов наблюдения сети государственного мониторинга геологической среды, сократился и объем исследований качества подземных вод, а в некоторых районах контроль не проводили вовсе. По—прежнему не решен вопрос ликвидации нефтеразведочных и самоизливающихся скважин, пробуренных при производстве геологоразведочных работ.</w:t>
      </w:r>
    </w:p>
    <w:p w:rsidR="00A91DEE" w:rsidRDefault="00A22492">
      <w:pPr>
        <w:widowControl w:val="0"/>
        <w:spacing w:before="120"/>
        <w:ind w:firstLine="567"/>
        <w:jc w:val="both"/>
        <w:rPr>
          <w:color w:val="000000"/>
          <w:sz w:val="24"/>
          <w:szCs w:val="24"/>
        </w:rPr>
      </w:pPr>
      <w:r>
        <w:rPr>
          <w:color w:val="000000"/>
          <w:sz w:val="24"/>
          <w:szCs w:val="24"/>
        </w:rPr>
        <w:t>С учетом сложившегося положения в лесной отрасли необходимо вовлечение в эксплуатацию лиственной древесины, сохранение жизнеспособного подроста и молодняка, проведение мер содействия естественному возобновлению, совершенствование законодательной основы для эффективной охраны и воспроизводства лесов республики.</w:t>
      </w:r>
    </w:p>
    <w:p w:rsidR="00A91DEE" w:rsidRDefault="00A22492">
      <w:pPr>
        <w:widowControl w:val="0"/>
        <w:spacing w:before="120"/>
        <w:ind w:firstLine="567"/>
        <w:jc w:val="both"/>
        <w:rPr>
          <w:color w:val="000000"/>
          <w:sz w:val="24"/>
          <w:szCs w:val="24"/>
        </w:rPr>
      </w:pPr>
      <w:r>
        <w:rPr>
          <w:color w:val="000000"/>
          <w:sz w:val="24"/>
          <w:szCs w:val="24"/>
        </w:rPr>
        <w:t xml:space="preserve">Почему-то бытует мнение, что решение проблем охраны окружающей среды не очень то выгодно для экономики. Но на самом деле руководитель предприятия обязан серьезно относиться к вопросам экологии. Судите сами: лучше ли стало, что объемы лесозаготовок в Коми снизились аж до 4 млн.куб.м? Закрываются леспромхозы, пустеют лесные поселки, растет безработица. А ведь местные жители уже привыкли к тому, что хлеб насущный дает заготовка и переработка древесины. И уже полузабыты традиционные промыслы: рыбная ловля, охота, землепашество. Во всяком случае, основным занятием в лесных поселках давно уже стала работа на нижних складах и делянках. Поэтому с точки зрения "зеленых", может быть, и хорошо, что леса в Коми рубят гораздо меньше, а для самих бывших лесорубов - это трагедия. Да и с научной точки зрения плохо: леса перестаивают, деревья гниют и гибнут. [1; </w:t>
      </w:r>
      <w:r>
        <w:rPr>
          <w:color w:val="000000"/>
          <w:sz w:val="24"/>
          <w:szCs w:val="24"/>
          <w:lang w:val="en-US"/>
        </w:rPr>
        <w:t>C</w:t>
      </w:r>
      <w:r>
        <w:rPr>
          <w:color w:val="000000"/>
          <w:sz w:val="24"/>
          <w:szCs w:val="24"/>
        </w:rPr>
        <w:t>.18]</w:t>
      </w:r>
    </w:p>
    <w:p w:rsidR="00A91DEE" w:rsidRDefault="00A22492">
      <w:pPr>
        <w:widowControl w:val="0"/>
        <w:spacing w:before="120"/>
        <w:ind w:firstLine="567"/>
        <w:jc w:val="both"/>
        <w:rPr>
          <w:color w:val="000000"/>
          <w:sz w:val="24"/>
          <w:szCs w:val="24"/>
        </w:rPr>
      </w:pPr>
      <w:r>
        <w:rPr>
          <w:color w:val="000000"/>
          <w:sz w:val="24"/>
          <w:szCs w:val="24"/>
        </w:rPr>
        <w:t>Численность ценных промысловых видов рыб (осетровых, лососевых и хариусов) во всех бассейнах в разной степени невысока, В крайне депрессивном состоянии находятся запасы семги. Сокращаются запасы частиковых рыб, главным образом</w:t>
      </w:r>
      <w:r>
        <w:rPr>
          <w:noProof/>
          <w:color w:val="000000"/>
          <w:sz w:val="24"/>
          <w:szCs w:val="24"/>
        </w:rPr>
        <w:t xml:space="preserve"> </w:t>
      </w:r>
      <w:r>
        <w:rPr>
          <w:color w:val="000000"/>
          <w:sz w:val="24"/>
          <w:szCs w:val="24"/>
        </w:rPr>
        <w:t>- крупного частика (щука, язь, налим), особенно в густонаселенных районах с постоянно усиливающимся прессом любительского рыболовства. Снижение численности лососевидных рыб обуславливают антропогенные факторы</w:t>
      </w:r>
      <w:r>
        <w:rPr>
          <w:noProof/>
          <w:color w:val="000000"/>
          <w:sz w:val="24"/>
          <w:szCs w:val="24"/>
        </w:rPr>
        <w:t xml:space="preserve"> </w:t>
      </w:r>
      <w:r>
        <w:rPr>
          <w:color w:val="000000"/>
          <w:sz w:val="24"/>
          <w:szCs w:val="24"/>
        </w:rPr>
        <w:t>- незаконный (браконьерский) вылов на миграционных путях и загрязнение среды обитания. Промысловый объем вылова рыбы за 90-е годы сократилось в несколько раз, что, в первую очередь, вызвано деградацией системы промысла.</w:t>
      </w:r>
    </w:p>
    <w:p w:rsidR="00A91DEE" w:rsidRDefault="00A22492">
      <w:pPr>
        <w:widowControl w:val="0"/>
        <w:spacing w:before="120"/>
        <w:ind w:firstLine="567"/>
        <w:jc w:val="both"/>
        <w:rPr>
          <w:color w:val="000000"/>
          <w:sz w:val="24"/>
          <w:szCs w:val="24"/>
        </w:rPr>
      </w:pPr>
      <w:r>
        <w:rPr>
          <w:color w:val="000000"/>
          <w:sz w:val="24"/>
          <w:szCs w:val="24"/>
        </w:rPr>
        <w:t>Для остановки спада численности основных видов охотничьих животных (лось и северный олень) необходимо продолжить практику закрепления охотничьих угодий и повышать требовательность к конкретным охотпользователям, а также усилить контроль за использованием объектов животного мира, соблюдением правил охоты и природоохранного законодательства. Решение вопроса о выплате вознаграждений за уничтожение вредных животных поможет стабилизировать численность хищников (волков) на оптимальном уровне.</w:t>
      </w:r>
    </w:p>
    <w:p w:rsidR="00A91DEE" w:rsidRDefault="00A22492">
      <w:pPr>
        <w:widowControl w:val="0"/>
        <w:spacing w:before="120"/>
        <w:ind w:firstLine="567"/>
        <w:jc w:val="both"/>
        <w:rPr>
          <w:color w:val="000000"/>
          <w:sz w:val="24"/>
          <w:szCs w:val="24"/>
        </w:rPr>
      </w:pPr>
      <w:r>
        <w:rPr>
          <w:color w:val="000000"/>
          <w:sz w:val="24"/>
          <w:szCs w:val="24"/>
        </w:rPr>
        <w:t xml:space="preserve">Наша республика имеет громадные резервы в деле использования своих рекреационных ресурсов. И то, что к разряду охраняемых площадей относится почти 15% территории Коми - очень хорошо. Поскольку это и есть наши рекреационные ресурсы. От крупных объектов вроде Национального парка и Печоро-Илычского заповедника до более мелких. К слову говоря, пригородные зоны - тоже наши рекреационные ресурсы, которые следует охранять. </w:t>
      </w:r>
    </w:p>
    <w:p w:rsidR="00A91DEE" w:rsidRDefault="00A22492">
      <w:pPr>
        <w:widowControl w:val="0"/>
        <w:spacing w:before="120"/>
        <w:ind w:firstLine="567"/>
        <w:jc w:val="both"/>
        <w:rPr>
          <w:color w:val="000000"/>
          <w:sz w:val="24"/>
          <w:szCs w:val="24"/>
        </w:rPr>
      </w:pPr>
      <w:r>
        <w:rPr>
          <w:color w:val="000000"/>
          <w:sz w:val="24"/>
          <w:szCs w:val="24"/>
        </w:rPr>
        <w:t xml:space="preserve">Нам близки и понятны акции, совершаемые во имя спасения и сохранения окружающей природы, этой животной среды благополучия человека, но только на отрицании и запрете ресурсного потенциала отдельных территорий эффективной работы не получится. [1; </w:t>
      </w:r>
      <w:r>
        <w:rPr>
          <w:color w:val="000000"/>
          <w:sz w:val="24"/>
          <w:szCs w:val="24"/>
          <w:lang w:val="en-US"/>
        </w:rPr>
        <w:t>C</w:t>
      </w:r>
      <w:r>
        <w:rPr>
          <w:color w:val="000000"/>
          <w:sz w:val="24"/>
          <w:szCs w:val="24"/>
        </w:rPr>
        <w:t>. 19]</w:t>
      </w:r>
    </w:p>
    <w:p w:rsidR="00A91DEE" w:rsidRDefault="00A22492">
      <w:pPr>
        <w:widowControl w:val="0"/>
        <w:spacing w:before="120"/>
        <w:ind w:firstLine="567"/>
        <w:jc w:val="both"/>
        <w:rPr>
          <w:color w:val="000000"/>
          <w:sz w:val="24"/>
          <w:szCs w:val="24"/>
        </w:rPr>
      </w:pPr>
      <w:r>
        <w:rPr>
          <w:color w:val="000000"/>
          <w:sz w:val="24"/>
          <w:szCs w:val="24"/>
        </w:rPr>
        <w:t xml:space="preserve">Человек очень много берет у природы, но пока, увы, мало дает ей взамен. И всякий такой заем кончается для нее плохо: исчезают уникальные природные комплексы, а вместо с ними уничтожаются многие виды растений и животных или, как говорят ученые, обедняется генетический фонд Земли. Вот поэтому сохранить то, что еще осталось, и не дать природе погибнуть от бездумного и неразумного в нее вторжения - наша главная цель. [6; </w:t>
      </w:r>
      <w:r>
        <w:rPr>
          <w:color w:val="000000"/>
          <w:sz w:val="24"/>
          <w:szCs w:val="24"/>
          <w:lang w:val="en-US"/>
        </w:rPr>
        <w:t>C</w:t>
      </w:r>
      <w:r>
        <w:rPr>
          <w:color w:val="000000"/>
          <w:sz w:val="24"/>
          <w:szCs w:val="24"/>
        </w:rPr>
        <w:t>. 5]</w:t>
      </w:r>
    </w:p>
    <w:p w:rsidR="00A91DEE" w:rsidRDefault="00A22492">
      <w:pPr>
        <w:widowControl w:val="0"/>
        <w:spacing w:before="120"/>
        <w:jc w:val="center"/>
        <w:rPr>
          <w:b/>
          <w:bCs/>
          <w:color w:val="000000"/>
          <w:sz w:val="28"/>
          <w:szCs w:val="28"/>
        </w:rPr>
      </w:pPr>
      <w:r>
        <w:rPr>
          <w:b/>
          <w:bCs/>
          <w:color w:val="000000"/>
          <w:sz w:val="28"/>
          <w:szCs w:val="28"/>
        </w:rPr>
        <w:t>Список литературы</w:t>
      </w:r>
    </w:p>
    <w:p w:rsidR="00A91DEE" w:rsidRDefault="00A22492">
      <w:pPr>
        <w:widowControl w:val="0"/>
        <w:spacing w:before="120"/>
        <w:ind w:firstLine="567"/>
        <w:jc w:val="both"/>
        <w:rPr>
          <w:color w:val="000000"/>
          <w:sz w:val="24"/>
          <w:szCs w:val="24"/>
        </w:rPr>
      </w:pPr>
      <w:r>
        <w:rPr>
          <w:color w:val="000000"/>
          <w:sz w:val="24"/>
          <w:szCs w:val="24"/>
        </w:rPr>
        <w:t>Боровинских А. Природные ресурсы - основа экономики республики // Регион. 1997. №12.</w:t>
      </w:r>
    </w:p>
    <w:p w:rsidR="00A91DEE" w:rsidRDefault="00A22492">
      <w:pPr>
        <w:widowControl w:val="0"/>
        <w:spacing w:before="120"/>
        <w:ind w:firstLine="567"/>
        <w:jc w:val="both"/>
        <w:rPr>
          <w:color w:val="000000"/>
          <w:sz w:val="24"/>
          <w:szCs w:val="24"/>
        </w:rPr>
      </w:pPr>
      <w:r>
        <w:rPr>
          <w:color w:val="000000"/>
          <w:sz w:val="24"/>
          <w:szCs w:val="24"/>
        </w:rPr>
        <w:t>Государственный доклад " О состоянии окружающей природной среды Республики Коми в 1997 году". Сыктывкар, 1998.</w:t>
      </w:r>
    </w:p>
    <w:p w:rsidR="00A91DEE" w:rsidRDefault="00A22492">
      <w:pPr>
        <w:widowControl w:val="0"/>
        <w:spacing w:before="120"/>
        <w:ind w:firstLine="567"/>
        <w:jc w:val="both"/>
        <w:rPr>
          <w:color w:val="000000"/>
          <w:sz w:val="24"/>
          <w:szCs w:val="24"/>
        </w:rPr>
      </w:pPr>
      <w:r>
        <w:rPr>
          <w:color w:val="000000"/>
          <w:sz w:val="24"/>
          <w:szCs w:val="24"/>
        </w:rPr>
        <w:t>Мельникова Н. Национальный парк "Югыд ва": экономика и экология должны идти вместе // Регион. 1998. №8.</w:t>
      </w:r>
    </w:p>
    <w:p w:rsidR="00A91DEE" w:rsidRDefault="00A22492">
      <w:pPr>
        <w:widowControl w:val="0"/>
        <w:spacing w:before="120"/>
        <w:ind w:firstLine="567"/>
        <w:jc w:val="both"/>
        <w:rPr>
          <w:color w:val="000000"/>
          <w:sz w:val="24"/>
          <w:szCs w:val="24"/>
        </w:rPr>
      </w:pPr>
      <w:r>
        <w:rPr>
          <w:color w:val="000000"/>
          <w:sz w:val="24"/>
          <w:szCs w:val="24"/>
        </w:rPr>
        <w:t>Природа зовет к действию // Регион. 1997. №7.</w:t>
      </w:r>
    </w:p>
    <w:p w:rsidR="00A91DEE" w:rsidRDefault="00A22492">
      <w:pPr>
        <w:widowControl w:val="0"/>
        <w:spacing w:before="120"/>
        <w:ind w:firstLine="567"/>
        <w:jc w:val="both"/>
        <w:rPr>
          <w:color w:val="000000"/>
          <w:sz w:val="24"/>
          <w:szCs w:val="24"/>
        </w:rPr>
      </w:pPr>
      <w:r>
        <w:rPr>
          <w:color w:val="000000"/>
          <w:sz w:val="24"/>
          <w:szCs w:val="24"/>
        </w:rPr>
        <w:t>Республика Коми: Энциклопедия. Том 1. Сыктывкар, 1997.</w:t>
      </w:r>
    </w:p>
    <w:p w:rsidR="00A91DEE" w:rsidRDefault="00A22492">
      <w:pPr>
        <w:widowControl w:val="0"/>
        <w:spacing w:before="120"/>
        <w:ind w:firstLine="567"/>
        <w:jc w:val="both"/>
        <w:rPr>
          <w:color w:val="000000"/>
          <w:sz w:val="24"/>
          <w:szCs w:val="24"/>
        </w:rPr>
      </w:pPr>
      <w:r>
        <w:rPr>
          <w:color w:val="000000"/>
          <w:sz w:val="24"/>
          <w:szCs w:val="24"/>
        </w:rPr>
        <w:t>Рощевский М.П. Нам и внукам. Сыктывкар. 1988.</w:t>
      </w:r>
    </w:p>
    <w:p w:rsidR="00A91DEE" w:rsidRDefault="00A22492">
      <w:pPr>
        <w:widowControl w:val="0"/>
        <w:spacing w:before="120"/>
        <w:ind w:firstLine="567"/>
        <w:jc w:val="both"/>
        <w:rPr>
          <w:color w:val="000000"/>
          <w:sz w:val="24"/>
          <w:szCs w:val="24"/>
        </w:rPr>
      </w:pPr>
      <w:r>
        <w:rPr>
          <w:color w:val="000000"/>
          <w:sz w:val="24"/>
          <w:szCs w:val="24"/>
        </w:rPr>
        <w:t>Турова В. Операция "Чистый воздух" // Панорама столицы. 1999. 14 января.</w:t>
      </w:r>
    </w:p>
    <w:p w:rsidR="00A91DEE" w:rsidRDefault="00A22492">
      <w:pPr>
        <w:widowControl w:val="0"/>
        <w:spacing w:before="120"/>
        <w:ind w:firstLine="567"/>
        <w:jc w:val="both"/>
        <w:rPr>
          <w:color w:val="000000"/>
          <w:sz w:val="24"/>
          <w:szCs w:val="24"/>
        </w:rPr>
      </w:pPr>
      <w:r>
        <w:rPr>
          <w:color w:val="000000"/>
          <w:sz w:val="24"/>
          <w:szCs w:val="24"/>
        </w:rPr>
        <w:t>Яншин А.Л., Мелуа Я.И. Уроки экологических просчетов. М</w:t>
      </w:r>
      <w:r>
        <w:rPr>
          <w:color w:val="000000"/>
          <w:sz w:val="24"/>
          <w:szCs w:val="24"/>
          <w:lang w:val="en-US"/>
        </w:rPr>
        <w:t>.,</w:t>
      </w:r>
      <w:r>
        <w:rPr>
          <w:color w:val="000000"/>
          <w:sz w:val="24"/>
          <w:szCs w:val="24"/>
        </w:rPr>
        <w:t xml:space="preserve"> 1991</w:t>
      </w:r>
      <w:r>
        <w:rPr>
          <w:color w:val="000000"/>
          <w:sz w:val="24"/>
          <w:szCs w:val="24"/>
          <w:lang w:val="en-US"/>
        </w:rPr>
        <w:t>.</w:t>
      </w:r>
      <w:bookmarkStart w:id="0" w:name="_GoBack"/>
      <w:bookmarkEnd w:id="0"/>
    </w:p>
    <w:sectPr w:rsidR="00A91DEE">
      <w:pgSz w:w="11907" w:h="16840" w:code="9"/>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8205AA"/>
    <w:multiLevelType w:val="singleLevel"/>
    <w:tmpl w:val="0C8CC08E"/>
    <w:lvl w:ilvl="0">
      <w:numFmt w:val="none"/>
      <w:lvlText w:val=""/>
      <w:lvlJc w:val="left"/>
      <w:pPr>
        <w:tabs>
          <w:tab w:val="num" w:pos="360"/>
        </w:tabs>
      </w:pPr>
    </w:lvl>
  </w:abstractNum>
  <w:abstractNum w:abstractNumId="1">
    <w:nsid w:val="4A3108E8"/>
    <w:multiLevelType w:val="singleLevel"/>
    <w:tmpl w:val="9D80D5E2"/>
    <w:lvl w:ilvl="0">
      <w:numFmt w:val="none"/>
      <w:lvlText w:val=""/>
      <w:lvlJc w:val="left"/>
      <w:pPr>
        <w:tabs>
          <w:tab w:val="num" w:pos="360"/>
        </w:tabs>
      </w:pPr>
    </w:lvl>
  </w:abstractNum>
  <w:abstractNum w:abstractNumId="2">
    <w:nsid w:val="4E1D7121"/>
    <w:multiLevelType w:val="singleLevel"/>
    <w:tmpl w:val="850453B0"/>
    <w:lvl w:ilvl="0">
      <w:start w:val="1"/>
      <w:numFmt w:val="decimal"/>
      <w:lvlText w:val="%1."/>
      <w:legacy w:legacy="1" w:legacySpace="0" w:legacyIndent="283"/>
      <w:lvlJc w:val="left"/>
      <w:pPr>
        <w:ind w:left="283" w:hanging="283"/>
      </w:pPr>
    </w:lvl>
  </w:abstractNum>
  <w:abstractNum w:abstractNumId="3">
    <w:nsid w:val="6DEA6C99"/>
    <w:multiLevelType w:val="singleLevel"/>
    <w:tmpl w:val="CE38C8A8"/>
    <w:lvl w:ilvl="0">
      <w:numFmt w:val="none"/>
      <w:lvlText w:val=""/>
      <w:lvlJc w:val="left"/>
      <w:pPr>
        <w:tabs>
          <w:tab w:val="num" w:pos="360"/>
        </w:tabs>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59"/>
  <w:drawingGridVerticalSpacing w:val="40"/>
  <w:displayVerticalDrawingGridEvery w:val="0"/>
  <w:doNotShadeFormData/>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2492"/>
    <w:rsid w:val="003136B0"/>
    <w:rsid w:val="00A22492"/>
    <w:rsid w:val="00A91D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B4996FF-37BC-4F2C-980D-0D1EED0E9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spacing w:after="0" w:line="240" w:lineRule="auto"/>
      <w:textAlignment w:val="baseline"/>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rPr>
      <w:sz w:val="16"/>
      <w:szCs w:val="16"/>
    </w:rPr>
  </w:style>
  <w:style w:type="paragraph" w:styleId="a4">
    <w:name w:val="annotation text"/>
    <w:basedOn w:val="a"/>
    <w:link w:val="a5"/>
    <w:uiPriority w:val="99"/>
  </w:style>
  <w:style w:type="character" w:customStyle="1" w:styleId="a5">
    <w:name w:val="Текст примечания Знак"/>
    <w:basedOn w:val="a0"/>
    <w:link w:val="a4"/>
    <w:uiPriority w:val="99"/>
    <w:semiHidden/>
    <w:rPr>
      <w:rFonts w:ascii="Times New Roman" w:hAnsi="Times New Roman" w:cs="Times New Roman"/>
      <w:sz w:val="20"/>
      <w:szCs w:val="20"/>
    </w:rPr>
  </w:style>
  <w:style w:type="paragraph" w:styleId="a6">
    <w:name w:val="header"/>
    <w:basedOn w:val="a"/>
    <w:link w:val="a7"/>
    <w:uiPriority w:val="99"/>
    <w:pPr>
      <w:tabs>
        <w:tab w:val="center" w:pos="4153"/>
        <w:tab w:val="right" w:pos="8306"/>
      </w:tabs>
    </w:pPr>
  </w:style>
  <w:style w:type="character" w:customStyle="1" w:styleId="a7">
    <w:name w:val="Верхний колонтитул Знак"/>
    <w:basedOn w:val="a0"/>
    <w:link w:val="a6"/>
    <w:uiPriority w:val="99"/>
    <w:semiHidden/>
    <w:rPr>
      <w:rFonts w:ascii="Times New Roman" w:hAnsi="Times New Roman" w:cs="Times New Roman"/>
      <w:sz w:val="20"/>
      <w:szCs w:val="20"/>
    </w:rPr>
  </w:style>
  <w:style w:type="paragraph" w:styleId="a8">
    <w:name w:val="footer"/>
    <w:basedOn w:val="a"/>
    <w:link w:val="a9"/>
    <w:uiPriority w:val="99"/>
    <w:pPr>
      <w:tabs>
        <w:tab w:val="center" w:pos="4153"/>
        <w:tab w:val="right" w:pos="8306"/>
      </w:tabs>
    </w:pPr>
  </w:style>
  <w:style w:type="character" w:customStyle="1" w:styleId="a9">
    <w:name w:val="Нижний колонтитул Знак"/>
    <w:basedOn w:val="a0"/>
    <w:link w:val="a8"/>
    <w:uiPriority w:val="99"/>
    <w:semiHidden/>
    <w:rPr>
      <w:rFonts w:ascii="Times New Roman" w:hAnsi="Times New Roman" w:cs="Times New Roman"/>
      <w:sz w:val="20"/>
      <w:szCs w:val="20"/>
    </w:rPr>
  </w:style>
  <w:style w:type="character" w:styleId="aa">
    <w:name w:val="page number"/>
    <w:basedOn w:val="a0"/>
    <w:uiPriority w:val="99"/>
  </w:style>
  <w:style w:type="character" w:styleId="ab">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8851</Words>
  <Characters>50452</Characters>
  <Application>Microsoft Office Word</Application>
  <DocSecurity>0</DocSecurity>
  <Lines>420</Lines>
  <Paragraphs>118</Paragraphs>
  <ScaleCrop>false</ScaleCrop>
  <Company>P_M</Company>
  <LinksUpToDate>false</LinksUpToDate>
  <CharactersWithSpaces>59185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ПРЕДИСЛОВИЕ</dc:title>
  <dc:subject/>
  <dc:creator>Попов Василий Михайлович</dc:creator>
  <cp:keywords/>
  <dc:description/>
  <cp:lastModifiedBy>admin</cp:lastModifiedBy>
  <cp:revision>2</cp:revision>
  <cp:lastPrinted>1998-04-09T17:19:00Z</cp:lastPrinted>
  <dcterms:created xsi:type="dcterms:W3CDTF">2014-02-20T03:00:00Z</dcterms:created>
  <dcterms:modified xsi:type="dcterms:W3CDTF">2014-02-20T03:00:00Z</dcterms:modified>
</cp:coreProperties>
</file>