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4" w:rsidRPr="009774DB" w:rsidRDefault="007B48A4" w:rsidP="009774DB">
      <w:pPr>
        <w:pStyle w:val="1"/>
        <w:spacing w:line="360" w:lineRule="auto"/>
        <w:jc w:val="center"/>
      </w:pPr>
      <w:bookmarkStart w:id="0" w:name="_Toc245980820"/>
      <w:r w:rsidRPr="009774DB">
        <w:t>Министерство</w:t>
      </w:r>
      <w:r w:rsidR="009774DB" w:rsidRPr="009774DB">
        <w:t xml:space="preserve"> </w:t>
      </w:r>
      <w:r w:rsidRPr="009774DB">
        <w:t>образования Республики Беларусь</w:t>
      </w:r>
      <w:bookmarkEnd w:id="0"/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  <w:r w:rsidRPr="009774DB">
        <w:rPr>
          <w:sz w:val="28"/>
        </w:rPr>
        <w:t>Учреждение образования</w:t>
      </w:r>
    </w:p>
    <w:p w:rsidR="007B48A4" w:rsidRPr="009774DB" w:rsidRDefault="007B48A4" w:rsidP="009774DB">
      <w:pPr>
        <w:spacing w:line="360" w:lineRule="auto"/>
        <w:jc w:val="center"/>
        <w:rPr>
          <w:sz w:val="28"/>
          <w:lang w:val="be-BY"/>
        </w:rPr>
      </w:pPr>
      <w:r w:rsidRPr="009774DB">
        <w:rPr>
          <w:sz w:val="28"/>
        </w:rPr>
        <w:t>“Гомельский государственный университет имени Франциска Скорины”</w:t>
      </w: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  <w:r w:rsidRPr="009774DB">
        <w:rPr>
          <w:sz w:val="28"/>
        </w:rPr>
        <w:t>Биологический факультет</w:t>
      </w: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pStyle w:val="2"/>
        <w:spacing w:line="360" w:lineRule="auto"/>
      </w:pPr>
    </w:p>
    <w:p w:rsidR="007B48A4" w:rsidRPr="009774DB" w:rsidRDefault="007B48A4" w:rsidP="009774DB">
      <w:pPr>
        <w:pStyle w:val="21"/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b/>
          <w:sz w:val="28"/>
        </w:rPr>
      </w:pPr>
    </w:p>
    <w:p w:rsidR="007B48A4" w:rsidRPr="009774DB" w:rsidRDefault="007B48A4" w:rsidP="009774DB">
      <w:pPr>
        <w:pStyle w:val="21"/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b/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jc w:val="center"/>
        <w:rPr>
          <w:b/>
          <w:snapToGrid w:val="0"/>
          <w:sz w:val="28"/>
          <w:szCs w:val="32"/>
        </w:rPr>
      </w:pPr>
      <w:r w:rsidRPr="009774DB">
        <w:rPr>
          <w:b/>
          <w:snapToGrid w:val="0"/>
          <w:sz w:val="28"/>
          <w:szCs w:val="32"/>
        </w:rPr>
        <w:t>Определение оптимальной возрастной</w:t>
      </w:r>
    </w:p>
    <w:p w:rsidR="007B48A4" w:rsidRPr="009774DB" w:rsidRDefault="007B48A4" w:rsidP="009774DB">
      <w:pPr>
        <w:widowControl w:val="0"/>
        <w:spacing w:line="360" w:lineRule="auto"/>
        <w:jc w:val="center"/>
        <w:rPr>
          <w:b/>
          <w:snapToGrid w:val="0"/>
          <w:sz w:val="28"/>
          <w:szCs w:val="32"/>
        </w:rPr>
      </w:pPr>
      <w:r w:rsidRPr="009774DB">
        <w:rPr>
          <w:b/>
          <w:snapToGrid w:val="0"/>
          <w:sz w:val="28"/>
          <w:szCs w:val="32"/>
        </w:rPr>
        <w:t>структуры лесного фонда</w:t>
      </w:r>
      <w:r w:rsidR="009774DB" w:rsidRPr="009774DB">
        <w:rPr>
          <w:b/>
          <w:snapToGrid w:val="0"/>
          <w:sz w:val="28"/>
          <w:szCs w:val="32"/>
        </w:rPr>
        <w:t xml:space="preserve"> </w:t>
      </w:r>
      <w:r w:rsidRPr="009774DB">
        <w:rPr>
          <w:b/>
          <w:snapToGrid w:val="0"/>
          <w:sz w:val="28"/>
          <w:szCs w:val="32"/>
        </w:rPr>
        <w:t>Республики Беларусь</w:t>
      </w: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  <w:r w:rsidRPr="009774DB">
        <w:rPr>
          <w:sz w:val="28"/>
        </w:rPr>
        <w:t>Курсовая работа</w:t>
      </w: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rPr>
          <w:sz w:val="28"/>
        </w:rPr>
      </w:pPr>
      <w:r w:rsidRPr="009774DB">
        <w:rPr>
          <w:sz w:val="28"/>
        </w:rPr>
        <w:t>Исполнитель: студентка гр. Б-42</w:t>
      </w:r>
      <w:r w:rsidR="009774DB" w:rsidRPr="009774DB">
        <w:rPr>
          <w:sz w:val="28"/>
        </w:rPr>
        <w:t xml:space="preserve"> </w:t>
      </w:r>
      <w:r w:rsidRPr="009774DB">
        <w:rPr>
          <w:sz w:val="28"/>
        </w:rPr>
        <w:t>_____________</w:t>
      </w:r>
      <w:r w:rsidRPr="009774DB">
        <w:rPr>
          <w:b/>
          <w:smallCaps/>
          <w:sz w:val="28"/>
        </w:rPr>
        <w:t xml:space="preserve"> В.Ф. Багинский</w:t>
      </w:r>
    </w:p>
    <w:p w:rsidR="007B48A4" w:rsidRPr="009774DB" w:rsidRDefault="007B48A4" w:rsidP="009774DB">
      <w:pPr>
        <w:spacing w:line="360" w:lineRule="auto"/>
        <w:rPr>
          <w:sz w:val="28"/>
        </w:rPr>
      </w:pPr>
    </w:p>
    <w:p w:rsidR="007B48A4" w:rsidRPr="009774DB" w:rsidRDefault="007B48A4" w:rsidP="009774DB">
      <w:pPr>
        <w:spacing w:line="360" w:lineRule="auto"/>
        <w:rPr>
          <w:sz w:val="28"/>
        </w:rPr>
      </w:pPr>
      <w:r w:rsidRPr="009774DB">
        <w:rPr>
          <w:sz w:val="28"/>
        </w:rPr>
        <w:t>Научный руководитель: ассистент</w:t>
      </w:r>
      <w:r w:rsidR="009774DB" w:rsidRPr="009774DB">
        <w:rPr>
          <w:sz w:val="28"/>
        </w:rPr>
        <w:t xml:space="preserve"> </w:t>
      </w:r>
      <w:r w:rsidRPr="009774DB">
        <w:rPr>
          <w:sz w:val="28"/>
        </w:rPr>
        <w:t>____________Тороп Е.И.</w:t>
      </w: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Default="007B48A4" w:rsidP="009774DB">
      <w:pPr>
        <w:spacing w:line="360" w:lineRule="auto"/>
        <w:jc w:val="center"/>
        <w:rPr>
          <w:sz w:val="28"/>
        </w:rPr>
      </w:pPr>
    </w:p>
    <w:p w:rsidR="009774DB" w:rsidRDefault="009774DB" w:rsidP="009774DB">
      <w:pPr>
        <w:spacing w:line="360" w:lineRule="auto"/>
        <w:jc w:val="center"/>
        <w:rPr>
          <w:sz w:val="28"/>
        </w:rPr>
      </w:pPr>
    </w:p>
    <w:p w:rsidR="009774DB" w:rsidRDefault="009774DB" w:rsidP="009774DB">
      <w:pPr>
        <w:spacing w:line="360" w:lineRule="auto"/>
        <w:jc w:val="center"/>
        <w:rPr>
          <w:sz w:val="28"/>
        </w:rPr>
      </w:pPr>
    </w:p>
    <w:p w:rsidR="009774DB" w:rsidRDefault="009774DB" w:rsidP="009774DB">
      <w:pPr>
        <w:spacing w:line="360" w:lineRule="auto"/>
        <w:jc w:val="center"/>
        <w:rPr>
          <w:sz w:val="28"/>
        </w:rPr>
      </w:pPr>
    </w:p>
    <w:p w:rsidR="009774DB" w:rsidRDefault="009774DB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7B48A4" w:rsidRPr="009774DB" w:rsidRDefault="007B48A4" w:rsidP="009774DB">
      <w:pPr>
        <w:spacing w:line="360" w:lineRule="auto"/>
        <w:jc w:val="center"/>
        <w:rPr>
          <w:sz w:val="28"/>
        </w:rPr>
      </w:pPr>
    </w:p>
    <w:p w:rsidR="00A22CD2" w:rsidRPr="009774DB" w:rsidRDefault="007B48A4" w:rsidP="009774DB">
      <w:pPr>
        <w:spacing w:line="360" w:lineRule="auto"/>
        <w:jc w:val="center"/>
        <w:rPr>
          <w:sz w:val="28"/>
        </w:rPr>
      </w:pPr>
      <w:r w:rsidRPr="009774DB">
        <w:rPr>
          <w:sz w:val="28"/>
        </w:rPr>
        <w:t>Гомель 2006</w:t>
      </w:r>
    </w:p>
    <w:p w:rsidR="007B48A4" w:rsidRDefault="009774DB" w:rsidP="009774DB">
      <w:pPr>
        <w:widowControl w:val="0"/>
        <w:tabs>
          <w:tab w:val="left" w:pos="290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8A4" w:rsidRPr="009774DB">
        <w:rPr>
          <w:sz w:val="28"/>
          <w:szCs w:val="28"/>
        </w:rPr>
        <w:t>Содержание</w:t>
      </w:r>
    </w:p>
    <w:p w:rsidR="009774DB" w:rsidRPr="009774DB" w:rsidRDefault="009774DB" w:rsidP="009774DB">
      <w:pPr>
        <w:widowControl w:val="0"/>
        <w:tabs>
          <w:tab w:val="left" w:pos="2904"/>
        </w:tabs>
        <w:spacing w:line="360" w:lineRule="auto"/>
        <w:ind w:firstLine="720"/>
        <w:jc w:val="both"/>
        <w:rPr>
          <w:sz w:val="28"/>
        </w:rPr>
      </w:pPr>
    </w:p>
    <w:p w:rsidR="009774DB" w:rsidRPr="009774DB" w:rsidRDefault="009774DB" w:rsidP="009774DB">
      <w:pPr>
        <w:widowControl w:val="0"/>
        <w:spacing w:line="360" w:lineRule="auto"/>
        <w:rPr>
          <w:sz w:val="28"/>
          <w:szCs w:val="28"/>
        </w:rPr>
      </w:pPr>
      <w:r w:rsidRPr="009774DB">
        <w:rPr>
          <w:sz w:val="28"/>
          <w:szCs w:val="28"/>
        </w:rPr>
        <w:t>Введение</w:t>
      </w:r>
    </w:p>
    <w:p w:rsidR="009774DB" w:rsidRPr="009774DB" w:rsidRDefault="009774DB" w:rsidP="009774DB">
      <w:pPr>
        <w:widowControl w:val="0"/>
        <w:spacing w:line="360" w:lineRule="auto"/>
        <w:rPr>
          <w:sz w:val="28"/>
          <w:szCs w:val="28"/>
        </w:rPr>
      </w:pPr>
      <w:r w:rsidRPr="009774DB">
        <w:rPr>
          <w:sz w:val="28"/>
          <w:szCs w:val="28"/>
        </w:rPr>
        <w:t>Материалы и методы исследования</w:t>
      </w:r>
    </w:p>
    <w:p w:rsidR="009774DB" w:rsidRPr="009774DB" w:rsidRDefault="009774DB" w:rsidP="009774DB">
      <w:pPr>
        <w:widowControl w:val="0"/>
        <w:spacing w:line="360" w:lineRule="auto"/>
        <w:rPr>
          <w:sz w:val="28"/>
          <w:szCs w:val="28"/>
        </w:rPr>
      </w:pPr>
      <w:r w:rsidRPr="009774DB">
        <w:rPr>
          <w:sz w:val="28"/>
          <w:szCs w:val="28"/>
        </w:rPr>
        <w:t>Результаты и их обсуждение</w:t>
      </w:r>
    </w:p>
    <w:p w:rsidR="009774DB" w:rsidRPr="009774DB" w:rsidRDefault="009774DB" w:rsidP="009774DB">
      <w:pPr>
        <w:widowControl w:val="0"/>
        <w:spacing w:line="360" w:lineRule="auto"/>
        <w:rPr>
          <w:sz w:val="28"/>
          <w:szCs w:val="28"/>
        </w:rPr>
      </w:pPr>
      <w:r w:rsidRPr="009774DB">
        <w:rPr>
          <w:sz w:val="28"/>
          <w:szCs w:val="28"/>
        </w:rPr>
        <w:t>Заключение</w:t>
      </w:r>
    </w:p>
    <w:p w:rsidR="007B48A4" w:rsidRPr="009774DB" w:rsidRDefault="009774DB" w:rsidP="009774DB">
      <w:pPr>
        <w:widowControl w:val="0"/>
        <w:spacing w:line="360" w:lineRule="auto"/>
        <w:rPr>
          <w:sz w:val="28"/>
          <w:szCs w:val="28"/>
        </w:rPr>
      </w:pPr>
      <w:r w:rsidRPr="009774DB">
        <w:rPr>
          <w:sz w:val="28"/>
          <w:szCs w:val="28"/>
        </w:rPr>
        <w:t>Литература</w:t>
      </w:r>
    </w:p>
    <w:p w:rsidR="007B48A4" w:rsidRPr="009774DB" w:rsidRDefault="007B48A4" w:rsidP="009774DB">
      <w:pPr>
        <w:widowControl w:val="0"/>
        <w:spacing w:line="360" w:lineRule="auto"/>
        <w:rPr>
          <w:sz w:val="28"/>
          <w:szCs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bookmarkStart w:id="1" w:name="_Toc245980821"/>
      <w:r>
        <w:rPr>
          <w:sz w:val="28"/>
          <w:szCs w:val="28"/>
        </w:rPr>
        <w:br w:type="page"/>
      </w:r>
      <w:r w:rsidR="007B48A4" w:rsidRPr="009774DB">
        <w:rPr>
          <w:sz w:val="28"/>
          <w:szCs w:val="28"/>
        </w:rPr>
        <w:t>Введение</w:t>
      </w:r>
      <w:bookmarkEnd w:id="1"/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Оптимальная возрастная структура является одним из основных научно-технических показателей в теории нормального леса [3, 4, 11, 16]. При всей кажущейся простоте этого понятия, оптимальная возрастная структура на самом деле сложная и неоднозначно понимаемая категория. Достаточно сказать, что ни в одной стране не удается полностью добиться оптимальной возрастной структуры лесов. Нормативы, определяющие этот показатель, постоянно меняются, так как зависят от принятого оборота рубки и экономических условий ведения хозяйства.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 Беларуси проблема оптимизации возрастной структуры лесов остро стоит уже более 50 лет и до сих пор не решена. В последние годы принятыми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 xml:space="preserve">"Концепцией развития лесного хозяйства на 1996-2015 гг." и "Стратегическим планом развития лесного хозяйства (1997-2015 гг.)" намечено вплотную приблизиться к оптимальной возрастной структуре лесного фонда. В настоящее время в результате успешного выполнения названных документов появились реальные предпосылки получить упомянутый результат. Об этом свидетельствует увеличение против </w:t>
      </w:r>
      <w:smartTag w:uri="urn:schemas-microsoft-com:office:smarttags" w:element="metricconverter">
        <w:smartTagPr>
          <w:attr w:name="ProductID" w:val="1992 г"/>
        </w:smartTagPr>
        <w:r w:rsidRPr="009774DB">
          <w:rPr>
            <w:sz w:val="28"/>
            <w:szCs w:val="28"/>
          </w:rPr>
          <w:t>1992 г</w:t>
        </w:r>
      </w:smartTag>
      <w:r w:rsidRPr="009774DB">
        <w:rPr>
          <w:sz w:val="28"/>
          <w:szCs w:val="28"/>
        </w:rPr>
        <w:t>. количества спелых древостоев в 4 раза (с 2 до 8%), выход на практически оптимальные параметры наличия приспевающих насаждений и т.д. [7, 10]. В то же время остаются не решенными в научном и практическом плане многие вопросы названной проблемы. Поэтому методы и нормативы оптимизации возрастной структуры лесов продолжают оставаться актуальными.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bookmarkStart w:id="2" w:name="_Toc245980822"/>
      <w:r>
        <w:rPr>
          <w:sz w:val="28"/>
        </w:rPr>
        <w:br w:type="page"/>
      </w:r>
      <w:r w:rsidR="007B48A4" w:rsidRPr="009774DB">
        <w:rPr>
          <w:sz w:val="28"/>
        </w:rPr>
        <w:t>Материалы и методы исследования</w:t>
      </w:r>
      <w:bookmarkEnd w:id="2"/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Оптимизация возрастной структуры лесного фонда осуществляется на материале Государственных учетов лесного фонда. Последние в нашей стране проводятся регулярно один раз в 5 лет. Последний такой учет сделан по состоянию на 01.01.2006 года [10], предыдущий по состоянию на 01.01.2001 года и т.д. Нами для сравнения использованы материалы названных учетов за последние 30 лет. Ретроспективный анализ возрастной структуры лесов Беларуси за более продолжительное время проведен по литературным источникам [7].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При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 xml:space="preserve">нахождении оптимальной возрастной структуры приняты действующие возрасты рубки в лесах Беларуси, утвержденные Постановлением Совета Министров Республики Беларусь от 30 декабря 2001 года, №1765. При этом учтена разница в возрастах рубки в лесах I и II группы. Расчеты сделаны для древостоев основных лесообразующих пород, которые занимают 95% всей территории лесного фонда. Это сосна, ель, дуб, береза, осина и ольха черная.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Критерием оптимизации возрастной структуры лесов явились требования теории нормального леса [4, 16], т.е. обеспечение непрерывного, неистощительного и постоянного лесопользования в пределах лесных предприятий. Это приводит к примерно равным площадям насаждений по классам возраста. Распределение лесов по группам возраста зависит от количества классов возраста в каждой возрастной группе.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изменения площадей каждого класса возраста рассчитан на основе биологических закономерностей естественного роста насаждений с учетом неизбежных природных катаклизмов (ветровал и т.п.), приводящим к уменьшению площадей древостоев.</w:t>
      </w:r>
    </w:p>
    <w:p w:rsid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bookmarkStart w:id="3" w:name="_Toc245980823"/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7B48A4" w:rsidRPr="009774DB">
        <w:rPr>
          <w:sz w:val="28"/>
        </w:rPr>
        <w:t xml:space="preserve">Результаты и их </w:t>
      </w:r>
      <w:r w:rsidR="007B48A4" w:rsidRPr="009774DB">
        <w:rPr>
          <w:sz w:val="28"/>
          <w:szCs w:val="28"/>
        </w:rPr>
        <w:t>обсуждение</w:t>
      </w:r>
      <w:bookmarkEnd w:id="3"/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Понятие оптимальной возрастной структуры в разные исторические периоды сильно менялось. Так, в Киевской Руси и во время эпохи феодализма, когда главная функция леса состояла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в защите от набегов вражеской конницы, а его сырьевые ресурсы использовались в основном для получения продуктов питания и одежды (охота, сбор грибов и ягод, бортничество), оптимальным было наличие большого количества старовозрастных смешанных лесов с густым подростом и подлеском. К тому моменту, когда главным продуктом леса стала древесина, старые требования к возрастной структуре сохранялись несколько столетий – примерно с 16-17 по 19 век [7].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Научные основы оптимизации возрастной структуры лесов появились в конце 18 – начале 19 века, т.е. с появлением теории нормального леса. Потребление древесины перестало рассматриваться лишь как удовлетворение текущих нужд, а стало прогнозироваться на оборот рубки. В те же годы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 xml:space="preserve">древостои разделили на группы возраста, выделив спелые древостои. Опираясь на возраст спелости, проведено разделение по группам возраста [4, 11, 16].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 соответствии с теорией нормального леса лесопользование должно быть непрерывным, неистощительным и относительно постоянным [4, 11]. Поэтому вырубленные спелые древостои должны восполняться приспевающими, те в свою очередь средневозрастными и т.д. В теории нормального леса существует понятие оборота рубки. Это такой период, выраженный в годах, когда в границах некоторого объекта хозяйства должны быть пройдены рубкой (при постоянстве лесопользования) все выдела определенной древесной породы. В конце оборота рубки мы должны возвратиться к рубке первой возобновленной лесосеки, которая к этому времени должна достигнуть возраста спелости. Оборот руб²</w:t>
      </w:r>
      <w:r w:rsidRPr="009774DB">
        <w:rPr>
          <w:rFonts w:eastAsia="MS Mincho" w:hint="eastAsia"/>
          <w:sz w:val="28"/>
          <w:szCs w:val="28"/>
        </w:rPr>
        <w:t>耀</w:t>
      </w:r>
      <w:r w:rsidRPr="009774DB">
        <w:rPr>
          <w:sz w:val="28"/>
          <w:szCs w:val="28"/>
        </w:rPr>
        <w:t xml:space="preserve"> включает в себя возраст рубки и период лесовозобновления [4, 11].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 последние десятилетия в Беларуси нормативный и фактический период лесовозобновления составляет 1-3 года, что практически уравнивает величину возраста и оборота рубки. Справедливости ради, следует отметить, что это разные понятия, хотя по величине и близкие. Возраст рубки говорит о том, что конкретный древостой в определенных условиях его произрастания по экономическим, лесоводственным и экологическим соображениям может быть вырублен в порядке рубок главного пользования. Термин "возраст рубки" включает только это, хотя есть попытки его расширительного толкования [17], чего делать не следует. Из теории нормального леса вытекает, что все классы возраста должны занимать одинаковые площади лесопокрытых земель.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 разные годы отношение к теории нормального леса менялись. С 20-х и до начала 70-х годов 20 века теория нормального леса в СССР была отвергнута. Не вдаваясь в подробности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этого вопроса, который нашел детальное освещение в литературе [3, 5, 7, 17], отметим, что названная позиция привела к истощительному лесопользованию и негативно отразилась на современном состоянии лесов. Учитывая уроки истории, сегодня вся лесоустроительная наука базируется на теории нормального леса, т.е. на непрерывности, неистощительности и постоянстве лесопользования в пределах отдельных хозяйственных единиц – лесхозов.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К сожалению, нигде и никогда требования теории нормального леса в чистом виде не соблюдались и не соблюдаются [2, 3]. Дело не в том, что она плоха, а в том, что сложившаяся возрастная структура лесного фонда не позволяет выдержать равные площади древостоев по классам возраста. Для устранения имеющихся противоречий предложено несколько подходов: теория оптимального леса В.В. Антанайтиса [3, 4], изменчивая возрастная структура по С.Г. Синицину [16] и другие, но реального влияния на развитие теории и практики лесопользования они не оказали.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При неравномерной возрастной структуре, нельзя брать за основу такой критерий лесопользования как средний прирост. Действительно, при избытке молодняков и средневозрастных насаждений прирост должен недорубаться, а при избытке спелых и перестойных – перерубаться. Поэтому неверными являются утверждения, что в Беларуси недостаточная интенсивность лесопользования из-за того, что средний прирост (28 млн. м</w:t>
      </w:r>
      <w:r w:rsidRPr="009774DB">
        <w:rPr>
          <w:sz w:val="28"/>
          <w:szCs w:val="28"/>
          <w:vertAlign w:val="superscript"/>
        </w:rPr>
        <w:t>3</w:t>
      </w:r>
      <w:r w:rsidRPr="009774DB">
        <w:rPr>
          <w:sz w:val="28"/>
          <w:szCs w:val="28"/>
        </w:rPr>
        <w:t>/год [10]) вырубается далеко не полностью: объем суммарного лесопользования 12-14 млн. м</w:t>
      </w:r>
      <w:r w:rsidRPr="009774DB">
        <w:rPr>
          <w:sz w:val="28"/>
          <w:szCs w:val="28"/>
          <w:vertAlign w:val="superscript"/>
        </w:rPr>
        <w:t>3</w:t>
      </w:r>
      <w:r w:rsidRPr="009774DB">
        <w:rPr>
          <w:sz w:val="28"/>
          <w:szCs w:val="28"/>
        </w:rPr>
        <w:t>. Такие утверждения являются следствием либо некомпетентности, либо, когда они исходят из уст специалистов, то носят явный конъюнктурно-спекулятивный характер. В Беларуси можно увеличить объем лесопользования лишь восстановив разрушенную прежде нормальную возрастную структуру лесов. Образно говоря, природу и лес (как и экономику) обмануть нельзя. Мы много взяли в долг у леса за предыдущие семь десятилетий и теперь вынуждены этот долг возвращать.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Распределение древостоев по классам возраста зависит не только от установленного возраста рубки, который пока обозначается довольно протяженным классом возраста, но и конкретным возрастом рубки. В СССР с его дефицитом древесины спелые древостои вырубали практически сразу по достижении ими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класса возраста спелости. Отдельные ученые [1] разработали даже теорию, по которой требовалось строить линию поспевания древостоев, чтобы по достижению спелости (например, 81 года) сразу проводить вырубку. Но большинство ученых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 xml:space="preserve">эту теорию опровергают [2, 7, 11-14, 16]. 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При расчете оптимальной возрастной структуры важно знать конкретный возраст рубки. Если последний находится в конце класса возраста спелых, то оптимальная структура существенно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отличается от той, если бы возраст рубки был в начале этого класса возраста (табл. 1). В упомянутой таблице использованы действующие возрасты рубки.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Из табл. 1. видны большие различия в оптимальном количестве спелых древостоев по разным вариантам. Поэтому необходимо сделать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обоснование, которому из возрастов (в начале, в середине или в конце класса возраста)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мы должны отдать предпочтение.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Возраст рубки в Беларуси принят по технической спелости [11, 7]. Последняя зависит от уровня производительности древостоев (табл. 2).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  <w:r w:rsidRPr="009774DB">
        <w:rPr>
          <w:b/>
          <w:sz w:val="28"/>
        </w:rPr>
        <w:t>Таблица 2</w:t>
      </w:r>
      <w:r w:rsidRPr="009774DB">
        <w:rPr>
          <w:sz w:val="28"/>
        </w:rPr>
        <w:t>. Техническая спелость древостоев Беларуси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653"/>
        <w:gridCol w:w="979"/>
        <w:gridCol w:w="979"/>
        <w:gridCol w:w="979"/>
        <w:gridCol w:w="979"/>
        <w:gridCol w:w="979"/>
        <w:gridCol w:w="721"/>
      </w:tblGrid>
      <w:tr w:rsidR="007B48A4" w:rsidRPr="009774DB" w:rsidTr="007B48A4">
        <w:trPr>
          <w:jc w:val="center"/>
        </w:trPr>
        <w:tc>
          <w:tcPr>
            <w:tcW w:w="961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Порода</w:t>
            </w:r>
          </w:p>
        </w:tc>
        <w:tc>
          <w:tcPr>
            <w:tcW w:w="2653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Сортимент</w:t>
            </w:r>
          </w:p>
        </w:tc>
        <w:tc>
          <w:tcPr>
            <w:tcW w:w="5616" w:type="dxa"/>
            <w:gridSpan w:val="6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Возраст технической спелости, лет, для классов бонитета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2653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Iа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III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IV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Сосна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82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90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106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119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Ель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79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88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110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120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Дуб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119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126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130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Береза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57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78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82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Осина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49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50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55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7B48A4">
        <w:trPr>
          <w:jc w:val="center"/>
        </w:trPr>
        <w:tc>
          <w:tcPr>
            <w:tcW w:w="96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Ольха черная</w:t>
            </w:r>
          </w:p>
        </w:tc>
        <w:tc>
          <w:tcPr>
            <w:tcW w:w="26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Крупная +средняя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49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53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57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56</w:t>
            </w:r>
          </w:p>
        </w:tc>
        <w:tc>
          <w:tcPr>
            <w:tcW w:w="9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7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Из табл. 2 видно, что возраст рубки леса древостоев наиболее распространенного уровня производительности, например для сосны это класс бонитета, равный II,3, находится ближе к концу класса возраста. Поэтому на фоне общего занижения возрастов рубки в Беларуси [7, 12] мы, вырубая древостои в начале класса возраста спелых, фактически рубим приспевающие насаждения. Следовательно, при расчетах оптимальной возрастной структуры с использованием современных возрастов рубки необходимо ориентироваться на конец класса возраста. При этом обеспечивается некоторый страховой запас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спелого леса на случай непредвиденных обстоятельств: стихийные бедствия, экономические трудности и т.д.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После проведения соответствующих расчетов получили следующую оптимальную возрастную структуру лесов Беларуси (табл.3).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  <w:r w:rsidRPr="009774DB">
        <w:rPr>
          <w:b/>
          <w:sz w:val="28"/>
        </w:rPr>
        <w:t>Таблица 3</w:t>
      </w:r>
      <w:r w:rsidRPr="009774DB">
        <w:rPr>
          <w:sz w:val="28"/>
        </w:rPr>
        <w:t>. Оптимальная возрастная структура лесов Беларуси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B48A4" w:rsidRPr="009774DB" w:rsidTr="009774DB">
        <w:tc>
          <w:tcPr>
            <w:tcW w:w="875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Порода</w:t>
            </w:r>
          </w:p>
        </w:tc>
        <w:tc>
          <w:tcPr>
            <w:tcW w:w="8696" w:type="dxa"/>
            <w:gridSpan w:val="15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Процент земель, покрытых лесом по группам и классам возраста</w:t>
            </w:r>
          </w:p>
        </w:tc>
      </w:tr>
      <w:tr w:rsidR="007B48A4" w:rsidRPr="009774DB" w:rsidTr="009774DB">
        <w:tc>
          <w:tcPr>
            <w:tcW w:w="875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4636" w:type="dxa"/>
            <w:gridSpan w:val="8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 группа лесов</w:t>
            </w:r>
          </w:p>
        </w:tc>
        <w:tc>
          <w:tcPr>
            <w:tcW w:w="4060" w:type="dxa"/>
            <w:gridSpan w:val="7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 группа лесов</w:t>
            </w:r>
          </w:p>
        </w:tc>
      </w:tr>
      <w:tr w:rsidR="00A22CD2" w:rsidRPr="009774DB" w:rsidTr="009774DB">
        <w:tc>
          <w:tcPr>
            <w:tcW w:w="875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III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IV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VIII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IV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VII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Сосна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Ель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Дуб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14,2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14,2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Береза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12,5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14,2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Осина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20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</w:tr>
      <w:tr w:rsidR="00A22CD2" w:rsidRPr="009774DB" w:rsidTr="009774DB">
        <w:tc>
          <w:tcPr>
            <w:tcW w:w="87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Ольха черная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7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14,3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14,2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14,2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16,7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16,6</w:t>
            </w:r>
          </w:p>
        </w:tc>
        <w:tc>
          <w:tcPr>
            <w:tcW w:w="5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  <w:rPr>
                <w:szCs w:val="22"/>
              </w:rPr>
            </w:pPr>
            <w:r w:rsidRPr="009774DB">
              <w:rPr>
                <w:szCs w:val="22"/>
              </w:rPr>
              <w:t>-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Учитывая, что при различных оценках часто фигурируют величины наличия спелых лесов в целом для страны без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деления на леса I и II группы, в табл. 4 проведено усреднение этих показателей с учетом площадей, занимаемых каждой группой лесов [10].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  <w:r w:rsidRPr="009774DB">
        <w:rPr>
          <w:b/>
          <w:sz w:val="28"/>
        </w:rPr>
        <w:t>Таблица 4</w:t>
      </w:r>
      <w:r w:rsidRPr="009774DB">
        <w:rPr>
          <w:sz w:val="28"/>
        </w:rPr>
        <w:t>. Средневзвешенная (по группам лесов) оптимальная возрастная структура лесов Беларуси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054"/>
        <w:gridCol w:w="1054"/>
        <w:gridCol w:w="1053"/>
        <w:gridCol w:w="1053"/>
        <w:gridCol w:w="1053"/>
        <w:gridCol w:w="1053"/>
        <w:gridCol w:w="1053"/>
        <w:gridCol w:w="1052"/>
      </w:tblGrid>
      <w:tr w:rsidR="007B48A4" w:rsidRPr="009774DB" w:rsidTr="009774DB">
        <w:tc>
          <w:tcPr>
            <w:tcW w:w="1146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Порода</w:t>
            </w:r>
          </w:p>
        </w:tc>
        <w:tc>
          <w:tcPr>
            <w:tcW w:w="8425" w:type="dxa"/>
            <w:gridSpan w:val="8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Процент покрытых лесом земель по классам возраста</w:t>
            </w:r>
          </w:p>
        </w:tc>
      </w:tr>
      <w:tr w:rsidR="00A22CD2" w:rsidRPr="009774DB" w:rsidTr="009774DB">
        <w:tc>
          <w:tcPr>
            <w:tcW w:w="1146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III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IV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VII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VIII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Сосна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18,2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18,2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8,7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Ель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18,3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18,2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18,2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8,7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Дуб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7,0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Береза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13,4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6,2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Осина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  <w:tr w:rsidR="00A22CD2" w:rsidRPr="009774DB" w:rsidTr="009774DB">
        <w:tc>
          <w:tcPr>
            <w:tcW w:w="1146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Ольха черная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4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15,5</w:t>
            </w:r>
          </w:p>
        </w:tc>
        <w:tc>
          <w:tcPr>
            <w:tcW w:w="1053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7,0</w:t>
            </w:r>
          </w:p>
        </w:tc>
        <w:tc>
          <w:tcPr>
            <w:tcW w:w="105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В статистике часто применяют усредненный показатель доли спелых без деления по породам и группам лесов. С учетом площадей, занимаемых каждой породой [10], рассчитаны эти усредненные цифры. Они оказались следующими: с I по III класс возраста – по 16,9%; IV-V класс возраста – по 16,8%; VI – 10,5%; VII – 3,9%; VIII – 1,3%. 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По группам возраста усредненное деление следующее: молодняки – 33%, средневозрастные – 32%, приспевающие – 18,5%, спелые – 17%. У нас сегодня спелых около 8,5% [10], что в 2 раза меньше их оптимального количества.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Сравнение данных табл. 3 с существующей возрастной структурой [7, 10]в ее динамике показывает, что хотя эта структура за последние 15 лет существенно улучшилась (увеличение количества спелых в 4 раза), но до достижения оптимума еще далеко. Правда, по ольхе черной и дубу количество спелых близко к нормативным показателям, а по осине площадь спелых почти вдвое превышает оптимум. Последниее является следствием постоянных недорубов по этой породе из-за низкого спроса на осиновую древесину. Вызывают тревогу и недостаточные площади молодняков. 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изменения возрастной структуры лесного фонда базируется на анализе следующих показателей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Существенная возрастная и породная структура лесов, их динамика и тенденции развития.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объемов рубок главного пользования.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объемов рубок ухода.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лесовосстановления.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Мировые тенденции потребления древесины в разрезе древесных пород.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Возрастание значения экологических функций леса и прижизненного лесопользования: побочные пользования, использование экологических полезностей леса, охота, туризм и т.д.</w:t>
      </w:r>
    </w:p>
    <w:p w:rsidR="007B48A4" w:rsidRPr="009774DB" w:rsidRDefault="007B48A4" w:rsidP="009774DB">
      <w:pPr>
        <w:widowControl w:val="0"/>
        <w:numPr>
          <w:ilvl w:val="0"/>
          <w:numId w:val="19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Изменение лесной растительности под влиянием климатических и антропогенных факторов.</w:t>
      </w:r>
    </w:p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Любой прогноз оказывается действительным, если не происходит революционных изменений в предпосылках, использованных для его составления. Поэтому долгосрочные прогнозы (на 20 и более лет) обычно имеют небольшую точность. Например, все прогнозы, составленные в 70-80-е годы ХХ века не могли учесть распад СССР. Поэтому уже в начале 90-х годов они оказались неверными и никому не нужными. Прогнозы, разработанные на срок до 15 лет, имеют больше шансов на реализацию. В Беларуси сложилась благоприятная ситуация для определения развития отраслей народного хозяйства на перспективу. Залогом этому служит стабильность в государстве, устойчиво высокие темпы экономического развития, крепкий экономический и политический базис. Поэтому научно обоснованный прогноз изменения породной и возрастной структуры наших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лесов до 2020 года имеет все основания считаться осуществимым.</w:t>
      </w:r>
    </w:p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Современное состояние лесного фонда и лесопользования достаточно подробно изложено в литературе [7, 10, 11]. Прогноз лесопользования по главному и промежуточному пользованию, а также прогноз лесовосстановления сделан в Институте леса под руководством автора [8, 9]. Данные этого прогноза здесь приведены (табл. 5-8). Анализ табл. 5-8 показывает следующее.</w:t>
      </w:r>
    </w:p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Величина расчетной лесосеки растет вплоть до 2020 года. Основанием для этого являются большие площади приспевающих и средневозрастных лесов. Для обеспечения постоянства лесопользования после 2015 года целесообразно некоторое ограничение роста расчетной лесосеки за счет повышения возраста рубки.</w:t>
      </w:r>
    </w:p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Объем рубок ухода в целом увеличивается, а объем всех рубок промежуточного пользования после 2015 года остается относительно стабильным. При этом увеличиваются площади рубок ухода, а заготовка древесины в порядке санитарных рубок уменьшается за счет улучшения санитарного состояния лесов республики.</w:t>
      </w:r>
    </w:p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Должны значительно сократиться прочие рубки, т.к. наличие огромных площадей усыхающих ельников после 2010-2015 года не прогнозируется.</w:t>
      </w:r>
    </w:p>
    <w:p w:rsidR="007B48A4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Лесовосстановление предполагает полное возобновление (естественное и искусственное) вырубаемых лесосек, увеличение доли земель, покрытых лесом, за счет других категорий лесных и нелесных земель и проведение реконструкций для улучшения породного состава лесов.</w:t>
      </w:r>
    </w:p>
    <w:p w:rsidR="009774DB" w:rsidRPr="009774DB" w:rsidRDefault="009774DB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br w:type="page"/>
      </w:r>
      <w:r w:rsidR="007B48A4" w:rsidRPr="009774DB">
        <w:rPr>
          <w:b/>
          <w:sz w:val="28"/>
        </w:rPr>
        <w:t>Таблица 5.</w:t>
      </w:r>
      <w:r w:rsidR="007B48A4" w:rsidRPr="009774DB">
        <w:rPr>
          <w:sz w:val="28"/>
        </w:rPr>
        <w:t xml:space="preserve"> Прогноз среднегодового размера главного 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038"/>
        <w:gridCol w:w="1574"/>
        <w:gridCol w:w="1021"/>
        <w:gridCol w:w="1595"/>
        <w:gridCol w:w="999"/>
        <w:gridCol w:w="1564"/>
      </w:tblGrid>
      <w:tr w:rsidR="007B48A4" w:rsidRPr="009774DB" w:rsidTr="009774DB">
        <w:tc>
          <w:tcPr>
            <w:tcW w:w="1780" w:type="dxa"/>
            <w:vMerge w:val="restart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Области</w:t>
            </w:r>
          </w:p>
        </w:tc>
        <w:tc>
          <w:tcPr>
            <w:tcW w:w="7791" w:type="dxa"/>
            <w:gridSpan w:val="6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Расчетная лесосека</w:t>
            </w:r>
            <w:r w:rsidR="009774DB" w:rsidRPr="009774DB">
              <w:t xml:space="preserve"> </w:t>
            </w:r>
            <w:r w:rsidRPr="009774DB">
              <w:t>(тыс. м</w:t>
            </w:r>
            <w:r w:rsidRPr="009774DB">
              <w:rPr>
                <w:vertAlign w:val="superscript"/>
              </w:rPr>
              <w:t>3</w:t>
            </w:r>
            <w:r w:rsidRPr="009774DB">
              <w:t>) по периодам</w:t>
            </w:r>
          </w:p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Числитель – ликвид, знаменатель - деловая</w:t>
            </w:r>
          </w:p>
        </w:tc>
      </w:tr>
      <w:tr w:rsidR="007B48A4" w:rsidRPr="009774DB" w:rsidTr="009774DB">
        <w:tc>
          <w:tcPr>
            <w:tcW w:w="1780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2612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2616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2563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2020</w:t>
            </w:r>
          </w:p>
        </w:tc>
      </w:tr>
      <w:tr w:rsidR="00A22CD2" w:rsidRPr="009774DB" w:rsidTr="009774DB">
        <w:tc>
          <w:tcPr>
            <w:tcW w:w="1780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Всего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 т.ч. хвойные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Всего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 т.ч. хвойные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Всего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 т.ч. хвойные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Брестская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1050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430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1230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560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1380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640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820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380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970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490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1020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560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Витебская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2030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850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2260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1010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2500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1100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1560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740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1740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870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1930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950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Гомельская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2070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1050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2590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1460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2800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1560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1680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930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2120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1290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2240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1380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Гродненская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570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320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750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450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820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500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460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280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610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390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650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420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Минская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1560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850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1900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1110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2100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1220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1260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750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1540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970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1720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1050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Могилевская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1300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600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1560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800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1700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860</w:t>
            </w:r>
          </w:p>
        </w:tc>
      </w:tr>
      <w:tr w:rsidR="00A22CD2" w:rsidRPr="009774DB" w:rsidTr="009774DB">
        <w:tc>
          <w:tcPr>
            <w:tcW w:w="1780" w:type="dxa"/>
            <w:vMerge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1030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520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1250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700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1370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750</w:t>
            </w:r>
          </w:p>
        </w:tc>
      </w:tr>
      <w:tr w:rsidR="00A22CD2" w:rsidRPr="009774DB" w:rsidTr="009774DB">
        <w:tc>
          <w:tcPr>
            <w:tcW w:w="1780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Итого</w:t>
            </w: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8580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4100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10290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5390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11300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5880</w:t>
            </w:r>
          </w:p>
        </w:tc>
      </w:tr>
      <w:tr w:rsidR="00A22CD2" w:rsidRPr="009774DB" w:rsidTr="009774DB">
        <w:tc>
          <w:tcPr>
            <w:tcW w:w="1780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1038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6810</w:t>
            </w:r>
          </w:p>
        </w:tc>
        <w:tc>
          <w:tcPr>
            <w:tcW w:w="157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3600</w:t>
            </w:r>
          </w:p>
        </w:tc>
        <w:tc>
          <w:tcPr>
            <w:tcW w:w="1021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8230</w:t>
            </w:r>
          </w:p>
        </w:tc>
        <w:tc>
          <w:tcPr>
            <w:tcW w:w="1595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4710</w:t>
            </w:r>
          </w:p>
        </w:tc>
        <w:tc>
          <w:tcPr>
            <w:tcW w:w="999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8930</w:t>
            </w:r>
          </w:p>
        </w:tc>
        <w:tc>
          <w:tcPr>
            <w:tcW w:w="1564" w:type="dxa"/>
          </w:tcPr>
          <w:p w:rsidR="007B48A4" w:rsidRPr="009774DB" w:rsidRDefault="007B48A4" w:rsidP="009774DB">
            <w:pPr>
              <w:widowControl w:val="0"/>
              <w:tabs>
                <w:tab w:val="left" w:pos="0"/>
              </w:tabs>
              <w:spacing w:line="360" w:lineRule="auto"/>
              <w:jc w:val="both"/>
            </w:pPr>
            <w:r w:rsidRPr="009774DB">
              <w:t>5110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  <w:r w:rsidRPr="009774DB">
        <w:rPr>
          <w:b/>
          <w:sz w:val="28"/>
        </w:rPr>
        <w:t>Таблица 6</w:t>
      </w:r>
      <w:r w:rsidRPr="009774DB">
        <w:rPr>
          <w:sz w:val="28"/>
        </w:rPr>
        <w:t xml:space="preserve"> – Прогноз участия древесных пород в лесном и лесосечном фонде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195"/>
        <w:gridCol w:w="1194"/>
        <w:gridCol w:w="1108"/>
        <w:gridCol w:w="54"/>
        <w:gridCol w:w="1154"/>
        <w:gridCol w:w="1196"/>
        <w:gridCol w:w="1198"/>
      </w:tblGrid>
      <w:tr w:rsidR="007B48A4" w:rsidRPr="009774DB" w:rsidTr="009774DB">
        <w:tc>
          <w:tcPr>
            <w:tcW w:w="1291" w:type="pct"/>
            <w:vMerge w:val="restar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Группа пород</w:t>
            </w:r>
          </w:p>
        </w:tc>
        <w:tc>
          <w:tcPr>
            <w:tcW w:w="3709" w:type="pct"/>
            <w:gridSpan w:val="7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Участие пород по периодам, %</w:t>
            </w:r>
          </w:p>
        </w:tc>
      </w:tr>
      <w:tr w:rsidR="007B48A4" w:rsidRPr="009774DB" w:rsidTr="009774DB">
        <w:tc>
          <w:tcPr>
            <w:tcW w:w="1291" w:type="pct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1827" w:type="pct"/>
            <w:gridSpan w:val="3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лесной фонд</w:t>
            </w:r>
          </w:p>
        </w:tc>
        <w:tc>
          <w:tcPr>
            <w:tcW w:w="1882" w:type="pct"/>
            <w:gridSpan w:val="4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лесосечный фонд</w:t>
            </w:r>
          </w:p>
        </w:tc>
      </w:tr>
      <w:tr w:rsidR="00A22CD2" w:rsidRPr="009774DB" w:rsidTr="009774DB">
        <w:tc>
          <w:tcPr>
            <w:tcW w:w="1291" w:type="pct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2020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2020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Хвойные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63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66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71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47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51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53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 т.ч. ель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Твердолиственные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4,5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 т.ч. дуб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4,5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Мягколиственные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32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28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21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51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47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45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 т.ч. береза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17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16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16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9774DB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 xml:space="preserve"> </w:t>
            </w:r>
            <w:r w:rsidR="007B48A4" w:rsidRPr="009774DB">
              <w:t>осина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10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9774DB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 xml:space="preserve"> </w:t>
            </w:r>
            <w:r w:rsidR="007B48A4" w:rsidRPr="009774DB">
              <w:t>ольха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21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23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22</w:t>
            </w:r>
          </w:p>
        </w:tc>
      </w:tr>
      <w:tr w:rsidR="00A22CD2" w:rsidRPr="009774DB" w:rsidTr="009774DB">
        <w:tc>
          <w:tcPr>
            <w:tcW w:w="1291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Прочие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1,5</w:t>
            </w:r>
          </w:p>
        </w:tc>
        <w:tc>
          <w:tcPr>
            <w:tcW w:w="624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</w:t>
            </w:r>
          </w:p>
        </w:tc>
        <w:tc>
          <w:tcPr>
            <w:tcW w:w="607" w:type="pct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</w:t>
            </w:r>
          </w:p>
        </w:tc>
        <w:tc>
          <w:tcPr>
            <w:tcW w:w="603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625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  <w:tc>
          <w:tcPr>
            <w:tcW w:w="626" w:type="pc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-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br w:type="page"/>
      </w:r>
      <w:r w:rsidR="007B48A4" w:rsidRPr="009774DB">
        <w:rPr>
          <w:b/>
          <w:sz w:val="28"/>
        </w:rPr>
        <w:t>Таблица 7.</w:t>
      </w:r>
      <w:r w:rsidR="007B48A4" w:rsidRPr="009774DB">
        <w:rPr>
          <w:sz w:val="28"/>
        </w:rPr>
        <w:t xml:space="preserve"> Прогноз среднегодового объема рубок промежуточного пользования в Республике Беларусь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60"/>
        <w:gridCol w:w="1072"/>
        <w:gridCol w:w="1168"/>
        <w:gridCol w:w="1072"/>
        <w:gridCol w:w="1168"/>
        <w:gridCol w:w="980"/>
      </w:tblGrid>
      <w:tr w:rsidR="007B48A4" w:rsidRPr="009774DB" w:rsidTr="009774DB">
        <w:tc>
          <w:tcPr>
            <w:tcW w:w="2518" w:type="dxa"/>
            <w:vMerge w:val="restart"/>
            <w:vAlign w:val="center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Виды рубок</w:t>
            </w:r>
          </w:p>
        </w:tc>
        <w:tc>
          <w:tcPr>
            <w:tcW w:w="6720" w:type="dxa"/>
            <w:gridSpan w:val="6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Объем по периодам</w:t>
            </w:r>
          </w:p>
        </w:tc>
      </w:tr>
      <w:tr w:rsidR="007B48A4" w:rsidRPr="009774DB" w:rsidTr="009774DB">
        <w:tc>
          <w:tcPr>
            <w:tcW w:w="2518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2332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2240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2148" w:type="dxa"/>
            <w:gridSpan w:val="2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2020</w:t>
            </w:r>
          </w:p>
        </w:tc>
      </w:tr>
      <w:tr w:rsidR="00A22CD2" w:rsidRPr="009774DB" w:rsidTr="009774DB">
        <w:tc>
          <w:tcPr>
            <w:tcW w:w="2518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площадь, тыс.га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 xml:space="preserve">запас, </w:t>
            </w:r>
          </w:p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тыс м</w:t>
            </w:r>
            <w:r w:rsidRPr="009774DB">
              <w:rPr>
                <w:vertAlign w:val="superscript"/>
              </w:rPr>
              <w:t>3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площадь, тыс.га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 xml:space="preserve">запас, </w:t>
            </w:r>
          </w:p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тыс м</w:t>
            </w:r>
            <w:r w:rsidRPr="009774DB">
              <w:rPr>
                <w:vertAlign w:val="superscript"/>
              </w:rPr>
              <w:t>3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площадь, тыс.га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 xml:space="preserve">запас, </w:t>
            </w:r>
          </w:p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тыс м</w:t>
            </w:r>
            <w:r w:rsidRPr="009774DB">
              <w:rPr>
                <w:vertAlign w:val="superscript"/>
              </w:rPr>
              <w:t>3</w:t>
            </w:r>
          </w:p>
        </w:tc>
      </w:tr>
      <w:tr w:rsidR="00A22CD2" w:rsidRPr="009774DB" w:rsidTr="009774DB">
        <w:tc>
          <w:tcPr>
            <w:tcW w:w="251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Уход за молодняками</w:t>
            </w: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750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750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80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800</w:t>
            </w:r>
          </w:p>
        </w:tc>
      </w:tr>
      <w:tr w:rsidR="00A22CD2" w:rsidRPr="009774DB" w:rsidTr="009774DB">
        <w:tc>
          <w:tcPr>
            <w:tcW w:w="251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Прореживания и проходные рубки</w:t>
            </w: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160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5900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175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7100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200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8200</w:t>
            </w:r>
          </w:p>
        </w:tc>
      </w:tr>
      <w:tr w:rsidR="00A22CD2" w:rsidRPr="009774DB" w:rsidTr="009774DB">
        <w:tc>
          <w:tcPr>
            <w:tcW w:w="251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Выборочные санрубки</w:t>
            </w: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1540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80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1400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70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1300</w:t>
            </w:r>
          </w:p>
        </w:tc>
      </w:tr>
      <w:tr w:rsidR="00A22CD2" w:rsidRPr="009774DB" w:rsidTr="009774DB">
        <w:tc>
          <w:tcPr>
            <w:tcW w:w="251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Прочие рубки</w:t>
            </w: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1500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1100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10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700</w:t>
            </w:r>
          </w:p>
        </w:tc>
      </w:tr>
      <w:tr w:rsidR="00A22CD2" w:rsidRPr="009774DB" w:rsidTr="009774DB">
        <w:tc>
          <w:tcPr>
            <w:tcW w:w="251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Итого</w:t>
            </w:r>
          </w:p>
        </w:tc>
        <w:tc>
          <w:tcPr>
            <w:tcW w:w="12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340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9690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345</w:t>
            </w:r>
          </w:p>
        </w:tc>
        <w:tc>
          <w:tcPr>
            <w:tcW w:w="107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9650</w:t>
            </w:r>
          </w:p>
        </w:tc>
        <w:tc>
          <w:tcPr>
            <w:tcW w:w="116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300</w:t>
            </w:r>
          </w:p>
        </w:tc>
        <w:tc>
          <w:tcPr>
            <w:tcW w:w="98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11000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</w:rPr>
      </w:pPr>
      <w:r w:rsidRPr="009774DB">
        <w:rPr>
          <w:b/>
          <w:sz w:val="28"/>
        </w:rPr>
        <w:t>Таблица 8</w:t>
      </w:r>
      <w:r w:rsidRPr="009774DB">
        <w:rPr>
          <w:sz w:val="28"/>
        </w:rPr>
        <w:t>. Прогноз среднегодовых объемов лесовосстановления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1812"/>
        <w:gridCol w:w="1812"/>
        <w:gridCol w:w="1421"/>
      </w:tblGrid>
      <w:tr w:rsidR="007B48A4" w:rsidRPr="009774DB" w:rsidTr="009774DB">
        <w:tc>
          <w:tcPr>
            <w:tcW w:w="4135" w:type="dxa"/>
            <w:vMerge w:val="restar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Категория земель</w:t>
            </w:r>
          </w:p>
        </w:tc>
        <w:tc>
          <w:tcPr>
            <w:tcW w:w="5045" w:type="dxa"/>
            <w:gridSpan w:val="3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Площадь, тыс. га по породам</w:t>
            </w:r>
          </w:p>
        </w:tc>
      </w:tr>
      <w:tr w:rsidR="007B48A4" w:rsidRPr="009774DB" w:rsidTr="009774DB">
        <w:tc>
          <w:tcPr>
            <w:tcW w:w="4135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14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2020</w:t>
            </w:r>
          </w:p>
        </w:tc>
      </w:tr>
      <w:tr w:rsidR="007B48A4" w:rsidRPr="009774DB" w:rsidTr="009774DB">
        <w:tc>
          <w:tcPr>
            <w:tcW w:w="413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Земли лесного фонда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70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60</w:t>
            </w:r>
          </w:p>
        </w:tc>
        <w:tc>
          <w:tcPr>
            <w:tcW w:w="14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60</w:t>
            </w:r>
          </w:p>
        </w:tc>
      </w:tr>
      <w:tr w:rsidR="007B48A4" w:rsidRPr="009774DB" w:rsidTr="009774DB">
        <w:tc>
          <w:tcPr>
            <w:tcW w:w="413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Сельхозземли, переданные в Гослесфонд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</w:t>
            </w:r>
          </w:p>
        </w:tc>
        <w:tc>
          <w:tcPr>
            <w:tcW w:w="14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5</w:t>
            </w:r>
          </w:p>
        </w:tc>
      </w:tr>
      <w:tr w:rsidR="007B48A4" w:rsidRPr="009774DB" w:rsidTr="009774DB">
        <w:tc>
          <w:tcPr>
            <w:tcW w:w="4135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Итого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90</w:t>
            </w:r>
          </w:p>
        </w:tc>
        <w:tc>
          <w:tcPr>
            <w:tcW w:w="1812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65</w:t>
            </w:r>
          </w:p>
        </w:tc>
        <w:tc>
          <w:tcPr>
            <w:tcW w:w="1421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65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изменения возрастной структуры лесов Беларуси неотделим от улучшения этой структуры и приближения ее к оптимуму. При этом должны параллельно решаться 2 задачи – повышение доли спелых древостоев и молодняков. Первая задача может быть решена в течение 15-20лет за счет регулирования лесопользования. Ускорить рост леса, чтобы увеличить площадь спелых древостоев, мы не можем. Конечно, есть такой прием, примененный на рубеже 50-60 годов прошлого века, как снижение возраста рубки. Тогда спелых у нас сразу станет даже больше оптимума. Но эту порочную практику, примененную однажды, повторять нельзя, т.к. в итоге хорошего делового леса у нас, вообще, не останется, хотя статистика будет радужной.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Площади молодняков, особенно I класса возраста, необходимо срочно увеличивать. В настоящее время резервом лесовосстановления являются передаваемые сельхозземли, а также земли, не покрытые лесом. Так, если общая площадь лесного фонда в Беларуси достигла 9,35 млн. га, то земли, покрытые лесом, составляют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7,85 млн. га [10]. Разницу в 1,5 млн. га, хотя и нельзя в полной мере использовать под облесение (болота, воды, усадьбы и т.д.), но определенный резерв здесь есть. Наличие резерва лесовосстановления вытекает из разницы в площадях лесных земель и земель, покрытых лесом. Она составляет более 600 тыс. га, где вырубки, гари, прогалины и пустыри занимают 336 тыс. га.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Из нелесных земель обращает на себя внимание наличие 538 тыс. га болот, а также 86 тыс. га нарушенных, неиспользуемых и прочих земель. Конечно, нельзя все эти земли рассматривать как лесокультурный фонд, но целесообразно внимательно их пересмотреть, проанализировать в каждом конкретном случае, и, возможно, частично использовать в качестве резерва для лесоразведения. По нашим ориентировочным расчетам резерв площадей для лесовосстановления и лесоразведения, который можно использовать для увеличения площади молодняков, составляет 300 тыс. га. Их закультивирование в течение 5 лет может увеличить площадь молодняков первого класса возраста на 50-55%.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На основании названных предпосылок ранее составлен достаточно оптимистический прогноз изменения возрастной структуры лесов [7, 15], который при выполнении настоящей работы скорректирован с учетом материалов последних лет (табл. 9).</w:t>
      </w:r>
    </w:p>
    <w:p w:rsidR="007B48A4" w:rsidRPr="009774DB" w:rsidRDefault="007B48A4" w:rsidP="009774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Из табл. 9 следует, что к 2020 году возрастная структура лесов вплотную приблизится к оптимальной. Это позволит к 2025 году выйти на такую возрастную структуру, которая соответствует теории нормального леса. Но для достижения этой важной цели необходимо строго придерживаться научных принципов ведения хозяйства.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br w:type="page"/>
      </w:r>
      <w:r w:rsidR="007B48A4" w:rsidRPr="009774DB">
        <w:rPr>
          <w:b/>
          <w:sz w:val="28"/>
        </w:rPr>
        <w:t>Таблица 9</w:t>
      </w:r>
      <w:r w:rsidR="007B48A4" w:rsidRPr="009774DB">
        <w:rPr>
          <w:sz w:val="28"/>
        </w:rPr>
        <w:t>. Прогноз изменения возрастной структуры лесов до 2020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819"/>
        <w:gridCol w:w="2378"/>
        <w:gridCol w:w="2049"/>
        <w:gridCol w:w="1557"/>
      </w:tblGrid>
      <w:tr w:rsidR="007B48A4" w:rsidRPr="009774DB" w:rsidTr="009774DB">
        <w:tc>
          <w:tcPr>
            <w:tcW w:w="1660" w:type="dxa"/>
            <w:vMerge w:val="restart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Периоды учета</w:t>
            </w:r>
          </w:p>
        </w:tc>
        <w:tc>
          <w:tcPr>
            <w:tcW w:w="7803" w:type="dxa"/>
            <w:gridSpan w:val="4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Доля участия в лесном фонде групп возраста, проценты</w:t>
            </w:r>
          </w:p>
        </w:tc>
      </w:tr>
      <w:tr w:rsidR="00A22CD2" w:rsidRPr="009774DB" w:rsidTr="009774DB">
        <w:tc>
          <w:tcPr>
            <w:tcW w:w="1660" w:type="dxa"/>
            <w:vMerge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молодняки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средневозрастные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приспевающие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спелые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1992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47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41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10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2001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27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46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19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8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2005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25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46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21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9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2010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24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40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25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11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2015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28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35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30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12</w:t>
            </w:r>
          </w:p>
        </w:tc>
      </w:tr>
      <w:tr w:rsidR="00A22CD2" w:rsidRPr="009774DB" w:rsidTr="009774DB">
        <w:tc>
          <w:tcPr>
            <w:tcW w:w="1660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2020</w:t>
            </w:r>
          </w:p>
        </w:tc>
        <w:tc>
          <w:tcPr>
            <w:tcW w:w="181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32</w:t>
            </w:r>
          </w:p>
        </w:tc>
        <w:tc>
          <w:tcPr>
            <w:tcW w:w="2378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34</w:t>
            </w:r>
          </w:p>
        </w:tc>
        <w:tc>
          <w:tcPr>
            <w:tcW w:w="2049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30</w:t>
            </w:r>
          </w:p>
        </w:tc>
        <w:tc>
          <w:tcPr>
            <w:tcW w:w="1557" w:type="dxa"/>
          </w:tcPr>
          <w:p w:rsidR="007B48A4" w:rsidRPr="009774DB" w:rsidRDefault="007B48A4" w:rsidP="009774DB">
            <w:pPr>
              <w:widowControl w:val="0"/>
              <w:tabs>
                <w:tab w:val="left" w:pos="560"/>
              </w:tabs>
              <w:spacing w:line="360" w:lineRule="auto"/>
              <w:jc w:val="both"/>
            </w:pPr>
            <w:r w:rsidRPr="009774DB">
              <w:t>16</w:t>
            </w:r>
          </w:p>
        </w:tc>
      </w:tr>
    </w:tbl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bookmarkStart w:id="4" w:name="_Toc245980824"/>
      <w:r>
        <w:rPr>
          <w:sz w:val="28"/>
          <w:szCs w:val="28"/>
        </w:rPr>
        <w:br w:type="page"/>
      </w:r>
      <w:r w:rsidR="007B48A4" w:rsidRPr="009774DB">
        <w:rPr>
          <w:sz w:val="28"/>
          <w:szCs w:val="28"/>
        </w:rPr>
        <w:t>Заключение</w:t>
      </w:r>
      <w:bookmarkEnd w:id="4"/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Обобщая изложенное, можно сделать следующие выводы.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Для расчета оптимальной структуры древостоев необходимо руководствоваться теорией нормального леса.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При расчете оптимальной возрастной структуры следует ориентироваться на показатель возраста рубки, расположенный в конце класса возраста.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Сопоставление оптимальной и существующей возрастной структуры лесов Беларуси показывает, что негативные последствия истощительного лесопользования, которое велось в прошлом веке на протяжении около 60 лет, еще не преодолены, и площади спелых насаждений по важнейшим древесным породам в 2-2,5 раза меньше оптимальных.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Усредненная (по породам и группам лесов) оптимальная возрастная структура лесов Беларуси выглядит следующим образом: молодняки – 33%, средневозрастные – 32%, приспевающие – 18%, спелые – 17%.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Требованиям теории нормального леса у нас примерно соответствуют только площади приспевающих насаждений. Мало молодняков (70% от оптимума) и спелых древостоев: примерно 50% от оптимума. Достаточные площади приспевающих и избыток средневозрастных насаждений позволяют через 15-20 лет оптимизировать возрастную структуру лесов Беларуси.</w:t>
      </w:r>
    </w:p>
    <w:p w:rsidR="007B48A4" w:rsidRPr="009774DB" w:rsidRDefault="007B48A4" w:rsidP="009774DB">
      <w:pPr>
        <w:widowControl w:val="0"/>
        <w:numPr>
          <w:ilvl w:val="0"/>
          <w:numId w:val="18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В ближайшие 5 лет необходимо принять действенные меры для значительного (в 1,7-2 раза) увеличения площадей молодняков I класса возраста, для чего имеется необходимый резерв лесных земель, не покрытых лесом, и определенное количество нелесных земель, возможных для облесения. </w:t>
      </w:r>
    </w:p>
    <w:p w:rsidR="007B48A4" w:rsidRPr="009774DB" w:rsidRDefault="007B48A4" w:rsidP="009774DB">
      <w:pPr>
        <w:widowControl w:val="0"/>
        <w:numPr>
          <w:ilvl w:val="0"/>
          <w:numId w:val="20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Прогноз возрастной структуры лесов Беларуси базируется на данных о лесном фонде в настоящее время и тенденциях его изменения. Последние определяются размером главного пользования, объемами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и направленностью рубок ухода и лесовосстановления.</w:t>
      </w:r>
    </w:p>
    <w:p w:rsidR="007B48A4" w:rsidRPr="009774DB" w:rsidRDefault="007B48A4" w:rsidP="009774DB">
      <w:pPr>
        <w:widowControl w:val="0"/>
        <w:numPr>
          <w:ilvl w:val="0"/>
          <w:numId w:val="20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К 2020 году возрастная структура лесов Беларуси приблизится к оптимуму, что позволит к 2025 году при условии ведения хозяйства на научной основе выйти на показатели нормального леса.</w:t>
      </w:r>
    </w:p>
    <w:p w:rsidR="007B48A4" w:rsidRPr="009774DB" w:rsidRDefault="007B48A4" w:rsidP="009774DB">
      <w:pPr>
        <w:widowControl w:val="0"/>
        <w:numPr>
          <w:ilvl w:val="0"/>
          <w:numId w:val="20"/>
        </w:numPr>
        <w:tabs>
          <w:tab w:val="clear" w:pos="1354"/>
          <w:tab w:val="left" w:pos="0"/>
          <w:tab w:val="num" w:pos="8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Для достижения прогнозных показателей потребуется большая работа лесоводов при условии строгого соблюдения научных принципов ведения лесного хозяйства.</w:t>
      </w:r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7B48A4" w:rsidRPr="009774DB" w:rsidRDefault="009774DB" w:rsidP="009774DB">
      <w:pPr>
        <w:widowControl w:val="0"/>
        <w:spacing w:line="360" w:lineRule="auto"/>
        <w:ind w:firstLine="720"/>
        <w:jc w:val="both"/>
        <w:rPr>
          <w:sz w:val="28"/>
        </w:rPr>
      </w:pPr>
      <w:bookmarkStart w:id="5" w:name="_Toc245980825"/>
      <w:r>
        <w:rPr>
          <w:sz w:val="28"/>
          <w:szCs w:val="28"/>
        </w:rPr>
        <w:br w:type="page"/>
      </w:r>
      <w:r w:rsidR="007B48A4" w:rsidRPr="009774DB">
        <w:rPr>
          <w:sz w:val="28"/>
          <w:szCs w:val="28"/>
        </w:rPr>
        <w:t>Литература</w:t>
      </w:r>
      <w:bookmarkEnd w:id="5"/>
    </w:p>
    <w:p w:rsidR="007B48A4" w:rsidRPr="009774DB" w:rsidRDefault="007B48A4" w:rsidP="009774DB">
      <w:pPr>
        <w:widowControl w:val="0"/>
        <w:tabs>
          <w:tab w:val="left" w:pos="560"/>
        </w:tabs>
        <w:spacing w:line="360" w:lineRule="auto"/>
        <w:ind w:firstLine="720"/>
        <w:jc w:val="both"/>
        <w:rPr>
          <w:sz w:val="28"/>
        </w:rPr>
      </w:pP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1. Абрамович, К.К. Оборот и возраст рубки / К.К Абрамович //Лесная промышленность. 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1970. - № 8. - С. 11-13.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2. Антанайтис, В.В. Современное направление лесоустройства / В.В. Антанайтис. - М.: Лесная промышленность, 1977. - 280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3. Антанайтис, В.В. Теоретические основы организации лесного хозяйства / В.В. Антанайтис //Лесное хозяйство. 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1983. - № 3. – С. 39-42.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4. Анучин, Н.П. Лесоустройство./ Н.П Анучин. - М.: Сельхозиздат, 1962. - 568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5. Анучин, Н.П. Теория и практика организации лесного хозяйства. / Н.П. Анучин. – М.: Лесная промышленность, 1977. – 176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6. Багинский, В.Ф. Проблемы лесопользования в рыночной экономике./ В.Ф. Багинский //Лесное и охотничье хозяйство. 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2003.№ 1. - С. 4-12.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7. Багинский, В.Ф.,. Лесопользование в Беларуси./ В.Ф Багинский, Л.Д Есимчик.- Минск: Беларуская навука, 1996. - 367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8. Государственная программа: Многоцелевое использование лесов на период до 2015 года./ Минлесхоз Республики Беларусь. – Мн: 1998. – 178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9. Государственная программа: Научно-техническое развитие отрасли "Лесное хозяйство на период до 2015 года / Минлесхоз Республики Беларусь. – Минск.: 1998. – 98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10. Единовременный государственный учет лесов Республики Беларусь по состоянию на 1 января 2006 года / Минлесхоз Республики Беларусь. – Минск:, 2006. – 106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11. Ермаков, В.Е.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Лесоустройство./ В.Е.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Ермаков. - Минск: Вышэйшая школа, 1993. - 259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12. Ермаков, В.Е. Товарность, спелость и возраст рубки еловых древостоев Беларуси / В.Е. Ермаков //Труды Белорусского государственного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технологического университета. Серия "Лесное хозяйство". – Минск: БГТУ, 1998. Вып. 4. – С. 33-36.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13. Ермаков, В.Е. Спелость и возраст рубки древостоев – показатели структуры потребления древесины. / В.Е. Ермаков //Труды Белорусского технологического университета. Серия "Лесное хозяйство". – Минск: БГТУ, 2001.- Вып. 9. – С. 15-18.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14. Ермаков, В.Е. Спелость леса, возраст и оборот рубки / В.Е. Ермаков //Труды Белорусского государственного, технологического университета. Серия "Лесное хозяйство". – Минск: БГТУ, 2004.- Вып. 12. – С. 12-16.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>15. Зеленский, В.В. Организация лесохозяйственного производства при переходе к рыночным отношениям./ В.В. Зеленский. - Гомель: ИЛ НАН Беларуси, 2005. - 155 с.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  <w:szCs w:val="28"/>
        </w:rPr>
      </w:pPr>
      <w:r w:rsidRPr="009774DB">
        <w:rPr>
          <w:sz w:val="28"/>
          <w:szCs w:val="28"/>
        </w:rPr>
        <w:t xml:space="preserve">16. Синицин, С.Г. Рациональное лесопользование. / С.Г. Синицин. - М.: Агропромиздат, 1987. - 333 с. </w:t>
      </w:r>
    </w:p>
    <w:p w:rsidR="007B48A4" w:rsidRPr="009774DB" w:rsidRDefault="007B48A4" w:rsidP="009774DB">
      <w:pPr>
        <w:widowControl w:val="0"/>
        <w:spacing w:line="360" w:lineRule="auto"/>
        <w:jc w:val="both"/>
        <w:rPr>
          <w:sz w:val="28"/>
        </w:rPr>
      </w:pPr>
      <w:r w:rsidRPr="009774DB">
        <w:rPr>
          <w:sz w:val="28"/>
          <w:szCs w:val="28"/>
        </w:rPr>
        <w:t>17. Янушко, А.Д. Актуальные проблемы организации и устойчивого развития лесного хозяйства Беларуси /А.Д. Янушко //Лесное и охотничье хозяйство. -</w:t>
      </w:r>
      <w:r w:rsidR="009774DB" w:rsidRPr="009774DB">
        <w:rPr>
          <w:sz w:val="28"/>
          <w:szCs w:val="28"/>
        </w:rPr>
        <w:t xml:space="preserve"> </w:t>
      </w:r>
      <w:r w:rsidRPr="009774DB">
        <w:rPr>
          <w:sz w:val="28"/>
          <w:szCs w:val="28"/>
        </w:rPr>
        <w:t>2003,- № 3. – С. 6-10.</w:t>
      </w:r>
      <w:bookmarkStart w:id="6" w:name="_GoBack"/>
      <w:bookmarkEnd w:id="6"/>
    </w:p>
    <w:sectPr w:rsidR="007B48A4" w:rsidRPr="009774DB" w:rsidSect="009774D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4E8"/>
    <w:multiLevelType w:val="hybridMultilevel"/>
    <w:tmpl w:val="DE363A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370D5B"/>
    <w:multiLevelType w:val="hybridMultilevel"/>
    <w:tmpl w:val="0CB0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421C00"/>
    <w:multiLevelType w:val="hybridMultilevel"/>
    <w:tmpl w:val="A9CC9250"/>
    <w:lvl w:ilvl="0" w:tplc="CC86CE96">
      <w:start w:val="1"/>
      <w:numFmt w:val="bullet"/>
      <w:lvlText w:val=""/>
      <w:lvlJc w:val="left"/>
      <w:pPr>
        <w:tabs>
          <w:tab w:val="num" w:pos="1354"/>
        </w:tabs>
        <w:ind w:left="560" w:firstLine="567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">
    <w:nsid w:val="03766878"/>
    <w:multiLevelType w:val="multilevel"/>
    <w:tmpl w:val="525AD3B6"/>
    <w:lvl w:ilvl="0">
      <w:start w:val="17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4D6C76"/>
    <w:multiLevelType w:val="hybridMultilevel"/>
    <w:tmpl w:val="5D48F6A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E77662C"/>
    <w:multiLevelType w:val="hybridMultilevel"/>
    <w:tmpl w:val="32E005D6"/>
    <w:lvl w:ilvl="0" w:tplc="61C2C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1F680847"/>
    <w:multiLevelType w:val="hybridMultilevel"/>
    <w:tmpl w:val="9268328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26F83B0C"/>
    <w:multiLevelType w:val="hybridMultilevel"/>
    <w:tmpl w:val="DD3AB504"/>
    <w:lvl w:ilvl="0" w:tplc="FDDC63A4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0E5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1610522"/>
    <w:multiLevelType w:val="hybridMultilevel"/>
    <w:tmpl w:val="0F1041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38967F7E"/>
    <w:multiLevelType w:val="hybridMultilevel"/>
    <w:tmpl w:val="C5980366"/>
    <w:lvl w:ilvl="0" w:tplc="CC86CE96">
      <w:start w:val="1"/>
      <w:numFmt w:val="bullet"/>
      <w:lvlText w:val=""/>
      <w:lvlJc w:val="left"/>
      <w:pPr>
        <w:tabs>
          <w:tab w:val="num" w:pos="1354"/>
        </w:tabs>
        <w:ind w:left="560" w:firstLine="567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1">
    <w:nsid w:val="45EF2351"/>
    <w:multiLevelType w:val="hybridMultilevel"/>
    <w:tmpl w:val="10D4DD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9A63949"/>
    <w:multiLevelType w:val="hybridMultilevel"/>
    <w:tmpl w:val="E118EF6E"/>
    <w:lvl w:ilvl="0" w:tplc="CC86CE96">
      <w:start w:val="1"/>
      <w:numFmt w:val="bullet"/>
      <w:lvlText w:val=""/>
      <w:lvlJc w:val="left"/>
      <w:pPr>
        <w:tabs>
          <w:tab w:val="num" w:pos="1354"/>
        </w:tabs>
        <w:ind w:left="560" w:firstLine="567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3">
    <w:nsid w:val="51156171"/>
    <w:multiLevelType w:val="singleLevel"/>
    <w:tmpl w:val="97283E9C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14">
    <w:nsid w:val="59392C74"/>
    <w:multiLevelType w:val="hybridMultilevel"/>
    <w:tmpl w:val="FD7C1558"/>
    <w:lvl w:ilvl="0" w:tplc="2848C73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5DD57601"/>
    <w:multiLevelType w:val="hybridMultilevel"/>
    <w:tmpl w:val="9474B1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1BE0527"/>
    <w:multiLevelType w:val="singleLevel"/>
    <w:tmpl w:val="404E5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8C75F1B"/>
    <w:multiLevelType w:val="singleLevel"/>
    <w:tmpl w:val="404E5F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B886490"/>
    <w:multiLevelType w:val="hybridMultilevel"/>
    <w:tmpl w:val="55F4E1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DE63E3D"/>
    <w:multiLevelType w:val="hybridMultilevel"/>
    <w:tmpl w:val="F2D0B42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7"/>
  </w:num>
  <w:num w:numId="18">
    <w:abstractNumId w:val="12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8A4"/>
    <w:rsid w:val="00552D3F"/>
    <w:rsid w:val="005C65C3"/>
    <w:rsid w:val="00695F8F"/>
    <w:rsid w:val="006E4196"/>
    <w:rsid w:val="007B48A4"/>
    <w:rsid w:val="009774DB"/>
    <w:rsid w:val="00A22CD2"/>
    <w:rsid w:val="00AA323D"/>
    <w:rsid w:val="00D96732"/>
    <w:rsid w:val="00E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E9C9FA-C2A2-41AA-9054-4784938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A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B48A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A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7B48A4"/>
    <w:pPr>
      <w:keepNext/>
      <w:jc w:val="center"/>
      <w:outlineLvl w:val="3"/>
    </w:pPr>
    <w:rPr>
      <w:b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48A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7B48A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7B48A4"/>
    <w:rPr>
      <w:rFonts w:ascii="Times New Roman" w:hAnsi="Times New Roman" w:cs="Times New Roman"/>
      <w:b/>
      <w:i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7B48A4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2"/>
    </w:rPr>
  </w:style>
  <w:style w:type="character" w:customStyle="1" w:styleId="22">
    <w:name w:val="Основной текст 2 Знак"/>
    <w:link w:val="21"/>
    <w:uiPriority w:val="99"/>
    <w:semiHidden/>
    <w:locked/>
    <w:rsid w:val="007B48A4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7B48A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B48A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7B48A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7B48A4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7B48A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7B48A4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Нижний колонтитул Знак"/>
    <w:link w:val="a8"/>
    <w:uiPriority w:val="99"/>
    <w:locked/>
    <w:rsid w:val="007B48A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7B48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7B48A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c">
    <w:name w:val="Название главы"/>
    <w:rsid w:val="007B48A4"/>
    <w:pPr>
      <w:tabs>
        <w:tab w:val="left" w:pos="240"/>
      </w:tabs>
      <w:spacing w:after="454"/>
      <w:jc w:val="center"/>
    </w:pPr>
    <w:rPr>
      <w:rFonts w:ascii="Times New Roman" w:hAnsi="Times New Roman"/>
      <w:b/>
      <w:sz w:val="30"/>
    </w:rPr>
  </w:style>
  <w:style w:type="character" w:styleId="ad">
    <w:name w:val="page number"/>
    <w:uiPriority w:val="99"/>
    <w:rsid w:val="007B48A4"/>
    <w:rPr>
      <w:rFonts w:cs="Times New Roman"/>
    </w:rPr>
  </w:style>
  <w:style w:type="paragraph" w:styleId="ae">
    <w:name w:val="Title"/>
    <w:basedOn w:val="a"/>
    <w:link w:val="af"/>
    <w:uiPriority w:val="10"/>
    <w:qFormat/>
    <w:rsid w:val="007B48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locked/>
    <w:rsid w:val="007B48A4"/>
    <w:rPr>
      <w:rFonts w:ascii="Arial" w:hAnsi="Arial" w:cs="Arial"/>
      <w:b/>
      <w:bCs/>
      <w:kern w:val="28"/>
      <w:sz w:val="32"/>
      <w:szCs w:val="32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7B48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B48A4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Подзаголовок 1"/>
    <w:rsid w:val="007B48A4"/>
    <w:pPr>
      <w:keepNext/>
      <w:tabs>
        <w:tab w:val="left" w:pos="240"/>
      </w:tabs>
      <w:spacing w:before="340" w:after="170"/>
      <w:jc w:val="center"/>
    </w:pPr>
    <w:rPr>
      <w:rFonts w:ascii="Times New Roman" w:hAnsi="Times New Roman"/>
      <w:b/>
      <w:sz w:val="24"/>
    </w:rPr>
  </w:style>
  <w:style w:type="character" w:styleId="af2">
    <w:name w:val="Hyperlink"/>
    <w:uiPriority w:val="99"/>
    <w:rsid w:val="007B48A4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uiPriority w:val="99"/>
    <w:rsid w:val="007B48A4"/>
    <w:rPr>
      <w:rFonts w:ascii="Courier New" w:hAnsi="Courier New"/>
    </w:rPr>
  </w:style>
  <w:style w:type="character" w:customStyle="1" w:styleId="af4">
    <w:name w:val="Текст Знак"/>
    <w:link w:val="af3"/>
    <w:uiPriority w:val="99"/>
    <w:locked/>
    <w:rsid w:val="007B48A4"/>
    <w:rPr>
      <w:rFonts w:ascii="Courier New" w:hAnsi="Courier New" w:cs="Times New Roman"/>
      <w:sz w:val="20"/>
      <w:szCs w:val="20"/>
      <w:lang w:val="x-none" w:eastAsia="ru-RU"/>
    </w:rPr>
  </w:style>
  <w:style w:type="paragraph" w:styleId="af5">
    <w:name w:val="caption"/>
    <w:basedOn w:val="a"/>
    <w:next w:val="a"/>
    <w:uiPriority w:val="35"/>
    <w:qFormat/>
    <w:rsid w:val="007B48A4"/>
    <w:pPr>
      <w:spacing w:before="120" w:after="120"/>
    </w:pPr>
    <w:rPr>
      <w:b/>
      <w:bCs/>
    </w:rPr>
  </w:style>
  <w:style w:type="paragraph" w:styleId="af6">
    <w:name w:val="footnote text"/>
    <w:basedOn w:val="a"/>
    <w:link w:val="af7"/>
    <w:uiPriority w:val="99"/>
    <w:semiHidden/>
    <w:rsid w:val="007B48A4"/>
  </w:style>
  <w:style w:type="character" w:customStyle="1" w:styleId="af7">
    <w:name w:val="Текст сноски Знак"/>
    <w:link w:val="af6"/>
    <w:uiPriority w:val="99"/>
    <w:semiHidden/>
    <w:locked/>
    <w:rsid w:val="007B48A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rsid w:val="007B48A4"/>
    <w:rPr>
      <w:rFonts w:cs="Times New Roman"/>
      <w:vertAlign w:val="superscript"/>
    </w:rPr>
  </w:style>
  <w:style w:type="character" w:styleId="af9">
    <w:name w:val="FollowedHyperlink"/>
    <w:uiPriority w:val="99"/>
    <w:rsid w:val="007B48A4"/>
    <w:rPr>
      <w:rFonts w:cs="Times New Roman"/>
      <w:color w:val="800080"/>
      <w:u w:val="single"/>
    </w:rPr>
  </w:style>
  <w:style w:type="paragraph" w:customStyle="1" w:styleId="12">
    <w:name w:val="Стиль1"/>
    <w:basedOn w:val="a"/>
    <w:rsid w:val="007B48A4"/>
    <w:pPr>
      <w:ind w:firstLine="709"/>
      <w:jc w:val="both"/>
    </w:pPr>
    <w:rPr>
      <w:sz w:val="28"/>
    </w:rPr>
  </w:style>
  <w:style w:type="paragraph" w:styleId="afa">
    <w:name w:val="TOC Heading"/>
    <w:basedOn w:val="1"/>
    <w:next w:val="a"/>
    <w:uiPriority w:val="39"/>
    <w:unhideWhenUsed/>
    <w:qFormat/>
    <w:rsid w:val="007B48A4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B48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0AF4B7-2477-4EB1-8E74-04812403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dcterms:created xsi:type="dcterms:W3CDTF">2014-03-07T20:24:00Z</dcterms:created>
  <dcterms:modified xsi:type="dcterms:W3CDTF">2014-03-07T20:24:00Z</dcterms:modified>
</cp:coreProperties>
</file>