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Курсовая работа</w:t>
      </w:r>
    </w:p>
    <w:p w:rsid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  <w:r w:rsidRPr="00817F3A">
        <w:rPr>
          <w:sz w:val="28"/>
          <w:szCs w:val="28"/>
        </w:rPr>
        <w:t>Тема:</w:t>
      </w: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  <w:r w:rsidRPr="00817F3A">
        <w:rPr>
          <w:sz w:val="28"/>
          <w:szCs w:val="28"/>
        </w:rPr>
        <w:t>Организация дозиметрического контроля и дезактивация трансформаторных подстанций в условиях радиоактивного заражения местности</w:t>
      </w: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0"/>
        <w:jc w:val="center"/>
        <w:rPr>
          <w:sz w:val="28"/>
          <w:szCs w:val="28"/>
        </w:rPr>
      </w:pPr>
    </w:p>
    <w:p w:rsidR="00817F3A" w:rsidRDefault="00817F3A">
      <w:pPr>
        <w:widowControl/>
        <w:spacing w:after="200" w:line="276" w:lineRule="auto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F0DB7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Введение</w:t>
      </w:r>
    </w:p>
    <w:p w:rsidR="004724FE" w:rsidRPr="00817F3A" w:rsidRDefault="004724FE" w:rsidP="00817F3A">
      <w:pPr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Глава 1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1.1 Организация дозиметрического контроля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1.2 Дозиметрический контроль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1.3 Организация дозиметрического контроля в условиях радиоактивного заражения местности</w:t>
      </w:r>
    </w:p>
    <w:p w:rsidR="004724FE" w:rsidRDefault="004724FE" w:rsidP="00817F3A">
      <w:pPr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Глава 2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2.1 Дезактивация трансформаторных подстанций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bCs/>
          <w:sz w:val="28"/>
          <w:szCs w:val="28"/>
        </w:rPr>
        <w:t xml:space="preserve">2.2 Способы </w:t>
      </w:r>
      <w:r w:rsidRPr="00817F3A">
        <w:rPr>
          <w:sz w:val="28"/>
          <w:szCs w:val="28"/>
        </w:rPr>
        <w:t>дезактивации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2.3</w:t>
      </w:r>
      <w:r w:rsidR="00DC62AB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Дезактивирующие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вещества и растворы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2.4</w:t>
      </w:r>
      <w:r w:rsidR="00DC62AB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Техника народного хозяйства и ее использование при дегазации трансформаторных подстанций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2.5 Меры безопасности при проведении работ по дезактивации трансформаторных подстанций в условиях радиоактивного заражения местности</w:t>
      </w:r>
    </w:p>
    <w:p w:rsidR="004724FE" w:rsidRDefault="004724FE" w:rsidP="00817F3A">
      <w:pPr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Глава 3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3.1 Использование дистанционных методов для лесопатологического картографирования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3.2 Использование аэрокосмических методов в лесоэнтомологическом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мониторинге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3.3 Исследование динамики повреждаемости лесов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3.4 Принципы картографирования лесов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3.5 Особенности картографирования лесных насекомых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3.6 Картографическое моделирование развития вспышек массовых размножений лесных насекомых</w:t>
      </w:r>
    </w:p>
    <w:p w:rsidR="003F0DB7" w:rsidRPr="00817F3A" w:rsidRDefault="003F0DB7" w:rsidP="00817F3A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3.7 Анализ изменения численности хвоегрызущих насекомых в резервациях сибирского шелкопряда</w:t>
      </w:r>
    </w:p>
    <w:p w:rsidR="003F0DB7" w:rsidRPr="004A43D7" w:rsidRDefault="003F0DB7" w:rsidP="00DC62AB">
      <w:pPr>
        <w:spacing w:line="360" w:lineRule="auto"/>
        <w:ind w:firstLine="0"/>
        <w:rPr>
          <w:sz w:val="28"/>
          <w:szCs w:val="28"/>
          <w:lang w:val="uk-UA"/>
        </w:rPr>
      </w:pPr>
      <w:r w:rsidRPr="00817F3A">
        <w:rPr>
          <w:sz w:val="28"/>
          <w:szCs w:val="28"/>
        </w:rPr>
        <w:t xml:space="preserve">3.8 Оценка заселенности древостоев сибирским шелкопрядом и динамика его </w:t>
      </w:r>
      <w:r w:rsidR="004A43D7">
        <w:rPr>
          <w:sz w:val="28"/>
          <w:szCs w:val="28"/>
        </w:rPr>
        <w:t>численности</w:t>
      </w:r>
    </w:p>
    <w:p w:rsidR="00DC62AB" w:rsidRDefault="00DC62AB">
      <w:pPr>
        <w:widowControl/>
        <w:spacing w:after="200" w:line="276" w:lineRule="auto"/>
        <w:ind w:firstLine="0"/>
        <w:jc w:val="lef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</w:p>
    <w:p w:rsidR="003F0DB7" w:rsidRPr="00817F3A" w:rsidRDefault="003F0DB7" w:rsidP="00817F3A">
      <w:pPr>
        <w:pStyle w:val="FR2"/>
        <w:spacing w:line="360" w:lineRule="auto"/>
        <w:ind w:firstLine="709"/>
        <w:rPr>
          <w:sz w:val="28"/>
          <w:szCs w:val="28"/>
          <w:lang w:val="ru-RU"/>
        </w:rPr>
      </w:pPr>
      <w:r w:rsidRPr="00817F3A">
        <w:rPr>
          <w:sz w:val="28"/>
          <w:szCs w:val="28"/>
          <w:lang w:val="ru-RU"/>
        </w:rPr>
        <w:t>ВВЕДЕНИЕ</w:t>
      </w:r>
    </w:p>
    <w:p w:rsidR="00D509DC" w:rsidRDefault="00D509DC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После открытия деления ядер тяжелых элементов начала развиваться ядерная энергетика. Развитие в этой новой области связано с появлением различных методов исследования, одним из которых является радиометрия, т. е. количественное измерение и идентификация радиоактивных элементов по интенсивности излучения.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Радиометрия ионизирующих излучений включает круг вопросов, связанных с применением радиометрических и спектрометрических методов для решения различного рода прикладных задач в разных областях науки и техники, а также вопросов, относящихся к созданию специальной аппаратуры и методов по измерению радиоактивности и идентификации радиоизотопов.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разработке радиометрических методов видная роль принадлежит советским ученым, которыми проделана большая работа по методике лабораторного определения радиоактивности и теории полевых радиометрических методов.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Открытие искусственной радиоактивности и возможность получения радиоактивных изотопов всех химических элементов способствовали разработке методики и техники измерения радиоактивности элементов. Многие достижения в этой области с успехом используются в практической радиометрии.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Быстрое развитие ядерной энергетики и широкое внедрение источников ионизирующих излучений в различных областях науки, техники и народного хозяйства создали потенциальную угрозу радиационной опасности для человека и загрязнения окружающей среды радиоактивными веществами. Поэтому вопросы защиты от ионизирующих излучений (или радиационная безопасность) превращаются в одну из важнейших проблем.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Современный этап развития радиометрии связан с эксплуатацией ядерных реакторов и мощных ускорителей для получения радиоизотопов, использованием продуктов деления тяжелых ядер, излучением химии горячих атомов и т. д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Авария на Чернобыльской АЭС показала, как необходимо правильно и оперативно использовать дозиметрическую аппаратуру в экстремальных ситуациях.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конце второй мировой войны, в августе 1945 года, США применили ядерное оружие — наиболее мощный вид оружия массового поражения. На японские города Хиросима и Нагасаки были сброшены атомные бомбы, каждая из которых унесла тысячи человеческих жизней.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После второй мировой войны в капиталистических странах оружие массового поражения, особенно ядерное, получило дальнейшее развитие. Кроме того, были созданы более совершенные средства доставки оружия массового поражения к цели.</w:t>
      </w:r>
    </w:p>
    <w:p w:rsidR="00D509DC" w:rsidRDefault="00D509DC">
      <w:pPr>
        <w:widowControl/>
        <w:spacing w:after="200" w:line="276" w:lineRule="auto"/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4724FE" w:rsidRDefault="004724FE" w:rsidP="00817F3A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Глава 1</w:t>
      </w:r>
    </w:p>
    <w:p w:rsidR="004724FE" w:rsidRDefault="004724FE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1.</w:t>
      </w:r>
      <w:r w:rsidR="004724FE">
        <w:rPr>
          <w:b/>
          <w:sz w:val="28"/>
          <w:szCs w:val="28"/>
        </w:rPr>
        <w:t>1</w:t>
      </w:r>
      <w:r w:rsidRPr="00817F3A">
        <w:rPr>
          <w:b/>
          <w:sz w:val="28"/>
          <w:szCs w:val="28"/>
        </w:rPr>
        <w:t xml:space="preserve"> Организация дозиметрического контроля</w:t>
      </w:r>
    </w:p>
    <w:p w:rsidR="00D509DC" w:rsidRDefault="00D509DC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Мероприятия дозиметрического контроля и необходимые, для их осуществления силы предусматриваются в планах гражданской обороны объектов народного хозяйства, районов, городов и служб ГО.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Дозиметрический контроль организуется: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в городах и районах начальниками штабов и служб ГО городов, районов и командирами территориальных формирований ГО;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на объектах народного, хозяйства — начальниками штабов и служб ГО и командирами объектовых формирований ГО;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в лечебных учреждениях и на санитарном транспорте — начальниками этих учреждений;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неработающего населения — штабами ГО городов и районов с привлечением начальников жилищно-эксплуатационных контор (домоуправлений).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проведении рассредоточения и эвакуации населения организация дозиметрического контроля возлагается на председателей эвакуационных комиссий, начальников сборных эвакуационных пунктов, а также на начальников эшелонов (колонн). Для обеспечения этих видов контроля начальники ГО городов и районов предусматривают выделение необходимых сил и средств.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Контроль облучения проводится непрерывно при нахождении (действиях) людей на зараженной РВ местности. Контроль радиоактивного заражения проводится, как правило, после выполнения задачи, поставленной начальником (командиром).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Штабы и службы, а также командиры формирований ГО при организации группового контроля облучения особое внимание уделяют своевременному обеспечению личного состава техническими средствами контроля, сбору и учету данных о дозах облучения людей и определению категории их работоспособности.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целях осуществления контроля облучения личному составу формирований ГО, рабочим и служащим объектов народного хозяйства выдаются войсковые измерители дозы ИД-1 или дозиметры ДКП-50А из расчета: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один на звено, расчет;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один-два на группу численностью 14—20 человек (производственную, сельскохозяйственную бригаду), а также на защитное сооружение ГО;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руководящему и командно-начальствующему составу, а также лицам, действующим в отрыве от своих формирований ГО,— каждому по дозиметру.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Войсковой измеритель дозы ИД-1 или дозиметр ДКП-50А носится в нагрудном кармане (тужурки, комбинезона).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Штабы и службы ГО городов, районов и объектов народного хозяйства перед выдачей войсковых измерителей дозы (дозиметров) организуют их подзарядку.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Исправные войсковые измерители дозы (дозиметры) при правильной эксплуатации в отсутствие ионизирующих излучений не требуют подзарядки в течение 10 сут.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Выдача войсковых измерителей дозы (дозиметров) производится распоряжением соответствующих начальников гражданской обороны. Место, время и порядок выдачи определяются начальниками штабов ГО объектов народного хозяйства и штабов ГО всех других степеней. При нахождении на местности, зараженной радиоактивными веществами, начальник (командир) систематически контролирует дозы облучения, полученные личным составом.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Считывание показаний с войсковых измерителей дозы производится непосредственным начальником или назначенным лицом не реже одного раза в сутки. Транспортирование войсковых измерителей дозы для считывания показаний запрещается.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Время считывания показаний с войсковых измерителей дозы устанавливается штабами ГО. Однако после воздействия на людей гамма и нейтронного излучения (проникающей радиации) при ядерном взрыве считывание показаний производится немедленно.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Данные группового контроля облучения заносятся в ведомость выдачи войсковых измерителей дозы и считывания показаний.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После считывания показаний производится перезарядка войсковых измерителей </w:t>
      </w:r>
      <w:r w:rsidR="00D509DC" w:rsidRPr="00817F3A">
        <w:rPr>
          <w:sz w:val="28"/>
          <w:szCs w:val="28"/>
        </w:rPr>
        <w:t>дозы,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и они возвращаются лицам, за которыми закреплены.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Войсковые измерители дозы, находящиеся у пораженных, при направлении их в лечебные учреждения изымаются и передаются другим лицам.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том случае, когда показание на войсковом измерителе дозы отсутствует (нет нити электрометра на шкале в поле зрения) или войсковой измеритель дозы (дозиметр) утрачен, величина дозы облучения может быть определена в отряде первой медицинской помощи ГО (ОПМ) или другом лечебном учреждении по индивидуальному измерителю дозы.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Учет доз облучения по показаниям войсковых измерителей дозы ведется: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в командах и группах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всего личного состава;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в отрядах личного состава управления отряда и всех командиров команд (групп);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в штабах ГО объектов народного хозяйства — всего руководящего состава объекта, личного состава штаба и командиров отрядов, команд и отдельных групп;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в штабах ГО районов, городов и служб ГО — всего руководящего состава района, города и службы ГО, личного состава штаба ГО, начальников гражданской обороны и начальников штабов ГО объектов народного хозяйства и командиров территориальных формирований ГО.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Данные о дозах облучения заносятся в журнал контроля облучения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и периодически записываются в карточку учета доз облучения.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отсутствии войсковых измерителей дозы (дозиметров) штабы ГО городов и районов с привлечением жилищно-эксплуатационных контор (ЖЭК) и домоуправлений дозы облучения неработающего населения определяют расчетным методом в соответствии со ст. 15 настоящего. Положения.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По дозам облучения определяется категория работоспособности населения. Учет доз облучения ведется в штабе ГО городского района — по ЖЭК (домоуправлениям); в штабе ГО города по районам; в штабе ГО сельского района по населенным пунктам.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Штабы ГО объектов народного хозяйства, районов, городов и служб ГО ежесуточно по подчиненности представляют донесения, в которых сообщают: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данные о работоспособности личного состава формирований ГО, рабочих и служащих и дозах облучения руководящего состава объекта;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данные о работоспособности личного состава формирований ГО, рабочих, служащих и остального населения, а также о дозах облучения руководящего состава района, города;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данные о работоспособности личного состава формирований ГО и дозах облучения руководящего состава службы.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Командиры формирований ежесуточно по подчиненности представляют донесения, в которых сообщают: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данные о дозах облучения личного состава команды (группы);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данные о работоспособности каждой команды (группы) и о дозах облучения командиров команд (групп).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Время представления донесений устанавливается вышестоящим штабом гражданской обороны.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Ведомости выдачи войсковых измерителей дозы и считывания показаний, журналы контроля облучения и бланки донесений изготовляются объектами народного хозяйства и службами ГО в мирное время, хранятся вместе со средствами дозиметрического контроля и выдаются по - особому указанию.</w:t>
      </w:r>
    </w:p>
    <w:p w:rsidR="00D509DC" w:rsidRDefault="00D509DC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1.2</w:t>
      </w:r>
      <w:r w:rsidR="00817F3A">
        <w:rPr>
          <w:b/>
          <w:sz w:val="28"/>
          <w:szCs w:val="28"/>
        </w:rPr>
        <w:t xml:space="preserve"> </w:t>
      </w:r>
      <w:r w:rsidRPr="00817F3A">
        <w:rPr>
          <w:b/>
          <w:sz w:val="28"/>
          <w:szCs w:val="28"/>
        </w:rPr>
        <w:t>Дозиметрический контроль</w:t>
      </w:r>
    </w:p>
    <w:p w:rsidR="00D509DC" w:rsidRDefault="00D509DC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Дозиметрический контроль включает контроль облучения и контроль радиоактивного заражения (загрязнения).</w:t>
      </w: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Контроль облучения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Контроль облучения проводится в целях своевременного получения данных о поглощенных дозах облучения людей и сельскохозяйственных животных. По данным контроля облучения устанавливается или подтверждается факт внешнего воздействия ионизирующих излучений, оценивается работоспособность людей.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Воздействие ионизирующего излучения на организм человека принято оценивать величиной поглощенной дозы внешнего облучения, измеряемой на поверхности тела человека в радах (рад), или экспозиционной дозой, измеряемой в рентгенах (Р).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Поглощенная доза внешнего облучения определяется измерителями дозы ИД-1 и индивидуальными измерителями дозы ИД-11, которые регистрируют гамма и нейтронное излучение.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Групповой контроль облучения проводится в целях получения данных для оценки работоспособности формирований ГО, рабочих и служащих объектов народного хозяйства и осуществляется с помощью войсковых измерителей дозы ИД-1 или дозиметров ДКП-50А, неработающего населения — расчетным методом.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Индивидуальный контроль облучения проводится в целях получения данных о дозах облучения каждого человека, которые необходимы для первичной диагностики степени тяжести острой лучевой болезни при сортировке пораженных на этапах медицинской эвакуации. Этот контроль осуществляется с помощью индивидуальных измерителей дозы ИД-11.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Групповой контроль облучения расчетным методом заключается в определении дозы облучения населения по средним уровням радиации в населенных пунктах с учетом продолжительности облучения и защищенности людей.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Уровни радиации в населенных пунктах измеряются через равные промежутки времени, как правило, со следующей периодичностью: в первые сутки с момента заражения через 0,5-1 ч; во вторые сутки через 1-2 ч; в третьи и последующие сутки — через 3-4 ч.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Расчет доз облучения производиться по формуле</w:t>
      </w: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Контроль радиоактивного заражения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Контроль радиоактивного заражения (загрязнения) проводится для определения степени заражения (загрязнения) радиоактивными веществами людей, сельскохозяйственных животных, а также техники, транспорта, средств индивидуальной защиты, одежды, продовольствия, воды, фуража и других объектов. Он осуществляется путем измерения степени заражения (загрязнения) объектов по гамма-излучению или определения удельной активности по бета- и альфа- излучению. Степень радиоактивного заражения (загрязнения) людей, сельскохозяйственных животных, а также техники, оборудования, одежды и других материальных средств как источников внешнего излучения оценивается путем измерения мощности, экспозиционной дозы излучения от них, измеряемой в миллирентгенах в час (мР/ч). Степень радиоактивного заражения (загрязнения) продуктов питания, воды и фуража определяется путем измерения удельной активности продуктов деления ядерных взрывов, измеряемой в милликюри на литр (мКи/л) или милликюри на килограмм (мКи/кг). Мощность дозы излучения (уровень радиации) измеряется с помощью приборов типа ДП-5, а удельная активность РВ—с помощью пересчетных установок типа ДП-100.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определения степени заражения (загрязнения) по гамма-излучению измеряется мощность дозы излучения (уровень радиации) обследуемого объекта с последующим сравнением полученной величины с допустимой.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определения удельной активности РВ по бета - и альфа-излучению отбираются пробы продовольствия, воды, фуража и проводится их радиометрический анализ в учреждениях сети наблюдения и лабораторного контроля.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Контроль радиоактивного заражения (загрязнения) людей, техники, транспорта и других объектов проводится, как правило, вне зон заражения (загрязнения). При необходимости этот контроль можно проводить и на зараженной местности. Контроль радиоактивного заражения (загрязнения) людей, техники и транспорта может быть сплошным или выборочным. При сплошном контроле проверке подвергаются 100% личного состава формирований ГО и техники. При выборочном контроле заражения личного состава формирований ГО проверяются: в звене— 1—2 человека, в группе—2—3 человека, в команде— 6—9 человек. При выборочном контроле заражения рабочих и служащих проверяется 5—10% личного состава бригады (цеха). Для выборочного контроля техники и транспорта, работающих в сходных условиях, от каждых 10 единиц техники или транспорта проверяются 1—2 единицы.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Степень радиоактивного заражения людей, сельскохозяйственных животных, техники и других объектов с помощью приборов типа ДП-5 определяется в такой последовательности. Гамма-фон измеряют на расстоянии не менее 15—20 м от обследуемого объекта. При измерении гамма-фона экран зонда прибора устанавливают в положение «Г», зонд располагают на расстоянии вытянутой руки упорами вниз на высоте 0,7—1 м от земли, показания снимают через 45—60 с. Гамма-фон в местах контроля должен быть наименьшим и не превышать величин, указанных в приложениях 4 и 5, более чем в 3 раза. Для измерения мощности дозы контролируемого объекта экран зонда прибора устанавливают в положение «Г», зонд упорами вперед подносят к поверхности объекта на расстояние 1—1,5 см и медленно перемещают над поверхностью объекта. Места максимального заражения определяют по наибольшей частоте щелчков в головных телефонах или максимальному отклонению стрелки прибора микроамперметра через 45—60 с.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Продолжительность измерения гамма-фона местности и мощности дозы контролируемого объекта должна быть одинаковой и составлять не менее 45 с. В случаях, когда гамма-фон превышает допустимые нормы, контроль заражения (загрязнения) людей проводится в убежищах или противорадиационных укрытиях. Контроль радиоактивного заражения объектов, которые нельзя вывести из зараженных районов и невозможно измерить степень их заражения на месте из-за большого гамма-фона, проводится путем взятия проб с последующим анализом их в радиометрических лабораториях. Для этой цели учреждения СНЛК, химические и радиометрические лаборатории ГО используют пересчетные установки типа ДП-100 и др.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определения наличия наведенной активности техники, подвергшейся воздействию нейтронного излучения, производятся два измерения снаружи и внутри техники с помощью прибора типа ДП-5. .Если результаты измерений близки между собой, это означает, что техника имеет наведенную активность. При контроле степени радиоактивного заражения поверхностей брезентовых тентов кузовов автомашин, стен и перегородок сооружений и других, прозрачных для гамма-излучения объектов, прежде всего, необходимо установить, какая поверхность (внутренняя или наружная) заражена РВ. Для этого при обследовании поверхности следует снять два показания микроамперметра: при закрытом окне зонда (экран в положении «Г» ) и при открытом окне зонда (экран в положении «Б»). Если при открытом окне зонда показания микроамперметра значительно больше, чем при закрытом, то обследуемая поверхность заражена, если же эти показания примерно одинаковы, то обследуемая поверхность не заражена.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Степень радиоактивного заражения продовольствия и готовой пищи определяется путем взятия с поверхности пробы. Пробы жидких пищевых продуктов (молоко, сметана, растительные масла, фруктовые соки и т. п.) и готовой пищи отбираются после тщательного перемешивания всей массы продукта. Пробы продуктов (кроме жидких), находящихся в упаковке, берут из слоя толщиной 1—2 см, прилегающего к упаковочному материалу. Для этого упаковку разрезают (вскрывают), затем продукт отбирают и тщательно перемешивают. Количество упаковок, подлежащих вскрытию, устанавливается в зависимости от вида продовольствия, размера запасов и условий хранения, но при всех обстоятельствах вскрывается не менее трех упаковок.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Контролю подлежат только те продукты, упаковка которых не является герметичной для радиоактивной пыли. При определении степени радиоактивного заражения (загрязнения) воды отбирают две пробы: одну—из верхнего слоя водоисточника, другую — с придонного слоя. Пробы из верхнего слоя водоисточника отбирают в любую чистую посуду (банки, ведра и т. д.). С придонного слоя пробу отбирают с помощью специального водозаборника; перед взятием пробы воду необходимо взмутить. Объем отбираемых проб — 1,5 л (котелок) или 10 л (ведро) при определении зараженности воды с помощью приборов типа ДМ-5. На основе данных контроля радиоактивного заражения (загрязнения) штабами ГО объектов народного хозяйства, районов, городов и служб ГО определяется объем работ по проведению санитарной обработки людей. ветеринарной обработки сельскохозяйственных животных, а также дезактивации техники, продовольствия, других материальных средств и порядок их использования.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Санитарная обработка людей проводится в первый час или самые ближайшие часы после их заражения.</w:t>
      </w:r>
    </w:p>
    <w:p w:rsidR="00D509DC" w:rsidRDefault="00D509DC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1.3 Организация дозиметрического контроля в условиях радиоактивного заражения местности</w:t>
      </w:r>
    </w:p>
    <w:p w:rsidR="00D509DC" w:rsidRDefault="00D509DC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Контроль радиоактивного заражения проводится по указанию начальника (командира). С учетом данных разведки определяются места, очередность и порядок его проведения. В первую очередь контролю подвергаются личный состав, продовольствие, вода.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По указанию начальника производится выборочный контроль определения степени радиоактивного заражения людей, техники, транспорта и производится оценка данных о необходимости проведения специальной обработки.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контроле радиоактивного заражения в районах расположения формирований ГО техника и транспорт размещаются на расстояниях не ближе 15—20 м друг от друга.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Перед отправкой в лабораторию каждая проба нумеруется, в сопроводительной записке указываются: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что направляется, в каком объеме и номер пробы;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место и время '(часы, минуты, число, месяц и год) отбора пробы;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цель анализа (качественное или количественное определение 0В или РВ, установление полноты дегазации или типа 0В);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— показания приборов радиационной разведки.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Доставка проб с сопроводительной запиской в лабораторию осуществляется народными, транспортом штаба ГО объекта народного хозяйства или службы ГО, в интересах которых проводится анализ. Данные о пробах заносятся в журнал отбора и сдачи проб.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Сведения о результатах контроля радиоактивного заражения сообщаются штабами ГО объектов народного хозяйства, районов, городов и служб ГО в донесениях, в которых указываются: количество зараженных людей, а также техники, транспорта, оборудования, других объектов и объем проводимых работ по специальной обработке.</w:t>
      </w:r>
    </w:p>
    <w:p w:rsidR="00D509DC" w:rsidRDefault="00D509DC" w:rsidP="00817F3A">
      <w:pPr>
        <w:spacing w:line="360" w:lineRule="auto"/>
        <w:ind w:firstLine="709"/>
        <w:rPr>
          <w:b/>
          <w:sz w:val="28"/>
          <w:szCs w:val="28"/>
        </w:rPr>
      </w:pPr>
    </w:p>
    <w:p w:rsidR="00D509DC" w:rsidRDefault="00D509DC">
      <w:pPr>
        <w:widowControl/>
        <w:spacing w:after="200" w:line="276" w:lineRule="auto"/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4724FE" w:rsidRDefault="004724FE" w:rsidP="00817F3A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Глава 2</w:t>
      </w:r>
    </w:p>
    <w:p w:rsidR="004724FE" w:rsidRDefault="004724FE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>2.1 Дезактивация трансформаторных подстанций</w:t>
      </w:r>
    </w:p>
    <w:p w:rsidR="00D509DC" w:rsidRDefault="00D509DC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sz w:val="28"/>
          <w:szCs w:val="28"/>
        </w:rPr>
        <w:t>Дезактивация — это удаление радиоактивных веществ с зараженных объектов до допустимых норм зараженности. Она достигается, как правило, в результате механического удаления радиоактивных веществ с поверхностей зараженных объектов.</w:t>
      </w:r>
    </w:p>
    <w:p w:rsidR="00D509DC" w:rsidRDefault="00D509DC" w:rsidP="00817F3A">
      <w:pPr>
        <w:shd w:val="clear" w:color="auto" w:fill="FFFFFF"/>
        <w:spacing w:line="360" w:lineRule="auto"/>
        <w:ind w:firstLine="709"/>
        <w:rPr>
          <w:b/>
          <w:bCs/>
          <w:sz w:val="28"/>
          <w:szCs w:val="28"/>
        </w:rPr>
      </w:pPr>
    </w:p>
    <w:p w:rsidR="003F0DB7" w:rsidRDefault="003F0DB7" w:rsidP="00817F3A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bCs/>
          <w:sz w:val="28"/>
          <w:szCs w:val="28"/>
        </w:rPr>
        <w:t xml:space="preserve">2.2 Способы </w:t>
      </w:r>
      <w:r w:rsidRPr="00817F3A">
        <w:rPr>
          <w:b/>
          <w:sz w:val="28"/>
          <w:szCs w:val="28"/>
        </w:rPr>
        <w:t>дезактивации</w:t>
      </w:r>
    </w:p>
    <w:p w:rsidR="00D509DC" w:rsidRDefault="00D509DC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Дезактивация объектов может производиться различными способами в зависимости от объекта и вида дезактивации, технических средств, с помощью которых производится обеззараживание, обеззараживающих веществ, времени года и наличия времени.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Наиболее распространенными способами дезактивации являются: струйный, обрызгивания, газожидкостный, рассыпания сухих активных веществ.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>Струйный способ</w:t>
      </w:r>
      <w:r w:rsidRPr="00817F3A">
        <w:rPr>
          <w:sz w:val="28"/>
          <w:szCs w:val="28"/>
        </w:rPr>
        <w:t xml:space="preserve"> заключается в обработке зараженных поверхностей компактными струями воды под давлением.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Он может быть использован с помощью насосов и других механизмов, дающих компактную струю. Расход воды должен быть не менее 50 </w:t>
      </w:r>
      <w:r w:rsidRPr="00817F3A">
        <w:rPr>
          <w:iCs/>
          <w:sz w:val="28"/>
          <w:szCs w:val="28"/>
        </w:rPr>
        <w:t xml:space="preserve">л/мин </w:t>
      </w:r>
      <w:r w:rsidRPr="00817F3A">
        <w:rPr>
          <w:sz w:val="28"/>
          <w:szCs w:val="28"/>
        </w:rPr>
        <w:t xml:space="preserve">при давлении более 2,5 </w:t>
      </w:r>
      <w:r w:rsidRPr="00817F3A">
        <w:rPr>
          <w:iCs/>
          <w:sz w:val="28"/>
          <w:szCs w:val="28"/>
        </w:rPr>
        <w:t>кг/см</w:t>
      </w:r>
      <w:r w:rsidRPr="00817F3A">
        <w:rPr>
          <w:iCs/>
          <w:sz w:val="28"/>
          <w:szCs w:val="28"/>
          <w:vertAlign w:val="superscript"/>
        </w:rPr>
        <w:t>2</w:t>
      </w:r>
      <w:r w:rsidRPr="00817F3A">
        <w:rPr>
          <w:iCs/>
          <w:sz w:val="28"/>
          <w:szCs w:val="28"/>
        </w:rPr>
        <w:t xml:space="preserve">. </w:t>
      </w:r>
      <w:r w:rsidRPr="00817F3A">
        <w:rPr>
          <w:sz w:val="28"/>
          <w:szCs w:val="28"/>
        </w:rPr>
        <w:t>Для снижения расхода воды рекомендуется применять ее в подогретом виде.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 xml:space="preserve">Способ </w:t>
      </w:r>
      <w:r w:rsidRPr="00817F3A">
        <w:rPr>
          <w:b/>
          <w:bCs/>
          <w:sz w:val="28"/>
          <w:szCs w:val="28"/>
        </w:rPr>
        <w:t xml:space="preserve">обрызгивания </w:t>
      </w:r>
      <w:r w:rsidRPr="00817F3A">
        <w:rPr>
          <w:sz w:val="28"/>
          <w:szCs w:val="28"/>
        </w:rPr>
        <w:t>заключается в обработке зараженных поверхностей дезактивирующими активными растворами, распыленными до мелких капель.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Он может применяться с помощью различных опрыскивателей-опыливателей и насосов со специальными коллекторами. Хорошее распыление растворов достигается при давлении 3 </w:t>
      </w:r>
      <w:r w:rsidRPr="00817F3A">
        <w:rPr>
          <w:iCs/>
          <w:sz w:val="28"/>
          <w:szCs w:val="28"/>
        </w:rPr>
        <w:t>кг/см</w:t>
      </w:r>
      <w:r w:rsidRPr="00817F3A">
        <w:rPr>
          <w:iCs/>
          <w:sz w:val="28"/>
          <w:szCs w:val="28"/>
          <w:vertAlign w:val="superscript"/>
        </w:rPr>
        <w:t>г</w:t>
      </w:r>
      <w:r w:rsidR="00817F3A">
        <w:rPr>
          <w:iCs/>
          <w:sz w:val="28"/>
          <w:szCs w:val="28"/>
          <w:vertAlign w:val="superscript"/>
        </w:rPr>
        <w:t xml:space="preserve"> </w:t>
      </w:r>
      <w:r w:rsidRPr="00817F3A">
        <w:rPr>
          <w:sz w:val="28"/>
          <w:szCs w:val="28"/>
        </w:rPr>
        <w:t xml:space="preserve">и расходе раствора 1—3 </w:t>
      </w:r>
      <w:r w:rsidRPr="00817F3A">
        <w:rPr>
          <w:iCs/>
          <w:sz w:val="28"/>
          <w:szCs w:val="28"/>
        </w:rPr>
        <w:t>л/мин.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b/>
          <w:bCs/>
          <w:sz w:val="28"/>
          <w:szCs w:val="28"/>
        </w:rPr>
        <w:t xml:space="preserve">Газожидкостный </w:t>
      </w:r>
      <w:r w:rsidRPr="00817F3A">
        <w:rPr>
          <w:b/>
          <w:sz w:val="28"/>
          <w:szCs w:val="28"/>
        </w:rPr>
        <w:t>способ</w:t>
      </w:r>
      <w:r w:rsidRPr="00817F3A">
        <w:rPr>
          <w:sz w:val="28"/>
          <w:szCs w:val="28"/>
        </w:rPr>
        <w:t xml:space="preserve"> заключается в обработке зараженных поверхностей смесью горячего газа и активных растворов.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Способ может быть применен с использованием выхлопных газов двигателей внутреннего сгорания (автомобильных, тракторных и пр.). Сохранность двигателя</w:t>
      </w:r>
      <w:r w:rsidRPr="00817F3A">
        <w:rPr>
          <w:sz w:val="28"/>
          <w:szCs w:val="28"/>
          <w:vertAlign w:val="subscript"/>
        </w:rPr>
        <w:t xml:space="preserve"> </w:t>
      </w:r>
      <w:r w:rsidRPr="00817F3A">
        <w:rPr>
          <w:sz w:val="28"/>
          <w:szCs w:val="28"/>
        </w:rPr>
        <w:t xml:space="preserve">и достаточный эффект дизактивации этим способом достигаются, если давление в системе выхлопа в бензиновом двигателе превышает атмосферное на 0,8— 0,9 </w:t>
      </w:r>
      <w:r w:rsidRPr="00817F3A">
        <w:rPr>
          <w:iCs/>
          <w:sz w:val="28"/>
          <w:szCs w:val="28"/>
        </w:rPr>
        <w:t>кг/см</w:t>
      </w:r>
      <w:r w:rsidRPr="00817F3A">
        <w:rPr>
          <w:iCs/>
          <w:sz w:val="28"/>
          <w:szCs w:val="28"/>
          <w:vertAlign w:val="superscript"/>
        </w:rPr>
        <w:t>г</w:t>
      </w:r>
      <w:r w:rsidRPr="00817F3A">
        <w:rPr>
          <w:iCs/>
          <w:sz w:val="28"/>
          <w:szCs w:val="28"/>
        </w:rPr>
        <w:t xml:space="preserve">, </w:t>
      </w:r>
      <w:r w:rsidRPr="00817F3A">
        <w:rPr>
          <w:sz w:val="28"/>
          <w:szCs w:val="28"/>
        </w:rPr>
        <w:t xml:space="preserve">а температура газа составляет 200—500°С, давление в дизельном двигателе превышает атмосферное на 1,0—1,1 </w:t>
      </w:r>
      <w:r w:rsidRPr="00817F3A">
        <w:rPr>
          <w:iCs/>
          <w:sz w:val="28"/>
          <w:szCs w:val="28"/>
        </w:rPr>
        <w:t>кг/см</w:t>
      </w:r>
      <w:r w:rsidRPr="00817F3A">
        <w:rPr>
          <w:iCs/>
          <w:sz w:val="28"/>
          <w:szCs w:val="28"/>
          <w:vertAlign w:val="superscript"/>
        </w:rPr>
        <w:t>2</w:t>
      </w:r>
      <w:r w:rsidRPr="00817F3A">
        <w:rPr>
          <w:iCs/>
          <w:sz w:val="28"/>
          <w:szCs w:val="28"/>
        </w:rPr>
        <w:t xml:space="preserve">, </w:t>
      </w:r>
      <w:r w:rsidRPr="00817F3A">
        <w:rPr>
          <w:sz w:val="28"/>
          <w:szCs w:val="28"/>
        </w:rPr>
        <w:t xml:space="preserve">а температура газа — 200—400° С; расход газа при этом должен поддерживаться в пределах 1,0—1,5 </w:t>
      </w:r>
      <w:r w:rsidRPr="00817F3A">
        <w:rPr>
          <w:iCs/>
          <w:sz w:val="28"/>
          <w:szCs w:val="28"/>
        </w:rPr>
        <w:t>м</w:t>
      </w:r>
      <w:r w:rsidRPr="00817F3A">
        <w:rPr>
          <w:iCs/>
          <w:sz w:val="28"/>
          <w:szCs w:val="28"/>
          <w:vertAlign w:val="superscript"/>
        </w:rPr>
        <w:t>3</w:t>
      </w:r>
      <w:r w:rsidRPr="00817F3A">
        <w:rPr>
          <w:iCs/>
          <w:sz w:val="28"/>
          <w:szCs w:val="28"/>
        </w:rPr>
        <w:t xml:space="preserve">/мин, </w:t>
      </w:r>
      <w:r w:rsidRPr="00817F3A">
        <w:rPr>
          <w:sz w:val="28"/>
          <w:szCs w:val="28"/>
        </w:rPr>
        <w:t xml:space="preserve">а активного раствора — около 1,5 </w:t>
      </w:r>
      <w:r w:rsidRPr="00817F3A">
        <w:rPr>
          <w:iCs/>
          <w:sz w:val="28"/>
          <w:szCs w:val="28"/>
        </w:rPr>
        <w:t>л/мин.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>Способ рассыпания сухих активных веществ</w:t>
      </w:r>
      <w:r w:rsidRPr="00817F3A">
        <w:rPr>
          <w:sz w:val="28"/>
          <w:szCs w:val="28"/>
        </w:rPr>
        <w:t xml:space="preserve"> на зараженную поверхность может использоваться при дезактивации поверхностей, расположенных горизонтально. Активные вещества следует рассыпать на предварительно смоченную водой поверхность или обязательно смачивать водой после рассыпания.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дезактивации трансформаторной подстанции её следует обесточить.</w:t>
      </w:r>
    </w:p>
    <w:p w:rsidR="00D509DC" w:rsidRDefault="00D509DC" w:rsidP="00817F3A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2.3</w:t>
      </w:r>
      <w:r w:rsidR="00D509DC">
        <w:rPr>
          <w:b/>
          <w:sz w:val="28"/>
          <w:szCs w:val="28"/>
        </w:rPr>
        <w:t xml:space="preserve"> </w:t>
      </w:r>
      <w:r w:rsidRPr="00817F3A">
        <w:rPr>
          <w:b/>
          <w:sz w:val="28"/>
          <w:szCs w:val="28"/>
        </w:rPr>
        <w:t>Дезактивирующие</w:t>
      </w:r>
      <w:r w:rsidR="00817F3A">
        <w:rPr>
          <w:b/>
          <w:sz w:val="28"/>
          <w:szCs w:val="28"/>
        </w:rPr>
        <w:t xml:space="preserve"> </w:t>
      </w:r>
      <w:r w:rsidRPr="00817F3A">
        <w:rPr>
          <w:b/>
          <w:sz w:val="28"/>
          <w:szCs w:val="28"/>
        </w:rPr>
        <w:t>вещества и растворы</w:t>
      </w:r>
    </w:p>
    <w:p w:rsidR="00D509DC" w:rsidRDefault="00D509DC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При дезактивации обычно приходится применять разные вещества и растворы. Это существенный недостаток, преодолеть который пока не удалось. Тем не </w:t>
      </w:r>
      <w:r w:rsidR="00776153" w:rsidRPr="00817F3A">
        <w:rPr>
          <w:sz w:val="28"/>
          <w:szCs w:val="28"/>
        </w:rPr>
        <w:t>менее,</w:t>
      </w:r>
      <w:r w:rsidRPr="00817F3A">
        <w:rPr>
          <w:sz w:val="28"/>
          <w:szCs w:val="28"/>
        </w:rPr>
        <w:t xml:space="preserve"> среди дезактивирующих веществ и растворов имеются и такие, которые можно использовать для обеззараживания объектов разными способами. Важно особенно хорошо знать такие вещества и растворы и уметь их правильно использовать.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зимнее время дезактивирующие растворы без подогрева можно применять только при использовании газожидкостного способа дезактивации, при использовании других способов дезактивации растворы должны подогреваться до 60—80°С. Применение подогретых дезактивирующих растворов во всех случаях увеличивает их активность.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Пригодность отходов промышленных производств для дезактивации обычно определяется содержанием в них активных компонентов.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дезактивации применяются водные растворы, содержащие 0,1—0,15% дезактивирующего порошка СФ-2 (СФ-2У) или 0,2—0,3% моющего вещества ОП-7 (ОП-10) и 0,7% гексаметафосфата натрия.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Дезактивирующий раствор на основе порошка СФ-2 (СФ-2У) приготавливается путем растворения порошка в воде из расчета получения 0,1— 0,15-процентного раствора. Для этого 60 </w:t>
      </w:r>
      <w:r w:rsidRPr="00817F3A">
        <w:rPr>
          <w:iCs/>
          <w:sz w:val="28"/>
          <w:szCs w:val="28"/>
        </w:rPr>
        <w:t xml:space="preserve">г </w:t>
      </w:r>
      <w:r w:rsidRPr="00817F3A">
        <w:rPr>
          <w:sz w:val="28"/>
          <w:szCs w:val="28"/>
        </w:rPr>
        <w:t xml:space="preserve">порошка растворяют в двух двадцатилитровых бидонах (канистрах), 600 г - в 400 </w:t>
      </w:r>
      <w:r w:rsidRPr="00817F3A">
        <w:rPr>
          <w:iCs/>
          <w:sz w:val="28"/>
          <w:szCs w:val="28"/>
        </w:rPr>
        <w:t xml:space="preserve">л </w:t>
      </w:r>
      <w:r w:rsidRPr="00817F3A">
        <w:rPr>
          <w:sz w:val="28"/>
          <w:szCs w:val="28"/>
        </w:rPr>
        <w:t xml:space="preserve">воды, а 1500 г - в 1000 </w:t>
      </w:r>
      <w:r w:rsidRPr="00817F3A">
        <w:rPr>
          <w:iCs/>
          <w:sz w:val="28"/>
          <w:szCs w:val="28"/>
        </w:rPr>
        <w:t xml:space="preserve">л </w:t>
      </w:r>
      <w:r w:rsidRPr="00817F3A">
        <w:rPr>
          <w:sz w:val="28"/>
          <w:szCs w:val="28"/>
        </w:rPr>
        <w:t xml:space="preserve">воды. Растворение порошка следует вести небольшими порциями при перемешивании или взбалтывании. При приготовлении раствора непосредственно в цистернах машин необходимо после засыпки порошка в течение 3—5 </w:t>
      </w:r>
      <w:r w:rsidRPr="00817F3A">
        <w:rPr>
          <w:iCs/>
          <w:sz w:val="28"/>
          <w:szCs w:val="28"/>
        </w:rPr>
        <w:t xml:space="preserve">мин </w:t>
      </w:r>
      <w:r w:rsidRPr="00817F3A">
        <w:rPr>
          <w:sz w:val="28"/>
          <w:szCs w:val="28"/>
        </w:rPr>
        <w:t>создать с помощью имеющихся на машинах механизмов или устройств циркуляцию воды внутри цистерны.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Дезактивирующий раствор на основе моющего вещества ОП-7 (ОП-10) и гексаметафосфата натрия (из расчета приготовления 1000</w:t>
      </w:r>
      <w:r w:rsidRPr="00817F3A">
        <w:rPr>
          <w:iCs/>
          <w:sz w:val="28"/>
          <w:szCs w:val="28"/>
        </w:rPr>
        <w:t xml:space="preserve">л) </w:t>
      </w:r>
      <w:r w:rsidRPr="00817F3A">
        <w:rPr>
          <w:sz w:val="28"/>
          <w:szCs w:val="28"/>
        </w:rPr>
        <w:t xml:space="preserve">приготовляется следующим образом. В 20—40 </w:t>
      </w:r>
      <w:r w:rsidRPr="00817F3A">
        <w:rPr>
          <w:iCs/>
          <w:sz w:val="28"/>
          <w:szCs w:val="28"/>
        </w:rPr>
        <w:t xml:space="preserve">л </w:t>
      </w:r>
      <w:r w:rsidRPr="00817F3A">
        <w:rPr>
          <w:sz w:val="28"/>
          <w:szCs w:val="28"/>
        </w:rPr>
        <w:t xml:space="preserve">воды, нагретой до 40—50°С, растворяют 2 </w:t>
      </w:r>
      <w:r w:rsidRPr="00817F3A">
        <w:rPr>
          <w:iCs/>
          <w:sz w:val="28"/>
          <w:szCs w:val="28"/>
        </w:rPr>
        <w:t xml:space="preserve">кг </w:t>
      </w:r>
      <w:r w:rsidRPr="00817F3A">
        <w:rPr>
          <w:sz w:val="28"/>
          <w:szCs w:val="28"/>
        </w:rPr>
        <w:t xml:space="preserve">моющего вещества ОП-7 (ОП-10). В другом таком же объеме воды, нагретой до 50—60°С, растворяют 7,5—10 </w:t>
      </w:r>
      <w:r w:rsidRPr="00817F3A">
        <w:rPr>
          <w:iCs/>
          <w:sz w:val="28"/>
          <w:szCs w:val="28"/>
        </w:rPr>
        <w:t xml:space="preserve">кг </w:t>
      </w:r>
      <w:r w:rsidRPr="00817F3A">
        <w:rPr>
          <w:sz w:val="28"/>
          <w:szCs w:val="28"/>
        </w:rPr>
        <w:t xml:space="preserve">гексаметафосфата натрия, предварительно разбив его на мелкие куски. Затем растворы сливают в емкость, которую доливают водой до 1000 </w:t>
      </w:r>
      <w:r w:rsidRPr="00817F3A">
        <w:rPr>
          <w:iCs/>
          <w:sz w:val="28"/>
          <w:szCs w:val="28"/>
        </w:rPr>
        <w:t xml:space="preserve">л. </w:t>
      </w:r>
      <w:r w:rsidRPr="00817F3A">
        <w:rPr>
          <w:sz w:val="28"/>
          <w:szCs w:val="28"/>
        </w:rPr>
        <w:t>Растворение веществ следует вести небольшими порциями.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Дезактивирующий порошок СФ-2 (СФ-2У) — однородный мелкодисперсный порошок от кремового до темно-желтого цвета. Хорошо растворяется в воде любой жесткости при температуре 10—15°С. Порошок легко поглощает влагу, вследствие чего он может комковаться и слеживаться. Это необходимо учитывать при его хранении. Порошок расфасовывается в картонные коробки весом 60, 600 и 1500 </w:t>
      </w:r>
      <w:r w:rsidRPr="00817F3A">
        <w:rPr>
          <w:iCs/>
          <w:sz w:val="28"/>
          <w:szCs w:val="28"/>
        </w:rPr>
        <w:t xml:space="preserve">г. </w:t>
      </w:r>
      <w:r w:rsidRPr="00817F3A">
        <w:rPr>
          <w:sz w:val="28"/>
          <w:szCs w:val="28"/>
        </w:rPr>
        <w:t>Коробки упаковываются в деревянные ящики. Могут быть и другие виды упаковок.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Моющее вещество ОП-7 (ОП-10) - густая, вязкая жидкость или паста от светло-коричневого до темно-коричневого цвета, хорошо растворимая в теплой воде. Хранится в железных бочках.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Гексаметафосфат натрия — твердая стекловидная масса или отдельные бесцветные куски, умеренно растворяющиеся в воде. Технический продукт содержит до 70% основного вещества. Хранится продукт в фанерных ящиках.</w:t>
      </w:r>
    </w:p>
    <w:p w:rsidR="00776153" w:rsidRDefault="00776153" w:rsidP="00817F3A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>2.4</w:t>
      </w:r>
      <w:r w:rsidR="00776153">
        <w:rPr>
          <w:b/>
          <w:sz w:val="28"/>
          <w:szCs w:val="28"/>
        </w:rPr>
        <w:t xml:space="preserve"> </w:t>
      </w:r>
      <w:r w:rsidRPr="00817F3A">
        <w:rPr>
          <w:b/>
          <w:sz w:val="28"/>
          <w:szCs w:val="28"/>
        </w:rPr>
        <w:t>Техника народного хозяйства и ее использование при дегазации трансформаторных подстанций</w:t>
      </w:r>
    </w:p>
    <w:p w:rsidR="00776153" w:rsidRDefault="00776153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дезактивации различных объектов, используемых в интересах ГО, может успешно применяться многочисленная техника народного хозяйства. Это — техника коммунального хозяйства в городах, сельскохозяйственные, строительные и дорожные машины и приборы, машины общего назначения.</w:t>
      </w:r>
    </w:p>
    <w:p w:rsidR="003F0DB7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Техника народного хозяйства для дезактивации объектов может применяться, как правило, без какого-либо дооборудования, в режимах эксплуатации ее по прямому назначению. Лишь отдельные машины и приборы при использовании для некоторых видов работ по обеззараживанию потребуют небольшого дооборудования, выполняемого на местах, в мастерских предприятий, совхозов и колхозов.</w:t>
      </w:r>
    </w:p>
    <w:p w:rsidR="00776153" w:rsidRPr="00817F3A" w:rsidRDefault="00776153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686292" w:rsidP="00817F3A">
      <w:pPr>
        <w:spacing w:line="360" w:lineRule="auto"/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223.5pt;height:99pt;visibility:visible">
            <v:imagedata r:id="rId6" o:title=""/>
          </v:shape>
        </w:pict>
      </w:r>
    </w:p>
    <w:p w:rsidR="00776153" w:rsidRPr="00776153" w:rsidRDefault="00776153" w:rsidP="00776153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776153">
        <w:rPr>
          <w:sz w:val="28"/>
          <w:szCs w:val="28"/>
        </w:rPr>
        <w:t>Опрыскиватель вентиляторный ОВТ-1</w:t>
      </w:r>
    </w:p>
    <w:p w:rsidR="004724FE" w:rsidRDefault="004724FE">
      <w:pPr>
        <w:widowControl/>
        <w:spacing w:after="200" w:line="276" w:lineRule="auto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Опрыскиватель смонтирован на одноосном прицепе и состоит из следующих основных узлов: рамы с ходовой частью, карданной передачи, цистерны, насоса с приводным валом, редукционно-предохранительного клапана, системы шлангов, нагнетательной магистрали, рабочих органов с садовым и полевым распыливающими устройствами, заборного рукава с эжектором, мешалки, вентилятора и промежуточных механических передач. Он агрегируется с тракторами КД-35, КДП-35, МТЗ-5К, МТЗ-5Л, МТЗ-7, МТЗ-50, МТЗ-52 и обслуживается одним трактористом.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Заправка цистерны опрыскивателя обеззараживающим раствором осуществляется следующим образом. Вначале в цистерну вручную заливается несколько ведер (около 30 л) раствора, затем включается вал отбо</w:t>
      </w:r>
      <w:r w:rsidRPr="00817F3A">
        <w:rPr>
          <w:sz w:val="28"/>
          <w:szCs w:val="28"/>
          <w:lang w:val="en-US"/>
        </w:rPr>
        <w:t>pa</w:t>
      </w:r>
      <w:r w:rsidRPr="00817F3A">
        <w:rPr>
          <w:sz w:val="28"/>
          <w:szCs w:val="28"/>
        </w:rPr>
        <w:t xml:space="preserve"> мощности трактора и в цистерне создается давление, которое с помощью предохранительно-редукционного клапана поддерживается в пределах 15—20 </w:t>
      </w:r>
      <w:r w:rsidRPr="00817F3A">
        <w:rPr>
          <w:iCs/>
          <w:sz w:val="28"/>
          <w:szCs w:val="28"/>
        </w:rPr>
        <w:t xml:space="preserve">атм. </w:t>
      </w:r>
      <w:r w:rsidRPr="00817F3A">
        <w:rPr>
          <w:sz w:val="28"/>
          <w:szCs w:val="28"/>
        </w:rPr>
        <w:t>Под давлением залитый в цистерну раствор подается к рабочему соплу; выходя из сопла с большой скоростью, он эжектирует из приемной камеры необходимое дополнительное количество раствора, который по шлангу поступает в цистерну, заполняя ее до необходимого объема.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использовании опрыскивателя обеззараживающий раствор под давлением подается по нагнетательной магистрали к рабочим органам. В распылителях раствор дробится на капли, которые подхватываются воздушным потоком и в виде воздушной эмульсии направляются на обрабатываемый объект.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проведении дезактивации необходимо установить опрыскиватель около зараженного объекта, включить насос, взять в руки конец шланга с насадкой и вести обеззараживание объекта сверху вниз, направляя струю под углом 65—70° к обрабатываемой поверхности.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Обеззараживание объектов с помощью опрыскивателя ОВТ-1 проводится трактористом и оператором. Наблюдение за работой всех агрегатов во время проведения обеззараживания ведет тракторист.</w:t>
      </w:r>
    </w:p>
    <w:p w:rsidR="003F0DB7" w:rsidRPr="00817F3A" w:rsidRDefault="00686292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2" o:spid="_x0000_i1026" type="#_x0000_t75" style="width:94.5pt;height:174pt;visibility:visible">
            <v:imagedata r:id="rId7" o:title=""/>
          </v:shape>
        </w:pict>
      </w:r>
    </w:p>
    <w:p w:rsidR="00776153" w:rsidRPr="00776153" w:rsidRDefault="00776153" w:rsidP="00776153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776153">
        <w:rPr>
          <w:sz w:val="28"/>
          <w:szCs w:val="28"/>
        </w:rPr>
        <w:t>Опрыскиватель ранцевый пневматический ОРП-Г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776153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Опрыскиватель состоит из резервуара, воздушно-поршневого насоса,</w:t>
      </w:r>
      <w:r>
        <w:rPr>
          <w:sz w:val="28"/>
          <w:szCs w:val="28"/>
        </w:rPr>
        <w:t xml:space="preserve"> </w:t>
      </w:r>
      <w:r w:rsidR="003F0DB7" w:rsidRPr="00817F3A">
        <w:rPr>
          <w:sz w:val="28"/>
          <w:szCs w:val="28"/>
        </w:rPr>
        <w:t xml:space="preserve">вставляемого в резервуар, и ручного брандспойта. Для подготовки опрыскивателя к дезактивации необходимо: закрыть запорный кран на брандспойте; вынуть насос из резервуара, отвернуть на 3-4 оборота контрольную пробку; заполнить резервуар через сетчатый фильтр раствором; вставить насос и завернуть контрольную пробку; создать в резервуаре давление до 5 </w:t>
      </w:r>
      <w:r w:rsidR="003F0DB7" w:rsidRPr="00817F3A">
        <w:rPr>
          <w:iCs/>
          <w:sz w:val="28"/>
          <w:szCs w:val="28"/>
        </w:rPr>
        <w:t>кг/см</w:t>
      </w:r>
      <w:r w:rsidR="003F0DB7" w:rsidRPr="00817F3A">
        <w:rPr>
          <w:iCs/>
          <w:sz w:val="28"/>
          <w:szCs w:val="28"/>
          <w:vertAlign w:val="superscript"/>
        </w:rPr>
        <w:t>2</w:t>
      </w:r>
      <w:r w:rsidR="003F0DB7" w:rsidRPr="00817F3A">
        <w:rPr>
          <w:iCs/>
          <w:sz w:val="28"/>
          <w:szCs w:val="28"/>
        </w:rPr>
        <w:t xml:space="preserve">, </w:t>
      </w:r>
      <w:r w:rsidR="003F0DB7" w:rsidRPr="00817F3A">
        <w:rPr>
          <w:sz w:val="28"/>
          <w:szCs w:val="28"/>
        </w:rPr>
        <w:t>надеть опрыскиватель: за спину.</w:t>
      </w:r>
      <w:r w:rsidR="00817F3A">
        <w:rPr>
          <w:sz w:val="28"/>
          <w:szCs w:val="28"/>
        </w:rPr>
        <w:t xml:space="preserve"> </w:t>
      </w:r>
      <w:r w:rsidR="003F0DB7" w:rsidRPr="00817F3A">
        <w:rPr>
          <w:sz w:val="28"/>
          <w:szCs w:val="28"/>
        </w:rPr>
        <w:t xml:space="preserve">При проведении дезактивации необходимо открыть кран брандспойта и равномерно наносить раствор на зараженную поверхность, наконечник брандспойта держать на расстоянии 30—40 </w:t>
      </w:r>
      <w:r w:rsidR="003F0DB7" w:rsidRPr="00817F3A">
        <w:rPr>
          <w:iCs/>
          <w:sz w:val="28"/>
          <w:szCs w:val="28"/>
        </w:rPr>
        <w:t xml:space="preserve">см </w:t>
      </w:r>
      <w:r w:rsidR="003F0DB7" w:rsidRPr="00817F3A">
        <w:rPr>
          <w:sz w:val="28"/>
          <w:szCs w:val="28"/>
        </w:rPr>
        <w:t xml:space="preserve">от обрабатываемой поверхности. Норма расхода раствора 1 </w:t>
      </w:r>
      <w:r w:rsidR="003F0DB7" w:rsidRPr="00817F3A">
        <w:rPr>
          <w:iCs/>
          <w:sz w:val="28"/>
          <w:szCs w:val="28"/>
        </w:rPr>
        <w:t>л/м</w:t>
      </w:r>
      <w:r w:rsidR="003F0DB7" w:rsidRPr="00817F3A">
        <w:rPr>
          <w:iCs/>
          <w:sz w:val="28"/>
          <w:szCs w:val="28"/>
          <w:vertAlign w:val="superscript"/>
        </w:rPr>
        <w:t>г</w:t>
      </w:r>
      <w:r w:rsidR="003F0DB7" w:rsidRPr="00817F3A">
        <w:rPr>
          <w:iCs/>
          <w:sz w:val="28"/>
          <w:szCs w:val="28"/>
        </w:rPr>
        <w:t xml:space="preserve"> </w:t>
      </w:r>
      <w:r w:rsidR="003F0DB7" w:rsidRPr="00817F3A">
        <w:rPr>
          <w:sz w:val="28"/>
          <w:szCs w:val="28"/>
        </w:rPr>
        <w:t xml:space="preserve">достигается обработкой поверхности в один квадратный метр в течение 30—40 </w:t>
      </w:r>
      <w:r w:rsidR="003F0DB7" w:rsidRPr="00817F3A">
        <w:rPr>
          <w:iCs/>
          <w:sz w:val="28"/>
          <w:szCs w:val="28"/>
        </w:rPr>
        <w:t>сек.</w:t>
      </w:r>
    </w:p>
    <w:p w:rsidR="003F0DB7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>Заправщик-жижеразбрасыватель</w:t>
      </w:r>
      <w:r w:rsidRPr="00817F3A">
        <w:rPr>
          <w:sz w:val="28"/>
          <w:szCs w:val="28"/>
        </w:rPr>
        <w:t xml:space="preserve"> смонтирован на одноосном прицепе и состоит из рамы с ходовой частью, цистерны, заборного рукава, вакуумно - нагнетательнои системы и затвора. В комплект его, кроме того, входят центральный поливной лоток и пожарный рукав со стволом. Заправщик-жижеразбрасыватель агрегатируется с тракторами «Беларусь» всех модификаций и Т-28, обслуживается трактористом и оператором.</w:t>
      </w:r>
    </w:p>
    <w:p w:rsidR="00776153" w:rsidRPr="00817F3A" w:rsidRDefault="00776153" w:rsidP="00776153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Заправка цистерны заправщика-жижеразбрасывателя обеспечивается с помощью эжекторного устройства; рабочим телом в эжекторе являются выхлопные газы двигателя трактора. Опорожнение цистерны осуществляется давлением выхлопных газов двигателя трактора.</w:t>
      </w:r>
    </w:p>
    <w:p w:rsidR="00776153" w:rsidRPr="00817F3A" w:rsidRDefault="00776153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686292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3" o:spid="_x0000_i1027" type="#_x0000_t75" style="width:135.75pt;height:116.25pt;visibility:visible">
            <v:imagedata r:id="rId8" o:title="" grayscale="t"/>
          </v:shape>
        </w:pic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Для подготовки заправщика-жижеразбрасывателя к дезактивации необходимо: прицепить его к трактору, смонтировать вакуум-нагнетатедьную систему, присоединить к затвору укороченный рукав со стволом или центральный поливной лоток с жиклером диаметром 40 </w:t>
      </w:r>
      <w:r w:rsidRPr="00817F3A">
        <w:rPr>
          <w:iCs/>
          <w:sz w:val="28"/>
          <w:szCs w:val="28"/>
        </w:rPr>
        <w:t>мм</w:t>
      </w:r>
      <w:r w:rsidRPr="00817F3A">
        <w:rPr>
          <w:sz w:val="28"/>
          <w:szCs w:val="28"/>
        </w:rPr>
        <w:t>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проведении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дезактивации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 xml:space="preserve">необходимо: установить заправщик-жижеразбрасыватель около зараженного объекта, создать в цистерне давление 0,5 </w:t>
      </w:r>
      <w:r w:rsidRPr="00817F3A">
        <w:rPr>
          <w:iCs/>
          <w:sz w:val="28"/>
          <w:szCs w:val="28"/>
        </w:rPr>
        <w:t xml:space="preserve">ати, </w:t>
      </w:r>
      <w:r w:rsidRPr="00817F3A">
        <w:rPr>
          <w:sz w:val="28"/>
          <w:szCs w:val="28"/>
        </w:rPr>
        <w:t>взять в руки укороченный рукав со стволом, включить разливочное устройство и вести обработку поверхности объекта сверху вниз, направляя струю под углом 60—70° к обеззараживаемой поверхности.</w:t>
      </w:r>
    </w:p>
    <w:p w:rsidR="00776153" w:rsidRDefault="00776153" w:rsidP="00817F3A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>2.5 Меры безопасности при проведении работ по дезактивации трансформаторных подстанций в условиях радиоактивного заражения местности</w:t>
      </w:r>
    </w:p>
    <w:p w:rsidR="00776153" w:rsidRDefault="00776153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проведении работ по дезактивации необходимо принимать меры по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защите личного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состава команд дезактивации от поражения радиоактивными веществами, так и дезактивирующими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веществами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растворами.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Командиры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команд дезактивации, начальники пунктов и площадок дезактивации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транспортных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технических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средств, старшие машин и расчетов с этой целью должны строго следить за соблюдением мер безопасности личным составом.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Все работы, связанные с дезактивацией, следует проводить в индивидуальных средствах защиты. Для надевания и снимания средств защиты оборудуются специальные площадки. Работы по дезактивации проводятся в респираторах (противогазах) и средствах защиты кожи.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работе в защитной одежде изолирующего типа в летних условиях во избежание перегрева тела необходимо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соблюдать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установленные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предельные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сроки непрерывного пребывания в ней в зависимости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от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наружной температуры воздуха. При работе в защитной одежде в зимнее время надо принимать меры к предотвращению обмораживания: надевать под защитную одежду куртку и брюки, на голову, под капюшон защитного костюма,— подшлемник.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Во время дезактивации надо постоянно следить за исправностью индивидуальных средств защиты и немедленно докладывать старшему об их повреждении или сильном заражении. По окончании работ следует провести специальную обработку индивидуальных средств защиты, а при необходимости — и санитарную обработку личного состава.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выполнении работ по дезактивации необходимо осторожно обращаться с дезактивирующими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средствами и материалами, не класть их на зараженную местность и предметы. Активные растворы следует готовить в специальных емкостях и на специально оборудованных площадках. Использованные при дезактивации ветошь и другие материалы нужно закапывать в землю. Нельзя брать в руки зараженные предметы без предварительного дезактивации тех мест, за которые придется держать предмет.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проведении дезактивации запрещается: ложиться и садиться на зараженные предметы или прикасаться к ним; снимать или расстегивать индивидуальные средства защиты без разрешения старшего; принимать пищу, курить и отдыхать на рабочих площадках. Отдых личного состава, производящего дезактивацию в течение длительного времени, прием пищи, курение и пр. должны быть организованы в специально отведенных местах.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проведении работ по дезактивации необходимо располагать рабочие места таким образом, чтобы была исключена возможность взаимного заражения. В этих целях надо особенно учитывать направление ветра: ветер не должен сносить активные растворы и поднимаемую при работе пыль на людей, проводящих дезактивацию, и технические средства, с помощью которых оно проводится.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Как говорилось выше, все работы по дезактивации должны проводиться в средствах защиты. Это, естественно, будет затруднять действия личного состава, снизит его проворность и обзор. Использование в таких условиях машин может вызвать аварии, не исключены наезды на людей. Необходимы: повышенное внимание к используемой технике, большая осторожность и осмотрительность.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После проведения дезактивации техника, с помощью которой проводились работы, выводится на незараженную местность и осматривается; при необходимости она освобождается от остатков дезактивирующих веществ и растворов. После этого технику можно направлять на пункт или площадку специальной обработки.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На пункте специальной обработки машины, особенно ходовую часть, необходимо очистить от грязи, затем следует провести полную специальную об работку их; пазы и щели протереть тампонами, смоченными в растворе. После специальной обработки надо обмыть машину и промыть все ее системы чистой водой, протереть насухо наружные поверхности машины, резьбовые соединения смазать маслом или другим смазочным материалом.</w:t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После проведения дезактивации технические и транспортные средства, так же как и техника, с помощью которой проводилось обеззараживание, подвергаются контролю на определение степени зараженности. Если остаточная зараженность выше допустимых норм, проводится повторная дезактивация; при степени зараженности ниже допустимых норм, дезактивированные средства и техника могут эксплуатироваться без каких-либо ограничений.</w:t>
      </w:r>
    </w:p>
    <w:p w:rsidR="00776153" w:rsidRDefault="00776153" w:rsidP="00817F3A">
      <w:pPr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Глава 3</w:t>
      </w:r>
    </w:p>
    <w:p w:rsidR="00776153" w:rsidRDefault="00776153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3.1 Использование дистанционных методов для лесопатологического картографирования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России специальное картографирование имеет глубокие исторические корни. Оно развивалось параллельно с общегеографическим направлением и в первую очередь с топографическим картографированием.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Первая печатная карта лесов в России издана в 1851г. – это «Хозяйственно-статистический атлас европейской России», а затем «Карта казенных лесов европейской России».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настоящее время леса картографируют при лесоустройстве на площади около 45 млн. га. ежегодно. Картографирование осуществляется с использованием космической съемки, Что дает возможность проводить лесоустроительные работы на больших площадях.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При проведении лесоустроительных работ на всё территорию составляют тематические плано - картографические материалы (планшеты, картосхемы). Планшеты являются промежуточными материалами, на основе которых изготовляют планы лесонасаждений и схематические карты для обеспечения потребителей разнообразной информацией о состоянии лесов.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Лесопатологические картографические материалы представляют картосхемы, где за основу взяты планы лесонасаждений, уменьшенные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до М 1:25000, 1:15000 и до 1:1000000, со всей специальной нагрузкой и условными знаками. Так же получение качественной и оперативной информации о состоянии лесов достигается методами автоматизированной обработки материалов дистанционного зондирования и картографического отражения.</w:t>
      </w:r>
    </w:p>
    <w:p w:rsidR="00776153" w:rsidRPr="00D9108C" w:rsidRDefault="004724FE" w:rsidP="00817F3A">
      <w:pPr>
        <w:spacing w:line="360" w:lineRule="auto"/>
        <w:ind w:firstLine="709"/>
        <w:rPr>
          <w:color w:val="FFFFFF"/>
          <w:sz w:val="28"/>
          <w:szCs w:val="28"/>
        </w:rPr>
      </w:pPr>
      <w:r w:rsidRPr="00D9108C">
        <w:rPr>
          <w:color w:val="FFFFFF"/>
          <w:sz w:val="28"/>
          <w:szCs w:val="28"/>
        </w:rPr>
        <w:t>дозиметрический дезактивация дегазация картографирование</w:t>
      </w:r>
    </w:p>
    <w:p w:rsidR="00776153" w:rsidRDefault="00776153">
      <w:pPr>
        <w:widowControl/>
        <w:spacing w:after="200" w:line="276" w:lineRule="auto"/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3.2 Использование аэрокосмических методов в лесоэнтомологическом мониторинге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Идеи мониторинга биосферы и экосистемы развивается уже около трех десятилетий. В области лесозащиты одним из первых, кто разработал специальную программу и реализовал её, были лесные энтомологи США (</w:t>
      </w:r>
      <w:r w:rsidRPr="00817F3A">
        <w:rPr>
          <w:sz w:val="28"/>
          <w:szCs w:val="28"/>
          <w:lang w:val="en-US"/>
        </w:rPr>
        <w:t>Simmons</w:t>
      </w:r>
      <w:r w:rsidRPr="00817F3A">
        <w:rPr>
          <w:sz w:val="28"/>
          <w:szCs w:val="28"/>
        </w:rPr>
        <w:t>, 1977г.). Эти исследования базируются на рациональном сочетании дистанционных съемок и наземных методов учета и прогноза численности популяций лесных насекомых проводятся ежегодные учеты повреждаемости древостоев и плотности популяций. При этом используются различные ловушки, прежде всего феролионные.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Важным средством для выявления очагов по степени повреждаемости древостоев служат дистанционные методы, основанные на анализе цветных аэрофотоснимков и использовании радаров и спутников Земли.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основу концепции лесоэнтомологического мониторинга положено широкое использование дистанционных методов с целью изучения динамики повреждаемости лесов на разных уровнях природных территориальных комплексов.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современном понимании дистанционный лесоэнтомологический мониторинг представляе собой систему повторных наблюдений трансформации лесов под воздействием насекомых – дендрофагов, регистрацию структуры очагов, контроль динамики повреждаемости лесов и прогнозирование их изменений, а также управление и оптимизацию лесозащитных работ.</w:t>
      </w:r>
    </w:p>
    <w:p w:rsidR="00776153" w:rsidRDefault="00776153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b/>
          <w:sz w:val="28"/>
          <w:szCs w:val="28"/>
        </w:rPr>
        <w:t>3.3 Исследование динамики повреждаемости лесов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Анализ и прогноз структуры поврежденных лесов, а также площадей их распространения производят сопоставление аэрокосмических снимков одной и той же территории, полученных в различные годы.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Одним из наиболее распространенных методов оценки динамики экосистемы является способ визуального сопоставления повторных снимков, который включает трансформирование их в одном масштабе и преобразовании их в одном интервале оптической плотности и контрастности.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Следующий способ обнаружения изменения структуры лесного покрова – инструментальное сопоставление повторных снимков. У этого метода выделяют два направления в исследованиях. Это оптико – механическое, основанное на простых геометрических сопоставлениях повторных снимков, и электронно-оптическое, основанное на простых геометрических сопоставлениях повторных снимков, и электронно-оптическое, основанное на электронно-цифровых и аналоговых преобразованиях и обработке данных с помощью ЭВМ.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Оптико-механический метод используется при выявлении мелких контуров, динамики гарей, вырубок, очагов дендрофагов на относительно стабильном фоне лесных массивов при ежегодном просмотре снимков.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Электронно-оптический метод обработки аэроснимков заключается в автоматическом распознавании и классификации каждого отдельного изображения и последующем сравнении результатов.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Картографический способ отображения динамики очагов по элементам рельефа дает наиболее наглядную и информированную картину с момента начала повреждения насаждений сибирским шелкопрядом. Анализ снимков показывает, что очаги черного пихтового усача начали распространятся с плакорных поверхностей водоразделов, покрытых пихтовыми лесами с примесью ели, вниз по склонам.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Этомонирование повреждаемости лесов главнейшими видами насекомых -дендрофагов по цветным снимкам позволяет, наряду с другими дешифрованными признаками текстуры и структуры очагов, уверенно выделить участки, пораженные различными видами насекомых - дендрофагов.</w:t>
      </w: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3.4 Принципы картографирования лесов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Картографический метод исследований – наиболее действенный инструмент научного познания пространственных явлений.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Карта – самый популярный и убедительный способ отражения полученных результатов и выводов, а также основа для планирования и проведения практических мероприятий.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Зоогеографические карты традиционно относят к картам природы. Из серии этих карт, уже вышедших в свет, следует отметить медико-географические карты «Иксодовые клещи» и «Грызуны и зайцеобразные», разработанные в институте географии СО АН СССР.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За основу составления карт, берутся известные принципы биогеоценотического соответствия (животного населения и их местообитания) и единства природы, позволяющие пользоваться методами оценки и экстраполяции через индикационные свойства растительности по отношению к биогеоценозу. В общих чертах методы оценки и экстраполяции состоят в характеристике природных контуров, сужающих картографической основой, и распространении этой оценки на однотипные, но не исследованные территории.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За основу при типизации энтомокомплексов принято фаунистическое и экологическое ядро комплекса, включающее виды, постоянно обитающие в пределах стации данного типа.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районирования лесных энтомокомплексов используется биогеоценотический подход, при котором, В отличие от ландшафтного, недостаточно учитывается рельеф и не выделяются индивидуальные границы.</w:t>
      </w:r>
    </w:p>
    <w:p w:rsidR="00776153" w:rsidRDefault="00776153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3.5 Особенности картографирования лесных насекомых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Воздействие насекомых – дендрофагов на таежные ландшафты проявляется в нарушении структуры лесного покрова в виде очаговых образований, которые резко отличаются от окружающих древостоев по морфологическим, структурным и цветовым признакам. Эти участки хорошо заметны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с воздуха как при визуальном восприятии, так и на фотоснимках.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 xml:space="preserve">Районы массовых размножений насекомых – дендрофагов охватывают огромные территории, приуроченные к различным видам рельефа. Поэтому для </w:t>
      </w:r>
      <w:r w:rsidR="00776153" w:rsidRPr="00817F3A">
        <w:rPr>
          <w:sz w:val="28"/>
          <w:szCs w:val="28"/>
        </w:rPr>
        <w:t>анализа</w:t>
      </w:r>
      <w:r w:rsidRPr="00817F3A">
        <w:rPr>
          <w:sz w:val="28"/>
          <w:szCs w:val="28"/>
        </w:rPr>
        <w:t xml:space="preserve"> оптимальных условий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местообитания насекомых и их территориального распространения необходима классификация этих природных систем на подсистемы разного уровня.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разработки стратегии и тактики защиты лесов от вредного воздействия насекомых необходимы точные картографические методы развития очагов во времени и пространстве. В этом направлении выполнены исследования по разработке принципов и методов лесопатологического картографирования с использованием материалов аэрокосмической съемки (Ряполов В.Я. 1981г., 1985г.). Анализ приуроченности очагов производится в границах ПТК разного уровня и соподчиненности.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Классификация лесопатологических карт осуществляется по масштабу, способами составления, назначению и отображаемыми природными объектами и явлениями. Разработка классификации проводилась с учетом достижений в области зоогеографического и зоологического картографирования (Тупиков 1989г.).</w:t>
      </w:r>
    </w:p>
    <w:p w:rsidR="00776153" w:rsidRDefault="00776153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3.6 Картографическое моделирование развития вспышек массовых размножений лесных насекомых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районирования территорий по степени ослабления лесов насекомыми – дендрофагами и их территориального прогнозирования используется серия разномасштабных лесопатологических карт, которые можно рассматривать как графоматематические модели, Исходя из общей теории моделирования, картографическое моделирование относится к идеальному: оно сочетает свойства наглядного, знакового и математического. Прогнозирование карты по способу их создания стоит ближе к математическому моделированию, чем к наглядному.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Наиболее оптимальными масштабами для структурно-динамического анализа поврежденных лесов по цветным аэроснимкам являются М 1:5000 – 1:20000. Прогноз именения динамики численности лесных насекомых имеет очень важное значение для оптимизации летно-съемочных работ. По повторным снимкам определяется не только интенсивность повреждений, но и места концентрации насекомых в насаждениях, которые в период последующих вспышек массовых размножений могут являться источниками насекомых – дендрофагов.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Исследования изменения очагов насекомых – дендрофагов в различные периоды градационного цикла развития показали, что интенсивность повреждений насаждений и границы распространения очагов довольно изменчивы.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Особенности массовых размножений сибирского шелкопряда и черного пихтового усача в Нижнем Приангорье и Чулымно-Енисейском междуречье изучались в широком экологическом аспекте (Ряполов В.Я. 1980г.), а причинно-следственные связи возникновения очагов не вызывают сомнений.</w:t>
      </w:r>
    </w:p>
    <w:p w:rsidR="00776153" w:rsidRDefault="00776153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3.7 Анализ изменения численности хвоегрызущих насекомых в резервациях сибирского шелкопряда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Наземные исследования динамики численности насекомых – дендрофагов Являются базовой основой для изучения характера распространения насекомых по территории, а также закономерностей их массовых размножений.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Экологические аспекты формирования очагов сибирского шелкопряда достаточно широко освещены в литературе. Однако абсолютное большинство работ по изучению сибирского шелкопряда выполнено в годы его массового размножения. Сведения о периоде депрессии численности это дендрофага ограниченны. В немногочисленных работах рассматриваются отдельные вопросы о местах резерваций сибирского шелкопряда, их поиске, и прогнозах его массового размножения. Ввиду малой численности дендрофага в межвспышечный период, а также несовершенства методики обнаружения резерваций, мнений по заселенности сибирского шелкопряда носят противоречивый характер. Изучение динамики численности насекомых в таежных условиях сопряжено со многими трудностями. К ним относятся пятнистый характер распространений резерваций сибирского шелкопряда, из года в год изминяющаяся плотность популяций и т.д.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Наземные обследования в комплексных сопряженных резервациях сибирского шелкопряда проводят в весенне-летний и летне-осенний периоды. Методом околота и наложения клеевых колец перед выходом гусениц из зимовки. Изменение численности сибирского шелкопряда по типам резерваций в межвспышечный период исследований на ключевых участках Приангарного понижения. По данным исследований, видно, что четкое разделение плотности дендрофагов по типам резерваций происходит по фазе нарастания численности. В первичных резервациях этот процесс имеет более выраженную тенденцию в сравнении с другими типами резерваций. Так, абсолютная заселенность дендрофага в 1980г. в первичных резервациях выросла в 4,5 раза по сравнению с 1979г., во вторичных в 4,1 раза, а в третичных в 4 раза.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Следует отметить, что первичные резервации сибирского шелкопряда представляет собой стабильно плотные популяции, то есть насекомых при весеннем и осеннем учете. Во вторичных резервациях при весеннем обследовании не во всех стадиях удалось обнаружить дендрофаги, в то время как при осеннем учете деревья пихты сибирской практически всегда заселены. В третичных резервациях плотность заселения древостоев сибирским шелкопрядом столь мала, что обнаружить гусеницу не всегда удается.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В первичных резервациях осенний выход гусениц из подстилки начинается на 3-5 дней раньше, чем в других резервациях, а температура напочвенного слоя воздуха соответственно выше на 1-3</w:t>
      </w:r>
      <w:r w:rsidRPr="00817F3A">
        <w:rPr>
          <w:sz w:val="28"/>
          <w:szCs w:val="28"/>
          <w:vertAlign w:val="superscript"/>
        </w:rPr>
        <w:t>0</w:t>
      </w:r>
      <w:r w:rsidRPr="00817F3A">
        <w:rPr>
          <w:sz w:val="28"/>
          <w:szCs w:val="28"/>
        </w:rPr>
        <w:t>. Гусеницы сибирского шелкопряда поднифаются в кроны при температуре подстилки 0</w:t>
      </w:r>
      <w:r w:rsidRPr="00817F3A">
        <w:rPr>
          <w:sz w:val="28"/>
          <w:szCs w:val="28"/>
          <w:vertAlign w:val="superscript"/>
        </w:rPr>
        <w:t>0</w:t>
      </w:r>
      <w:r w:rsidRPr="00817F3A">
        <w:rPr>
          <w:sz w:val="28"/>
          <w:szCs w:val="28"/>
        </w:rPr>
        <w:t>, когда вокруг деревьев сходит снежный покров. Более ранний выход гусениц с зимовки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в первичных резервациях, а также наиболее высокая температура окружающего воздуха способствует ускоренному развитию насекомых. Полученные данные показывают, что энергия размножения в первичных резервациях была выше, чем во вторичных и третичных резервациях.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Существенные изменения у сибирского шелкопряда на внутрипопуляционном уровне. Так, в 1980г. наступил момент, когда дендрофаг как бы «оторвался» от преследования его паразитами и болезнями. Значительно уменьшился отмор гусениц от благоприятных климатических условий.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Количественный и качественный анализ состояния популяций сибирского шелкопряда при доминантных видов чешуекрылых показал, что реализация вспышки массового размножения насекомых в районах Приангорья не произошло. В результате резкого изменения погодных условий в 1981г. произошел спад численности сибирского шелкопряда.</w:t>
      </w:r>
    </w:p>
    <w:p w:rsidR="00776153" w:rsidRDefault="00776153" w:rsidP="00817F3A">
      <w:pPr>
        <w:spacing w:line="360" w:lineRule="auto"/>
        <w:ind w:firstLine="709"/>
        <w:rPr>
          <w:b/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3.8 Оценка заселенности древостоев сибирским шелкопрядом и динамика его численности</w:t>
      </w:r>
    </w:p>
    <w:p w:rsidR="00776153" w:rsidRDefault="00776153" w:rsidP="00817F3A">
      <w:pPr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Разномасштабное лесопатологическое картографирование пространственного размещения очагов насекомых – дендрофагов позволяет вычленить в структуре природных территориальных комплексов места их первичной локализации и осуществить более качественный надзор.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Для точной оценки ситуации особенно важно отражение фактических результатов заселенности лесов дендрофагами в период между вспышками и на ранних этапах массового размножения. Плотность популяций лесных насекомых не столь велика, как при реализации вспышки массового размножения, поэтому индивидуальные черты различных типов резерваций проявляются более отчетливо.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Основные экологические особенности и численность сибирского шелкопряда в разреженных популяциях отражает фрагмент карты. Информация на карте, записывается в виде кода, который состоит из общепринятых обозначений и специально разработанных обозначений.</w:t>
      </w:r>
    </w:p>
    <w:p w:rsidR="003F0DB7" w:rsidRPr="00817F3A" w:rsidRDefault="003F0DB7" w:rsidP="00817F3A">
      <w:pPr>
        <w:spacing w:line="360" w:lineRule="auto"/>
        <w:ind w:firstLine="709"/>
        <w:rPr>
          <w:sz w:val="28"/>
          <w:szCs w:val="28"/>
        </w:rPr>
      </w:pPr>
      <w:r w:rsidRPr="00817F3A">
        <w:rPr>
          <w:sz w:val="28"/>
          <w:szCs w:val="28"/>
        </w:rPr>
        <w:t>Сопутствующие сибирскому шелкопряду насекомые, показываются методами картограмм или значковых карт. Отображение численности чешуекрылых методом столбчатой диаграммы дает наглядную картину при низких плотностях популяций насекомых и удобно в построении.</w:t>
      </w:r>
    </w:p>
    <w:p w:rsidR="003F0DB7" w:rsidRPr="00817F3A" w:rsidRDefault="003F0DB7" w:rsidP="00817F3A">
      <w:pPr>
        <w:spacing w:line="360" w:lineRule="auto"/>
        <w:ind w:firstLine="709"/>
        <w:rPr>
          <w:b/>
          <w:sz w:val="28"/>
          <w:szCs w:val="28"/>
        </w:rPr>
      </w:pPr>
    </w:p>
    <w:p w:rsidR="00776153" w:rsidRDefault="00776153">
      <w:pPr>
        <w:widowControl/>
        <w:spacing w:after="200" w:line="276" w:lineRule="auto"/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3F0DB7" w:rsidRPr="00817F3A" w:rsidRDefault="003F0DB7" w:rsidP="00817F3A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  <w:r w:rsidRPr="00817F3A">
        <w:rPr>
          <w:b/>
          <w:sz w:val="28"/>
          <w:szCs w:val="28"/>
        </w:rPr>
        <w:t>Список литературы:</w:t>
      </w:r>
    </w:p>
    <w:p w:rsidR="00776153" w:rsidRDefault="00776153" w:rsidP="00817F3A">
      <w:pPr>
        <w:shd w:val="clear" w:color="auto" w:fill="FFFFFF"/>
        <w:spacing w:line="360" w:lineRule="auto"/>
        <w:ind w:firstLine="709"/>
        <w:rPr>
          <w:sz w:val="28"/>
          <w:szCs w:val="28"/>
        </w:rPr>
      </w:pPr>
    </w:p>
    <w:p w:rsidR="003F0DB7" w:rsidRPr="00817F3A" w:rsidRDefault="003F0DB7" w:rsidP="00776153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1. Ряполов В.Я. «Аэрокосмический мониторинг таежных ландшафтов поврежденных насекомыми дендрофагами»</w:t>
      </w:r>
      <w:r w:rsidR="00817F3A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КрасГАУ, 2003</w:t>
      </w:r>
      <w:r w:rsidR="00776153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г.</w:t>
      </w:r>
    </w:p>
    <w:p w:rsidR="003F0DB7" w:rsidRPr="00817F3A" w:rsidRDefault="003F0DB7" w:rsidP="00776153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2. Ряполов В.Я. «Дистанционный лесоэнтомологический мониторинг» КрасГАУ, 2003</w:t>
      </w:r>
      <w:r w:rsidR="00776153">
        <w:rPr>
          <w:sz w:val="28"/>
          <w:szCs w:val="28"/>
        </w:rPr>
        <w:t xml:space="preserve"> </w:t>
      </w:r>
      <w:r w:rsidRPr="00817F3A">
        <w:rPr>
          <w:sz w:val="28"/>
          <w:szCs w:val="28"/>
        </w:rPr>
        <w:t>г.</w:t>
      </w:r>
    </w:p>
    <w:p w:rsidR="003F0DB7" w:rsidRPr="00817F3A" w:rsidRDefault="003F0DB7" w:rsidP="00776153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3. Учебник для студентов медицинских институтов «БИОЛОГИЯ», под редакцией В.Н. Ярыгина, изд «Медицина» ,г. Москва, 1984год, стр. 410-413</w:t>
      </w:r>
    </w:p>
    <w:p w:rsidR="003F0DB7" w:rsidRPr="00817F3A" w:rsidRDefault="003F0DB7" w:rsidP="00776153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4. Учебник для вузов «Гражданская оборона», под редакцией Д.И. Михалкина, изд. «Высшая школа», Москва 1986 год.</w:t>
      </w:r>
    </w:p>
    <w:p w:rsidR="003F0DB7" w:rsidRPr="00817F3A" w:rsidRDefault="003F0DB7" w:rsidP="00776153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5. «Методика оценки радиационной и химической обстановки по данным разведки ГО» под редакцией В.И. Королева, издательство МО СССР, Москва 1980</w:t>
      </w:r>
    </w:p>
    <w:p w:rsidR="003F0DB7" w:rsidRPr="00817F3A" w:rsidRDefault="003F0DB7" w:rsidP="00776153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6. Справочник по поражающему действию ядерного оружия, Военное издательство, 1986 год.</w:t>
      </w:r>
    </w:p>
    <w:p w:rsidR="003F0DB7" w:rsidRPr="00817F3A" w:rsidRDefault="003F0DB7" w:rsidP="00776153">
      <w:pPr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7. «Использование техники народного хозяйства для целей обеззараживания» Н.Р. Анютин, Военное издательство, Москва 1974 год.</w:t>
      </w:r>
    </w:p>
    <w:p w:rsidR="003F0DB7" w:rsidRPr="00817F3A" w:rsidRDefault="003F0DB7" w:rsidP="00776153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8. «Положение о дозиметрическом и химическом контроле в гражданской обороне»</w:t>
      </w:r>
    </w:p>
    <w:p w:rsidR="003F0DB7" w:rsidRPr="00817F3A" w:rsidRDefault="003F0DB7" w:rsidP="00776153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Штаб гражданской обороны Красноярского края, Введено в действие приказом Начальником гражданской обороны СССР №9, 1980 года.</w:t>
      </w:r>
    </w:p>
    <w:p w:rsidR="003F0DB7" w:rsidRPr="00817F3A" w:rsidRDefault="003F0DB7" w:rsidP="00776153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9. «Ликвидация последствий радиоактивного заражения» В.А. Гайдмак 1980г.</w:t>
      </w:r>
    </w:p>
    <w:p w:rsidR="003F0DB7" w:rsidRPr="00817F3A" w:rsidRDefault="003F0DB7" w:rsidP="00776153">
      <w:pPr>
        <w:shd w:val="clear" w:color="auto" w:fill="FFFFFF"/>
        <w:spacing w:line="360" w:lineRule="auto"/>
        <w:ind w:firstLine="0"/>
        <w:rPr>
          <w:sz w:val="28"/>
          <w:szCs w:val="28"/>
        </w:rPr>
      </w:pPr>
      <w:r w:rsidRPr="00817F3A">
        <w:rPr>
          <w:sz w:val="28"/>
          <w:szCs w:val="28"/>
        </w:rPr>
        <w:t>10. «Инженерно - спасательные работы» Пивилов М.П. М: Воен. издат. 1975г.</w:t>
      </w:r>
    </w:p>
    <w:p w:rsidR="003F0DB7" w:rsidRPr="00D9108C" w:rsidRDefault="003F0DB7" w:rsidP="00817F3A">
      <w:pPr>
        <w:spacing w:line="360" w:lineRule="auto"/>
        <w:ind w:firstLine="709"/>
        <w:rPr>
          <w:color w:val="FFFFFF"/>
          <w:sz w:val="28"/>
          <w:szCs w:val="28"/>
        </w:rPr>
      </w:pPr>
      <w:bookmarkStart w:id="0" w:name="_GoBack"/>
      <w:bookmarkEnd w:id="0"/>
    </w:p>
    <w:sectPr w:rsidR="003F0DB7" w:rsidRPr="00D9108C" w:rsidSect="00817F3A">
      <w:headerReference w:type="default" r:id="rId9"/>
      <w:footerReference w:type="even" r:id="rId10"/>
      <w:footerReference w:type="default" r:id="rId11"/>
      <w:headerReference w:type="first" r:id="rId12"/>
      <w:pgSz w:w="11909" w:h="16834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34B3" w:rsidRDefault="00D934B3">
      <w:r>
        <w:separator/>
      </w:r>
    </w:p>
  </w:endnote>
  <w:endnote w:type="continuationSeparator" w:id="0">
    <w:p w:rsidR="00D934B3" w:rsidRDefault="00D93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7EE2" w:rsidRDefault="00BC7EE2" w:rsidP="00BC7EE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C7EE2" w:rsidRDefault="00BC7EE2" w:rsidP="00BC7EE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7EE2" w:rsidRDefault="00BC7EE2" w:rsidP="00BC7EE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34B3" w:rsidRDefault="00D934B3">
      <w:r>
        <w:separator/>
      </w:r>
    </w:p>
  </w:footnote>
  <w:footnote w:type="continuationSeparator" w:id="0">
    <w:p w:rsidR="00D934B3" w:rsidRDefault="00D934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F3A" w:rsidRPr="00817F3A" w:rsidRDefault="00817F3A" w:rsidP="00817F3A">
    <w:pPr>
      <w:pStyle w:val="a6"/>
      <w:ind w:firstLine="0"/>
      <w:jc w:val="center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F3A" w:rsidRPr="00817F3A" w:rsidRDefault="00817F3A" w:rsidP="00817F3A">
    <w:pPr>
      <w:pStyle w:val="a6"/>
      <w:ind w:firstLine="0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0DB7"/>
    <w:rsid w:val="00020345"/>
    <w:rsid w:val="0003306A"/>
    <w:rsid w:val="00035F3C"/>
    <w:rsid w:val="000631A2"/>
    <w:rsid w:val="00077D15"/>
    <w:rsid w:val="00086AA6"/>
    <w:rsid w:val="000A14DB"/>
    <w:rsid w:val="000B3504"/>
    <w:rsid w:val="000F1029"/>
    <w:rsid w:val="00112230"/>
    <w:rsid w:val="0012663B"/>
    <w:rsid w:val="00145B71"/>
    <w:rsid w:val="00191891"/>
    <w:rsid w:val="001C5D13"/>
    <w:rsid w:val="001D19C4"/>
    <w:rsid w:val="002114B0"/>
    <w:rsid w:val="00216E03"/>
    <w:rsid w:val="00231325"/>
    <w:rsid w:val="00241812"/>
    <w:rsid w:val="002620C4"/>
    <w:rsid w:val="00282A18"/>
    <w:rsid w:val="002A208F"/>
    <w:rsid w:val="002A389C"/>
    <w:rsid w:val="002A4EFF"/>
    <w:rsid w:val="002B4233"/>
    <w:rsid w:val="002E6C73"/>
    <w:rsid w:val="002F095B"/>
    <w:rsid w:val="002F1D45"/>
    <w:rsid w:val="0030369C"/>
    <w:rsid w:val="00307742"/>
    <w:rsid w:val="00316C3D"/>
    <w:rsid w:val="00320A26"/>
    <w:rsid w:val="003247A6"/>
    <w:rsid w:val="00332A6C"/>
    <w:rsid w:val="003707F3"/>
    <w:rsid w:val="00390973"/>
    <w:rsid w:val="003A4E42"/>
    <w:rsid w:val="003A6E5E"/>
    <w:rsid w:val="003C4B4E"/>
    <w:rsid w:val="003D7094"/>
    <w:rsid w:val="003F0DB7"/>
    <w:rsid w:val="0042240A"/>
    <w:rsid w:val="004269E0"/>
    <w:rsid w:val="00467F70"/>
    <w:rsid w:val="004724FE"/>
    <w:rsid w:val="00475882"/>
    <w:rsid w:val="0047597C"/>
    <w:rsid w:val="0047781E"/>
    <w:rsid w:val="00480ACE"/>
    <w:rsid w:val="00490719"/>
    <w:rsid w:val="00491FEA"/>
    <w:rsid w:val="004A0235"/>
    <w:rsid w:val="004A43D7"/>
    <w:rsid w:val="004A519D"/>
    <w:rsid w:val="004A5F1E"/>
    <w:rsid w:val="004C3DF6"/>
    <w:rsid w:val="004C43CC"/>
    <w:rsid w:val="004F13E4"/>
    <w:rsid w:val="0051490F"/>
    <w:rsid w:val="005236DB"/>
    <w:rsid w:val="0058263D"/>
    <w:rsid w:val="0059166F"/>
    <w:rsid w:val="005B1F3E"/>
    <w:rsid w:val="005E6369"/>
    <w:rsid w:val="006038A7"/>
    <w:rsid w:val="00620D39"/>
    <w:rsid w:val="00634225"/>
    <w:rsid w:val="006476C1"/>
    <w:rsid w:val="006824EB"/>
    <w:rsid w:val="00686292"/>
    <w:rsid w:val="00687B4B"/>
    <w:rsid w:val="006A1853"/>
    <w:rsid w:val="006D0DC8"/>
    <w:rsid w:val="00700C24"/>
    <w:rsid w:val="007065BA"/>
    <w:rsid w:val="0070794C"/>
    <w:rsid w:val="00711059"/>
    <w:rsid w:val="00734DA3"/>
    <w:rsid w:val="00761456"/>
    <w:rsid w:val="0077462C"/>
    <w:rsid w:val="00776153"/>
    <w:rsid w:val="007820E2"/>
    <w:rsid w:val="0078593E"/>
    <w:rsid w:val="007878E7"/>
    <w:rsid w:val="007A5A3E"/>
    <w:rsid w:val="007D5862"/>
    <w:rsid w:val="007F2645"/>
    <w:rsid w:val="0080590C"/>
    <w:rsid w:val="00810208"/>
    <w:rsid w:val="0081436D"/>
    <w:rsid w:val="00817F3A"/>
    <w:rsid w:val="00826FE4"/>
    <w:rsid w:val="00830B49"/>
    <w:rsid w:val="00857B98"/>
    <w:rsid w:val="008634D1"/>
    <w:rsid w:val="008678B6"/>
    <w:rsid w:val="008930AF"/>
    <w:rsid w:val="0089550B"/>
    <w:rsid w:val="008B0E35"/>
    <w:rsid w:val="008B2CBC"/>
    <w:rsid w:val="008E050D"/>
    <w:rsid w:val="008E4C6D"/>
    <w:rsid w:val="009039C5"/>
    <w:rsid w:val="009116BE"/>
    <w:rsid w:val="00945BC2"/>
    <w:rsid w:val="00981B15"/>
    <w:rsid w:val="009C4F80"/>
    <w:rsid w:val="009D5C3A"/>
    <w:rsid w:val="00A05B06"/>
    <w:rsid w:val="00A12F43"/>
    <w:rsid w:val="00A17112"/>
    <w:rsid w:val="00A522BD"/>
    <w:rsid w:val="00A96A9D"/>
    <w:rsid w:val="00AC32D3"/>
    <w:rsid w:val="00AD206E"/>
    <w:rsid w:val="00AE72C7"/>
    <w:rsid w:val="00B066B5"/>
    <w:rsid w:val="00B11AEA"/>
    <w:rsid w:val="00B221DB"/>
    <w:rsid w:val="00B35C4B"/>
    <w:rsid w:val="00B4411C"/>
    <w:rsid w:val="00B463B8"/>
    <w:rsid w:val="00B52001"/>
    <w:rsid w:val="00B52E60"/>
    <w:rsid w:val="00B742DE"/>
    <w:rsid w:val="00B92D0A"/>
    <w:rsid w:val="00BB47F9"/>
    <w:rsid w:val="00BC07AA"/>
    <w:rsid w:val="00BC7EE2"/>
    <w:rsid w:val="00BD331E"/>
    <w:rsid w:val="00C1705D"/>
    <w:rsid w:val="00C250C6"/>
    <w:rsid w:val="00C4569A"/>
    <w:rsid w:val="00C53968"/>
    <w:rsid w:val="00C66C29"/>
    <w:rsid w:val="00C70D4F"/>
    <w:rsid w:val="00C90210"/>
    <w:rsid w:val="00CB0299"/>
    <w:rsid w:val="00CD2E14"/>
    <w:rsid w:val="00CE084A"/>
    <w:rsid w:val="00CE0B5D"/>
    <w:rsid w:val="00CF40B9"/>
    <w:rsid w:val="00D0381E"/>
    <w:rsid w:val="00D178F9"/>
    <w:rsid w:val="00D17FAA"/>
    <w:rsid w:val="00D34268"/>
    <w:rsid w:val="00D35CB7"/>
    <w:rsid w:val="00D509DC"/>
    <w:rsid w:val="00D9108C"/>
    <w:rsid w:val="00D934B3"/>
    <w:rsid w:val="00DA4606"/>
    <w:rsid w:val="00DB304C"/>
    <w:rsid w:val="00DC4105"/>
    <w:rsid w:val="00DC410A"/>
    <w:rsid w:val="00DC62AB"/>
    <w:rsid w:val="00DD24BB"/>
    <w:rsid w:val="00DF2E84"/>
    <w:rsid w:val="00E0114F"/>
    <w:rsid w:val="00E12302"/>
    <w:rsid w:val="00E20865"/>
    <w:rsid w:val="00E34212"/>
    <w:rsid w:val="00E547D2"/>
    <w:rsid w:val="00E86B11"/>
    <w:rsid w:val="00E946C0"/>
    <w:rsid w:val="00EB0E8D"/>
    <w:rsid w:val="00EB2AE8"/>
    <w:rsid w:val="00EB7913"/>
    <w:rsid w:val="00ED013F"/>
    <w:rsid w:val="00EF5ADE"/>
    <w:rsid w:val="00F11530"/>
    <w:rsid w:val="00F140D4"/>
    <w:rsid w:val="00F17A39"/>
    <w:rsid w:val="00F478A4"/>
    <w:rsid w:val="00F5296B"/>
    <w:rsid w:val="00F65EF8"/>
    <w:rsid w:val="00FB7785"/>
    <w:rsid w:val="00FD13FE"/>
    <w:rsid w:val="00FF0DE1"/>
    <w:rsid w:val="00FF3DDE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9A4CBC5B-1BF8-417A-851C-23E28E1FB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F0DB7"/>
    <w:pPr>
      <w:widowControl w:val="0"/>
      <w:ind w:firstLine="300"/>
      <w:jc w:val="both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3F0DB7"/>
    <w:pPr>
      <w:widowControl w:val="0"/>
      <w:jc w:val="both"/>
    </w:pPr>
    <w:rPr>
      <w:rFonts w:ascii="Times New Roman" w:hAnsi="Times New Roman" w:cs="Times New Roman"/>
      <w:b/>
      <w:sz w:val="12"/>
      <w:lang w:val="en-US"/>
    </w:rPr>
  </w:style>
  <w:style w:type="paragraph" w:styleId="a3">
    <w:name w:val="footer"/>
    <w:basedOn w:val="a"/>
    <w:link w:val="a4"/>
    <w:uiPriority w:val="99"/>
    <w:rsid w:val="003F0DB7"/>
    <w:pPr>
      <w:widowControl/>
      <w:tabs>
        <w:tab w:val="center" w:pos="4677"/>
        <w:tab w:val="right" w:pos="9355"/>
      </w:tabs>
      <w:ind w:firstLine="0"/>
      <w:jc w:val="left"/>
    </w:pPr>
    <w:rPr>
      <w:sz w:val="24"/>
      <w:szCs w:val="24"/>
    </w:rPr>
  </w:style>
  <w:style w:type="character" w:customStyle="1" w:styleId="a4">
    <w:name w:val="Нижний колонтитул Знак"/>
    <w:link w:val="a3"/>
    <w:uiPriority w:val="99"/>
    <w:locked/>
    <w:rsid w:val="003F0DB7"/>
    <w:rPr>
      <w:rFonts w:ascii="Times New Roman" w:hAnsi="Times New Roman" w:cs="Times New Roman"/>
      <w:sz w:val="24"/>
      <w:szCs w:val="24"/>
      <w:lang w:val="x-none" w:eastAsia="ru-RU"/>
    </w:rPr>
  </w:style>
  <w:style w:type="character" w:styleId="a5">
    <w:name w:val="page number"/>
    <w:uiPriority w:val="99"/>
    <w:rsid w:val="003F0DB7"/>
    <w:rPr>
      <w:rFonts w:cs="Times New Roman"/>
    </w:rPr>
  </w:style>
  <w:style w:type="paragraph" w:styleId="a6">
    <w:name w:val="header"/>
    <w:basedOn w:val="a"/>
    <w:link w:val="a7"/>
    <w:uiPriority w:val="99"/>
    <w:semiHidden/>
    <w:unhideWhenUsed/>
    <w:rsid w:val="00817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817F3A"/>
    <w:rPr>
      <w:rFonts w:ascii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7440</Words>
  <Characters>42414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LAN_OS</dc:creator>
  <cp:keywords/>
  <dc:description/>
  <cp:lastModifiedBy>admin</cp:lastModifiedBy>
  <cp:revision>2</cp:revision>
  <dcterms:created xsi:type="dcterms:W3CDTF">2014-03-27T02:58:00Z</dcterms:created>
  <dcterms:modified xsi:type="dcterms:W3CDTF">2014-03-27T02:58:00Z</dcterms:modified>
</cp:coreProperties>
</file>