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8B" w:rsidRPr="00F71566" w:rsidRDefault="00530B8B" w:rsidP="00F71566">
      <w:pPr>
        <w:pStyle w:val="23"/>
        <w:keepNext w:val="0"/>
        <w:spacing w:line="360" w:lineRule="auto"/>
        <w:ind w:firstLine="709"/>
        <w:jc w:val="both"/>
        <w:outlineLvl w:val="1"/>
      </w:pPr>
      <w:r w:rsidRPr="00F71566">
        <w:t>Содержание</w:t>
      </w:r>
    </w:p>
    <w:p w:rsidR="00F71566" w:rsidRDefault="00F71566" w:rsidP="00F71566">
      <w:pPr>
        <w:tabs>
          <w:tab w:val="left" w:pos="8929"/>
        </w:tabs>
        <w:spacing w:line="360" w:lineRule="auto"/>
        <w:ind w:firstLine="709"/>
        <w:jc w:val="both"/>
        <w:rPr>
          <w:sz w:val="28"/>
          <w:szCs w:val="28"/>
        </w:rPr>
      </w:pPr>
    </w:p>
    <w:p w:rsidR="005D124A" w:rsidRPr="00F71566" w:rsidRDefault="005D124A" w:rsidP="00F71566">
      <w:pPr>
        <w:tabs>
          <w:tab w:val="left" w:pos="8929"/>
        </w:tabs>
        <w:spacing w:line="360" w:lineRule="auto"/>
        <w:jc w:val="both"/>
        <w:rPr>
          <w:sz w:val="28"/>
          <w:szCs w:val="28"/>
        </w:rPr>
      </w:pPr>
      <w:r w:rsidRPr="00F71566">
        <w:rPr>
          <w:sz w:val="28"/>
          <w:szCs w:val="28"/>
        </w:rPr>
        <w:t>Введение</w:t>
      </w:r>
    </w:p>
    <w:p w:rsidR="00374E24" w:rsidRPr="00F71566" w:rsidRDefault="00374E24" w:rsidP="00F71566">
      <w:pPr>
        <w:tabs>
          <w:tab w:val="left" w:pos="14141"/>
        </w:tabs>
        <w:spacing w:line="360" w:lineRule="auto"/>
        <w:jc w:val="both"/>
        <w:rPr>
          <w:sz w:val="28"/>
          <w:szCs w:val="28"/>
        </w:rPr>
      </w:pPr>
      <w:r w:rsidRPr="00F71566">
        <w:rPr>
          <w:sz w:val="28"/>
          <w:szCs w:val="28"/>
        </w:rPr>
        <w:t>1 Понятие, принципы, основные модели регулирования финансирования</w:t>
      </w:r>
      <w:r w:rsidR="00F71566">
        <w:rPr>
          <w:sz w:val="28"/>
          <w:szCs w:val="28"/>
        </w:rPr>
        <w:t xml:space="preserve"> </w:t>
      </w:r>
      <w:r w:rsidRPr="00F71566">
        <w:rPr>
          <w:sz w:val="28"/>
          <w:szCs w:val="28"/>
        </w:rPr>
        <w:t>выборов</w:t>
      </w:r>
    </w:p>
    <w:p w:rsidR="00374E24" w:rsidRPr="00F71566" w:rsidRDefault="00374E24" w:rsidP="00F71566">
      <w:pPr>
        <w:pStyle w:val="ConsNormal"/>
        <w:spacing w:line="360" w:lineRule="auto"/>
        <w:ind w:firstLine="0"/>
        <w:jc w:val="both"/>
        <w:rPr>
          <w:rFonts w:ascii="Times New Roman" w:hAnsi="Times New Roman"/>
          <w:sz w:val="28"/>
          <w:szCs w:val="28"/>
        </w:rPr>
      </w:pPr>
      <w:r w:rsidRPr="00F71566">
        <w:rPr>
          <w:rFonts w:ascii="Times New Roman" w:hAnsi="Times New Roman"/>
          <w:sz w:val="28"/>
          <w:szCs w:val="28"/>
        </w:rPr>
        <w:t>2 Избирательные фонды кандидатов, избирательных объединений (блоков)</w:t>
      </w:r>
    </w:p>
    <w:p w:rsidR="00374E24" w:rsidRPr="00F71566" w:rsidRDefault="00374E24" w:rsidP="00F71566">
      <w:pPr>
        <w:pStyle w:val="ConsNormal"/>
        <w:spacing w:line="360" w:lineRule="auto"/>
        <w:ind w:firstLine="0"/>
        <w:jc w:val="both"/>
        <w:rPr>
          <w:rFonts w:ascii="Times New Roman" w:hAnsi="Times New Roman"/>
          <w:sz w:val="28"/>
          <w:szCs w:val="28"/>
        </w:rPr>
      </w:pPr>
      <w:r w:rsidRPr="00F71566">
        <w:rPr>
          <w:rFonts w:ascii="Times New Roman" w:hAnsi="Times New Roman"/>
          <w:sz w:val="28"/>
          <w:szCs w:val="28"/>
        </w:rPr>
        <w:t>3 Особенности финансирования избирательных комиссий и политических</w:t>
      </w:r>
      <w:r w:rsidR="00F71566">
        <w:rPr>
          <w:rFonts w:ascii="Times New Roman" w:hAnsi="Times New Roman"/>
          <w:sz w:val="28"/>
          <w:szCs w:val="28"/>
        </w:rPr>
        <w:t xml:space="preserve"> </w:t>
      </w:r>
      <w:r w:rsidRPr="00F71566">
        <w:rPr>
          <w:rFonts w:ascii="Times New Roman" w:hAnsi="Times New Roman"/>
          <w:sz w:val="28"/>
          <w:szCs w:val="28"/>
        </w:rPr>
        <w:t>партий</w:t>
      </w:r>
    </w:p>
    <w:p w:rsidR="00F71566" w:rsidRDefault="0046700D" w:rsidP="00F71566">
      <w:pPr>
        <w:spacing w:line="360" w:lineRule="auto"/>
        <w:jc w:val="both"/>
        <w:rPr>
          <w:sz w:val="28"/>
          <w:szCs w:val="28"/>
        </w:rPr>
      </w:pPr>
      <w:r w:rsidRPr="00F71566">
        <w:rPr>
          <w:sz w:val="28"/>
          <w:szCs w:val="28"/>
        </w:rPr>
        <w:t>Заключение</w:t>
      </w:r>
    </w:p>
    <w:p w:rsidR="0046700D" w:rsidRPr="00F71566" w:rsidRDefault="0046700D" w:rsidP="00F71566">
      <w:pPr>
        <w:spacing w:line="360" w:lineRule="auto"/>
        <w:jc w:val="both"/>
        <w:rPr>
          <w:sz w:val="28"/>
          <w:szCs w:val="28"/>
        </w:rPr>
      </w:pPr>
      <w:r w:rsidRPr="00F71566">
        <w:rPr>
          <w:sz w:val="28"/>
          <w:szCs w:val="28"/>
        </w:rPr>
        <w:t>Глоссарий</w:t>
      </w:r>
    </w:p>
    <w:p w:rsidR="0046700D" w:rsidRPr="00F71566" w:rsidRDefault="0046700D" w:rsidP="00F71566">
      <w:pPr>
        <w:spacing w:line="360" w:lineRule="auto"/>
        <w:jc w:val="both"/>
        <w:rPr>
          <w:sz w:val="28"/>
          <w:szCs w:val="28"/>
        </w:rPr>
      </w:pPr>
      <w:r w:rsidRPr="00F71566">
        <w:rPr>
          <w:sz w:val="28"/>
          <w:szCs w:val="28"/>
        </w:rPr>
        <w:t>Список использованных источни</w:t>
      </w:r>
      <w:r w:rsidR="00816FEF" w:rsidRPr="00F71566">
        <w:rPr>
          <w:sz w:val="28"/>
          <w:szCs w:val="28"/>
        </w:rPr>
        <w:t>ков</w:t>
      </w:r>
    </w:p>
    <w:p w:rsidR="00E65CF9" w:rsidRPr="00F71566" w:rsidRDefault="00E65CF9" w:rsidP="00F71566">
      <w:pPr>
        <w:spacing w:line="360" w:lineRule="auto"/>
        <w:jc w:val="both"/>
        <w:rPr>
          <w:sz w:val="28"/>
          <w:szCs w:val="28"/>
        </w:rPr>
      </w:pPr>
      <w:r w:rsidRPr="00F71566">
        <w:rPr>
          <w:sz w:val="28"/>
          <w:szCs w:val="28"/>
        </w:rPr>
        <w:t>Приложение А</w:t>
      </w:r>
    </w:p>
    <w:p w:rsidR="0057219A" w:rsidRPr="00F71566" w:rsidRDefault="00D036CE" w:rsidP="00F71566">
      <w:pPr>
        <w:pStyle w:val="2"/>
        <w:keepNext w:val="0"/>
        <w:ind w:firstLine="709"/>
        <w:jc w:val="both"/>
      </w:pPr>
      <w:r w:rsidRPr="00F71566">
        <w:rPr>
          <w:b w:val="0"/>
          <w:bCs w:val="0"/>
        </w:rPr>
        <w:br w:type="page"/>
      </w:r>
      <w:r w:rsidR="0057219A" w:rsidRPr="00F71566">
        <w:t>Введение</w:t>
      </w:r>
    </w:p>
    <w:p w:rsidR="0057219A" w:rsidRPr="00F71566" w:rsidRDefault="0057219A" w:rsidP="00F71566">
      <w:pPr>
        <w:spacing w:line="360" w:lineRule="auto"/>
        <w:ind w:firstLine="709"/>
        <w:jc w:val="both"/>
        <w:rPr>
          <w:bCs/>
          <w:sz w:val="28"/>
          <w:szCs w:val="28"/>
        </w:rPr>
      </w:pPr>
    </w:p>
    <w:p w:rsidR="00CB0D1C" w:rsidRPr="00F71566" w:rsidRDefault="00CB0D1C" w:rsidP="00F71566">
      <w:pPr>
        <w:spacing w:line="360" w:lineRule="auto"/>
        <w:ind w:firstLine="709"/>
        <w:jc w:val="both"/>
        <w:rPr>
          <w:sz w:val="28"/>
          <w:szCs w:val="28"/>
        </w:rPr>
      </w:pPr>
      <w:r w:rsidRPr="00F71566">
        <w:rPr>
          <w:sz w:val="28"/>
          <w:szCs w:val="28"/>
        </w:rPr>
        <w:t>Актуальность темы «Организация и порядок финансирования выборов в России» обусловлена потребностью упорядочения финансового обеспечения выборных процессов в условиях развития демократии в России. Это касается всех форм формирования экономической базы избирательных кампаний, в том числе за счет бюджетных ресурсов, за счет добровольных пожертвований, а также за счет самофинансирования.</w:t>
      </w:r>
    </w:p>
    <w:p w:rsidR="00CB0D1C" w:rsidRPr="00F71566" w:rsidRDefault="00CB0D1C" w:rsidP="00F71566">
      <w:pPr>
        <w:spacing w:line="360" w:lineRule="auto"/>
        <w:ind w:firstLine="709"/>
        <w:jc w:val="both"/>
        <w:rPr>
          <w:sz w:val="28"/>
          <w:szCs w:val="28"/>
        </w:rPr>
      </w:pPr>
      <w:r w:rsidRPr="00F71566">
        <w:rPr>
          <w:sz w:val="28"/>
          <w:szCs w:val="28"/>
        </w:rPr>
        <w:t>В настоящее время большинство избирательных кампаний финансируется группами давления с целью продвижения встроенных лоббистов в представительных органах власти; если речь идет о выборах главы исполнительной власти, – с целью создания устойчивых связей с руководителями исполнительной власти на федеральном и региональном уровнях. История предыдущих избирательных кампаний в России показывает особую значимость финансового обеспечения выборов. В большинстве своем наличие больших финансовых ресурсов помогает партиям и кандидатам получить соответствующее количество мест во властных структурах. По вопросам финансирования избирательных кампаний, существует несколько причин того, что финансирование избирательных кампаний остается сложным вопросом во всех странах.</w:t>
      </w:r>
    </w:p>
    <w:p w:rsidR="00CB0D1C" w:rsidRPr="00F71566" w:rsidRDefault="00CB0D1C" w:rsidP="00F71566">
      <w:pPr>
        <w:spacing w:line="360" w:lineRule="auto"/>
        <w:ind w:firstLine="709"/>
        <w:jc w:val="both"/>
        <w:rPr>
          <w:sz w:val="28"/>
          <w:szCs w:val="28"/>
        </w:rPr>
      </w:pPr>
      <w:r w:rsidRPr="00F71566">
        <w:rPr>
          <w:sz w:val="28"/>
          <w:szCs w:val="28"/>
        </w:rPr>
        <w:t xml:space="preserve">Зарубежный опыт показывает исключительно большую роль групп давления в финансировании выборов и их преимущество перед политическими партиями в этом процессе. Во всем мире признано, что финансирование выборов играет важную роль в обеспечении равных политических возможностей. Стоимость избирательной кампании является важным фактором при определении степени демократичности выборов. Финансовая обеспеченность кандидата, наличие у него достаточного количества средств фактически является мерилом того, насколько реализуется принцип равенства политических возможностей. Финансовые возможности дают возможность политическим конкурентам в избирательных кампаниях влиять на объем информации, на степень своего рекламирования, на основе чего избирателями принимаются решения. С учетом имеющейся тенденции необходимость привлечения больших сумм на проведение избирательной кампании ситуация может привести к тому, что кандидаты и лица, занимающие выборные должности, будут тратить слишком много времени на сбор денег в ущерб исполнению своих служебных обязанностей или общению с избирателями, не говоря уже о том, что такая ситуация способствует усилению скептического отношения общественности к политическому процессу как таковому. </w:t>
      </w:r>
    </w:p>
    <w:p w:rsidR="00CB0D1C" w:rsidRPr="00F71566" w:rsidRDefault="00CB0D1C" w:rsidP="00F71566">
      <w:pPr>
        <w:spacing w:line="360" w:lineRule="auto"/>
        <w:ind w:firstLine="709"/>
        <w:jc w:val="both"/>
        <w:rPr>
          <w:sz w:val="28"/>
          <w:szCs w:val="28"/>
        </w:rPr>
      </w:pPr>
      <w:r w:rsidRPr="00F71566">
        <w:rPr>
          <w:sz w:val="28"/>
          <w:szCs w:val="28"/>
        </w:rPr>
        <w:t>Вопрос о финансировании выборов – особый предмет правового регулирования, который предполагает установление относительно точных параметров расходования средств, их источники, процедуры, решение вопросов формирования фондов. Нормы права, регулирующие отношения по поводу финансирования избирательных процессов в России не являются едиными по своему методу и представляют собой комплексный правовой институт.</w:t>
      </w:r>
    </w:p>
    <w:p w:rsidR="00CB0D1C" w:rsidRPr="00F71566" w:rsidRDefault="00CB0D1C" w:rsidP="00F71566">
      <w:pPr>
        <w:spacing w:line="360" w:lineRule="auto"/>
        <w:ind w:firstLine="709"/>
        <w:jc w:val="both"/>
        <w:rPr>
          <w:sz w:val="28"/>
          <w:szCs w:val="28"/>
        </w:rPr>
      </w:pPr>
      <w:r w:rsidRPr="00F71566">
        <w:rPr>
          <w:sz w:val="28"/>
          <w:szCs w:val="28"/>
        </w:rPr>
        <w:t>Основой развития избирательной системы Российской Федерации стало совершенствование законодательства о выборах. Этапами в российском избирательном процессе стали федеральные законы «Об основных гарантиях избирательных прав граждан Российской Федерации», «О выборах Президента Российской Федерации», «О выборах депутатов Государственной Думы Федерального Собрания Российской Федерации», «Об основных гарантиях избирательных прав и права на участие в референдуме граждан Российской Федерации». Следует отметить, что какие бы изменения ни вносились в эти законы, неизменным всегда оставались части, в которых речь шла о финансировании выборов. Однако законодательство в части регулирования механизма финансирования избирательных процессов до сих пор не совершено. В частности, оно пока не определяет содержание базового понятия «финансирования выборов», хотя широко его использует в конкретных законах о выборах. В научной и правовой литературе также широко употребляют такие понятия как «финансирование избирательных кампаний», «финансирование предвыборной агитации», «политическое финансирование».</w:t>
      </w:r>
    </w:p>
    <w:p w:rsidR="00FE6977" w:rsidRPr="00F71566" w:rsidRDefault="00530B8B" w:rsidP="00F71566">
      <w:pPr>
        <w:tabs>
          <w:tab w:val="left" w:pos="14141"/>
        </w:tabs>
        <w:spacing w:line="360" w:lineRule="auto"/>
        <w:ind w:firstLine="709"/>
        <w:jc w:val="both"/>
        <w:rPr>
          <w:b/>
          <w:bCs/>
          <w:sz w:val="28"/>
          <w:szCs w:val="28"/>
        </w:rPr>
      </w:pPr>
      <w:r w:rsidRPr="00F71566">
        <w:rPr>
          <w:sz w:val="28"/>
          <w:szCs w:val="28"/>
        </w:rPr>
        <w:br w:type="page"/>
      </w:r>
      <w:r w:rsidR="00F33307" w:rsidRPr="00F71566">
        <w:rPr>
          <w:b/>
          <w:sz w:val="28"/>
          <w:szCs w:val="28"/>
        </w:rPr>
        <w:t>1 Понятие, принципы, основные модели регулирования финансирования</w:t>
      </w:r>
      <w:r w:rsidR="00F71566" w:rsidRPr="00F71566">
        <w:rPr>
          <w:b/>
          <w:sz w:val="28"/>
          <w:szCs w:val="28"/>
        </w:rPr>
        <w:t xml:space="preserve"> </w:t>
      </w:r>
      <w:r w:rsidR="00F33307" w:rsidRPr="00F71566">
        <w:rPr>
          <w:b/>
          <w:sz w:val="28"/>
          <w:szCs w:val="28"/>
        </w:rPr>
        <w:t>выборов</w:t>
      </w:r>
    </w:p>
    <w:p w:rsidR="00FE6977" w:rsidRPr="00F71566" w:rsidRDefault="00FE6977" w:rsidP="00F71566">
      <w:pPr>
        <w:spacing w:line="360" w:lineRule="auto"/>
        <w:ind w:firstLine="709"/>
        <w:jc w:val="both"/>
        <w:rPr>
          <w:bCs/>
          <w:sz w:val="28"/>
          <w:szCs w:val="28"/>
        </w:rPr>
      </w:pPr>
    </w:p>
    <w:p w:rsidR="00D230C3" w:rsidRPr="00F71566" w:rsidRDefault="00D230C3" w:rsidP="00F71566">
      <w:pPr>
        <w:pStyle w:val="af3"/>
        <w:spacing w:after="0" w:line="360" w:lineRule="auto"/>
        <w:ind w:left="0" w:firstLine="709"/>
        <w:jc w:val="both"/>
        <w:rPr>
          <w:sz w:val="28"/>
          <w:szCs w:val="28"/>
        </w:rPr>
      </w:pPr>
      <w:r w:rsidRPr="00F71566">
        <w:rPr>
          <w:sz w:val="28"/>
          <w:szCs w:val="28"/>
        </w:rPr>
        <w:t>Анализируя практику проведения избирательных кампаний в нашей стране в последнее время, можно отметить, что, несмотря на перманентное реформирование законодательства, по-прежнему остаются неурегулированными многие вопросы, возникающие на разных стадиях избирательного процесса. Не является исключением финансирование выборов. Правовая регламентация и литературный подход разнятся в употреблении терминов, связанных с финансированием выборов. Например, глава VIII Федерального закона РФ «</w:t>
      </w:r>
      <w:r w:rsidR="001C0D2E" w:rsidRPr="00F71566">
        <w:rPr>
          <w:sz w:val="28"/>
          <w:szCs w:val="28"/>
        </w:rPr>
        <w:t>Об основных гарантиях избирательных прав и права на участие в референдуме граждан Российской Федерации</w:t>
      </w:r>
      <w:r w:rsidRPr="00F71566">
        <w:rPr>
          <w:sz w:val="28"/>
          <w:szCs w:val="28"/>
        </w:rPr>
        <w:t>» называется «Финансирование выборов и референдума». В теории избирательного процесса очень часто используются и такие термины, как «финансирование избирательных кампаний», «финансирование предвыборной агитации», «политиче</w:t>
      </w:r>
      <w:r w:rsidR="00F71566">
        <w:rPr>
          <w:sz w:val="28"/>
          <w:szCs w:val="28"/>
        </w:rPr>
        <w:t>ское финансирование».</w:t>
      </w:r>
    </w:p>
    <w:p w:rsidR="00D230C3" w:rsidRPr="00F71566" w:rsidRDefault="00D230C3" w:rsidP="00F71566">
      <w:pPr>
        <w:pStyle w:val="31"/>
        <w:tabs>
          <w:tab w:val="left" w:pos="14141"/>
        </w:tabs>
        <w:spacing w:after="0" w:line="360" w:lineRule="auto"/>
        <w:ind w:left="0" w:firstLine="709"/>
        <w:jc w:val="both"/>
        <w:rPr>
          <w:sz w:val="28"/>
          <w:szCs w:val="28"/>
        </w:rPr>
      </w:pPr>
      <w:r w:rsidRPr="00F71566">
        <w:rPr>
          <w:sz w:val="28"/>
          <w:szCs w:val="28"/>
        </w:rPr>
        <w:t>В период финансирования выборов органы внутренних дел должны оказывать содействие избирательным комиссиям в осуществлении их полномочий по контролю за соблюдением порядка финансирования избирательных кампаний кандидатов, зарегистрированных кандидатов, избирательных блоков и избирательных объединений. Специалисты Министерства внутренних дел России принимают участие в работе контрольно-ревизионных служб при Центральной избирательной комиссии, избирательных комиссиях субъектов Российской Федерации и окружных избиркомах.</w:t>
      </w:r>
      <w:r w:rsidR="00F71566" w:rsidRPr="00F71566">
        <w:rPr>
          <w:sz w:val="28"/>
          <w:szCs w:val="28"/>
        </w:rPr>
        <w:t xml:space="preserve"> </w:t>
      </w:r>
      <w:r w:rsidR="00B475C6" w:rsidRPr="00F71566">
        <w:rPr>
          <w:sz w:val="28"/>
          <w:szCs w:val="28"/>
        </w:rPr>
        <w:t>П</w:t>
      </w:r>
      <w:r w:rsidRPr="00F71566">
        <w:rPr>
          <w:sz w:val="28"/>
          <w:szCs w:val="28"/>
        </w:rPr>
        <w:t>од финансированием выборов следует понимать действия, направленные на прямое и косвенное финансирование и поддающееся финансовой оценке материальное обеспечение подготовки и проведения выборов.</w:t>
      </w:r>
      <w:r w:rsidR="00B475C6" w:rsidRPr="00F71566">
        <w:footnoteReference w:id="1"/>
      </w:r>
    </w:p>
    <w:p w:rsidR="00D230C3" w:rsidRPr="00F71566" w:rsidRDefault="00D230C3" w:rsidP="00F71566">
      <w:pPr>
        <w:tabs>
          <w:tab w:val="left" w:pos="14141"/>
        </w:tabs>
        <w:spacing w:line="360" w:lineRule="auto"/>
        <w:ind w:firstLine="709"/>
        <w:jc w:val="both"/>
        <w:rPr>
          <w:sz w:val="28"/>
          <w:szCs w:val="28"/>
        </w:rPr>
      </w:pPr>
      <w:r w:rsidRPr="00F71566">
        <w:rPr>
          <w:sz w:val="28"/>
          <w:szCs w:val="28"/>
        </w:rPr>
        <w:t>К основным принципам финансирования можно отнести: гласность, отчетность, ответственность при финансировании и гарантированность финансового обеспечения подготовки и проведения выборов.</w:t>
      </w:r>
      <w:r w:rsidR="00B475C6" w:rsidRPr="00F71566">
        <w:rPr>
          <w:rStyle w:val="a5"/>
          <w:sz w:val="28"/>
          <w:szCs w:val="28"/>
        </w:rPr>
        <w:footnoteReference w:id="2"/>
      </w:r>
    </w:p>
    <w:p w:rsidR="00D230C3" w:rsidRPr="00F71566" w:rsidRDefault="00D230C3" w:rsidP="00F71566">
      <w:pPr>
        <w:tabs>
          <w:tab w:val="left" w:pos="14141"/>
        </w:tabs>
        <w:spacing w:line="360" w:lineRule="auto"/>
        <w:ind w:firstLine="709"/>
        <w:jc w:val="both"/>
        <w:rPr>
          <w:sz w:val="28"/>
          <w:szCs w:val="28"/>
        </w:rPr>
      </w:pPr>
      <w:r w:rsidRPr="00F71566">
        <w:rPr>
          <w:sz w:val="28"/>
          <w:szCs w:val="28"/>
        </w:rPr>
        <w:t xml:space="preserve">Принцип гласности и открытости в соответствии с </w:t>
      </w:r>
      <w:r w:rsidR="00966AA8" w:rsidRPr="00F71566">
        <w:rPr>
          <w:sz w:val="28"/>
          <w:szCs w:val="28"/>
        </w:rPr>
        <w:t>ФЗ</w:t>
      </w:r>
      <w:r w:rsidRPr="00F71566">
        <w:rPr>
          <w:sz w:val="28"/>
          <w:szCs w:val="28"/>
        </w:rPr>
        <w:t xml:space="preserve"> РФ </w:t>
      </w:r>
      <w:r w:rsidR="00966AA8" w:rsidRPr="00F71566">
        <w:rPr>
          <w:sz w:val="28"/>
          <w:szCs w:val="28"/>
        </w:rPr>
        <w:t>«Об основных гарантиях избирательных прав и права на участие в референдуме граждан Российской Федерации»</w:t>
      </w:r>
      <w:r w:rsidRPr="00F71566">
        <w:rPr>
          <w:sz w:val="28"/>
          <w:szCs w:val="28"/>
        </w:rPr>
        <w:t xml:space="preserve"> ст. 59 п. 8 проявляется в том, что комиссия, соответствующая уровню выборов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w:t>
      </w:r>
    </w:p>
    <w:p w:rsidR="00D230C3" w:rsidRPr="00F71566" w:rsidRDefault="00D230C3" w:rsidP="00F71566">
      <w:pPr>
        <w:tabs>
          <w:tab w:val="left" w:pos="14141"/>
        </w:tabs>
        <w:spacing w:line="360" w:lineRule="auto"/>
        <w:ind w:firstLine="709"/>
        <w:jc w:val="both"/>
        <w:rPr>
          <w:sz w:val="28"/>
          <w:szCs w:val="28"/>
        </w:rPr>
      </w:pPr>
      <w:r w:rsidRPr="00F71566">
        <w:rPr>
          <w:sz w:val="28"/>
          <w:szCs w:val="28"/>
        </w:rPr>
        <w:t>К тому же, кредитная организация или держатель специального избирательного счета по требованию соответствующей комиссии, кандидата, избирательного объединения, избирательного блока,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избирательного блока. Кредитная организация – держатель специального избирательного счета, по представлению соответствующей избирательной комиссии, а по соответствующему избирательному фонду, требованию кандидата, избирательного объединения, избирательного блока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r w:rsidR="00245DD3" w:rsidRPr="00F71566">
        <w:rPr>
          <w:rStyle w:val="a5"/>
          <w:sz w:val="28"/>
          <w:szCs w:val="28"/>
        </w:rPr>
        <w:footnoteReference w:id="3"/>
      </w:r>
    </w:p>
    <w:p w:rsidR="00D230C3" w:rsidRPr="00F71566" w:rsidRDefault="00D230C3" w:rsidP="00F71566">
      <w:pPr>
        <w:tabs>
          <w:tab w:val="left" w:pos="14141"/>
        </w:tabs>
        <w:spacing w:line="360" w:lineRule="auto"/>
        <w:ind w:firstLine="709"/>
        <w:jc w:val="both"/>
        <w:rPr>
          <w:sz w:val="28"/>
          <w:szCs w:val="28"/>
        </w:rPr>
      </w:pPr>
      <w:r w:rsidRPr="00F71566">
        <w:rPr>
          <w:sz w:val="28"/>
          <w:szCs w:val="28"/>
        </w:rPr>
        <w:t>Избирательным законодательством предусматривается обязанность банков предоставлять избирательным комиссиям сведения о поступлении и расходовании средств избирательных фондов. При этом установлен разный порядок предоставления сведений о поступлении и о расходовании средств. Первые предоставляются автоматически в трехдневный срок со дня их поступления, вторые – по письменному запросу избирательной комиссии без установления специальных сроков ответа на запрос. Объем поступающей информации в избирательные комиссии определяется по формам, установленным Центральной избирательной комиссией Российской Федерации и избирательными комиссиями субъектов Российской Федерации. В них обычно указываются сумма и источник поступления, дата зачисления на счет, документ, подтверждающий направление средств (платежное поручение, почтовый перевод, сберегательная книжка), а также возможная доля иностранного капитала, если взнос делает юридическое лицо.</w:t>
      </w:r>
      <w:r w:rsidR="00F71566" w:rsidRPr="00F71566">
        <w:rPr>
          <w:sz w:val="28"/>
          <w:szCs w:val="28"/>
        </w:rPr>
        <w:t xml:space="preserve"> </w:t>
      </w:r>
      <w:r w:rsidRPr="00F71566">
        <w:rPr>
          <w:sz w:val="28"/>
          <w:szCs w:val="28"/>
        </w:rPr>
        <w:t>Информация о расходовании денежных средств включает в себя сумму расхода, дату снятия средств со счета, адресат получения средств и направления расходования. При этом на обналиченные средства направления расхода обычно не указываются, что дает потенциальную возможность расходовать их без реального контроля.</w:t>
      </w:r>
      <w:r w:rsidR="00F71566" w:rsidRPr="00F71566">
        <w:rPr>
          <w:sz w:val="28"/>
          <w:szCs w:val="28"/>
        </w:rPr>
        <w:t xml:space="preserve"> </w:t>
      </w:r>
      <w:r w:rsidRPr="00F71566">
        <w:rPr>
          <w:sz w:val="28"/>
          <w:szCs w:val="28"/>
        </w:rPr>
        <w:t>Для обеспечения гласности поступления и расходования средств избирательных фондов важно решение вопроса об объеме публикуемых сведений. Сами по себе публикации отдельных, часто не сопоставимых друг с другом цифр о суммах общих поступлений и общих расходов кандидата, избирательного объединения, как правило, не дают возможности сопоставления с реальными предвыборными мероприятиями. Основной смысл публикаций сведений о движении средств избирательных фондов состоит в том, чтобы избиратели, соперничающие кандидаты, избирательные объединения (блоки) могли убедиться в том, что избирательное законодательство неукоснительно соблюдается.</w:t>
      </w:r>
      <w:r w:rsidR="00F71566" w:rsidRPr="00F71566">
        <w:rPr>
          <w:sz w:val="28"/>
          <w:szCs w:val="28"/>
        </w:rPr>
        <w:t xml:space="preserve"> </w:t>
      </w:r>
      <w:r w:rsidRPr="00F71566">
        <w:rPr>
          <w:sz w:val="28"/>
          <w:szCs w:val="28"/>
        </w:rPr>
        <w:t>Так, согласно Федеральному закону РФ «О выборах Президента Российской Федерации» редакции государственных периодических печатных изданий обязаны публиковать переданные им Центральной избирательной комиссией Российской Федерации сведения о поступлении средств в избирательные фонды и расходовании этих средств. Обязательному опубликованию подлежат сведения: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1) о финансовой операции по расходованию средств из избирательного фонда в случае, если ее размер превышает 200 тысяч рублей;</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2) о юридических лицах, внесших в избирательный фонд добровольные пожертвования на сумму, превышающую 400 тысяч рублей;</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3) о количестве граждан, внесших в избирательный фонд добровольные пожертвования на сумму, превышающую 40 тысяч рублей;</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4) о средствах, возвращенных жертвователям, в том числе об основаниях возврата;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5) об общей сумме средств, поступивших в избирательный фонд, и об общей сумме средств, израсходованных из него.</w:t>
      </w:r>
    </w:p>
    <w:p w:rsidR="00D230C3" w:rsidRPr="00F71566" w:rsidRDefault="001860FE"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Отчётность – о</w:t>
      </w:r>
      <w:r w:rsidR="00D230C3" w:rsidRPr="00F71566">
        <w:rPr>
          <w:rFonts w:ascii="Times New Roman" w:hAnsi="Times New Roman"/>
          <w:sz w:val="28"/>
          <w:szCs w:val="28"/>
        </w:rPr>
        <w:t>дин из основополагающих принципов финансирования выборов. Порядок учета и отчетности по средствам избирательных фондов устанавливается Центральной избирательной комиссией Российской Федерацией по согласованию с Центральным банком Российской Федерации или избирательной комиссией субъекта Российской Федерации по согласованию с национальными банками, главными управлениями Центрального банка Российской Федерации в субъектах Российской Федерации.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Выделяют отчетность кандидатов, избирательных объединений, избирательных блоков и избирательных комиссий. Финансовые отчеты кандидатов, избирательных объединений и блоков, в свою очередь, составляют базу для финансового отчета самих избирательных комиссий, которые подотчетны соответствующему представительному органу государственной власти, а на местных выборах – представительному органу местного самоуправления. Поэтому, думается, кандидаты, избирательные объединения и блоки юридически подотчетны не перед избирательными комиссиями, а перед представительными органами.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Законодательство не определяет форму отчета. По сложившейся практике это делают те избирательные комиссии, которые вправе устанавливать порядок отчета и отчетности по средствам избирательных фондов, то есть Центральная избирательная комиссия Российской Федерации и избирательные комиссии субъектов Российской Федерации.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Согласно Федеральному закону РФ </w:t>
      </w:r>
      <w:r w:rsidR="00F46CFE" w:rsidRPr="00F71566">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Pr="00F71566">
        <w:rPr>
          <w:rFonts w:ascii="Times New Roman" w:hAnsi="Times New Roman"/>
          <w:sz w:val="28"/>
          <w:szCs w:val="28"/>
        </w:rPr>
        <w:t xml:space="preserve"> кандидат, избирательное объединение, избирательный блок обязаны предоставить в соответствующую комиссию не менее двух финансовых отчетов (в том числе один из них – не </w:t>
      </w:r>
      <w:r w:rsidR="00AF5251" w:rsidRPr="00F71566">
        <w:rPr>
          <w:rFonts w:ascii="Times New Roman" w:hAnsi="Times New Roman"/>
          <w:sz w:val="28"/>
          <w:szCs w:val="28"/>
        </w:rPr>
        <w:t>позднее,</w:t>
      </w:r>
      <w:r w:rsidRPr="00F71566">
        <w:rPr>
          <w:rFonts w:ascii="Times New Roman" w:hAnsi="Times New Roman"/>
          <w:sz w:val="28"/>
          <w:szCs w:val="28"/>
        </w:rPr>
        <w:t xml:space="preserve"> чем за 10 дней до дня голосования на выборах, а итоговый – не позднее чем через 30 дней после оп</w:t>
      </w:r>
      <w:r w:rsidR="00F46CFE" w:rsidRPr="00F71566">
        <w:rPr>
          <w:rFonts w:ascii="Times New Roman" w:hAnsi="Times New Roman"/>
          <w:sz w:val="28"/>
          <w:szCs w:val="28"/>
        </w:rPr>
        <w:t>убликования результатов выборов</w:t>
      </w:r>
      <w:r w:rsidRPr="00F71566">
        <w:rPr>
          <w:rFonts w:ascii="Times New Roman" w:hAnsi="Times New Roman"/>
          <w:sz w:val="28"/>
          <w:szCs w:val="28"/>
        </w:rPr>
        <w:t>) о размерах своего избирательного фонда, обо всех источниках его формирования, а также обо всех расходах, произведенных за счет средств соответствующего фонда. К итоговому финансовому отчету прилагаются первичные финансовые документы, подтверждающие поступление и расходование средств избирательного фонда. Копии указанных отчетов передаются комиссиями средствам массовой информации на позднее чем через пять дней со дня их поступления.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Отношения между сторонами, возникающие в связи с финансовым отчетом, носят характер публично-правовых отношений, в которых у одной стороны – обязанность по представлению отчета, у другой – право получения отчета, те есть речь идет о неравноправных отношениях субъектов. Вместе с тем представляется, что обязанность представления финансового отчета в избирательную комиссию юридически не означает подотчетность кандидата, избирательного объединения (блока) избирательной комиссии. Последняя уполномочена только принять отчет, выступает своеобразным депозитарием отчета. В законодательстве не указано, что избирательные комиссии имеют право отказать в принятии отчета. Право принять отчет означает одновременно и обязанность комиссии сделать это. Законодательство не дает комиссии права давать юридически значимые оценки финансового отчета, но комиссия вправе и обязана высказывать свои суждения относительно соблюдения законодательства и порядка представления отчета.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Разовая финансовая отчетность, которая установлена действующим законодательством, имеет существенные недостатки. Главные из них: во-первых, конкурирующие кандидаты, партии в период избирательной кампании не подотчетны ни перед кем в своей финансовой деятельности. Избирательная кампания заканчивается в день официального опубликования результатов выборов, а финансовый отчет кандидат, зарегистрированный кандидат, избирательное объединение (блок) обязаны представить не позднее чем через 30 дней от указанной даты. Такая свобода теоретически представляется необоснованной, а практически влечет за собой широко распространенное нецелевое использование средств избирательных фондов, в том числе и бюджетных средств. Во-вторых, одни финансовый отчет лишает общество, других кандидатов, организаторов выборов официальной, юридически значимой финансовой информации от основного носителя этой информации – кандидата, избирательного объединения (блока) на весь период выборов. Финансовый отчет кандидата как источник информации не может быть поставлен в один ряд с информацией банков, избирательных комиссий, не может быть заменен последней в силу разных юридических последствий. Поэтому ведение финансовых отчетов в ходе избирательной кампании – это новый канал гласности, открытости выборов, который не может быть заменен другими источниками информации.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Согласно закону «О выборах депутатов Государственной Думы Федерального Собрания РФ»</w:t>
      </w:r>
      <w:r w:rsidR="009E1FD5" w:rsidRPr="00F71566">
        <w:rPr>
          <w:rFonts w:ascii="Times New Roman" w:hAnsi="Times New Roman"/>
          <w:sz w:val="28"/>
          <w:szCs w:val="28"/>
        </w:rPr>
        <w:t xml:space="preserve"> существуют следующие виды отчётов (см. прил. А табл. А.1).</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Избирательное законодательство устанавливает финансовую отчетность избирательных комиссий о расходовании бюджетных средств на выборы и референдумы. Избирательным комиссиям в бюджетах все средства выделяются по строке «на проведение выборов и референдумов». Поэтому логичен вывод о том, что комиссии должны отчитываться о расходовании всех бюджетных средств. Однако практика идет по пути ограничения содержания финансовой отчетности расходами избирательных комиссий только за период со дня назначения выборов и до дня составления финансового отчета.</w:t>
      </w:r>
      <w:r w:rsidR="00AF5251">
        <w:rPr>
          <w:rFonts w:ascii="Times New Roman" w:hAnsi="Times New Roman"/>
          <w:sz w:val="28"/>
          <w:szCs w:val="28"/>
        </w:rPr>
        <w:t xml:space="preserve"> </w:t>
      </w:r>
      <w:r w:rsidRPr="00F71566">
        <w:rPr>
          <w:rFonts w:ascii="Times New Roman" w:hAnsi="Times New Roman"/>
          <w:sz w:val="28"/>
          <w:szCs w:val="28"/>
        </w:rPr>
        <w:t>До настоящего времени не решены проблемы, связанные с рассмотрением финансовых отчетов. Финансовые отчеты Центральной избирательной комиссии Российской Федерации, избирательных комиссий субъектов Российской Федерации, территориальных избирательных комиссий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местного самоуправления.</w:t>
      </w:r>
      <w:r w:rsidR="00AF5251">
        <w:rPr>
          <w:rFonts w:ascii="Times New Roman" w:hAnsi="Times New Roman"/>
          <w:sz w:val="28"/>
          <w:szCs w:val="28"/>
        </w:rPr>
        <w:t xml:space="preserve"> </w:t>
      </w:r>
      <w:r w:rsidRPr="00F71566">
        <w:rPr>
          <w:rFonts w:ascii="Times New Roman" w:hAnsi="Times New Roman"/>
          <w:sz w:val="28"/>
          <w:szCs w:val="28"/>
        </w:rPr>
        <w:t>Финансовые отчеты участковых и окружных избирательных комиссий не называются. На практике эти отчеты представляются в вышестоящую избирательную комиссию. Органы местного самоуправления, как правило, не получают финансовых отчетов избирательных комиссий.</w:t>
      </w:r>
      <w:r w:rsidR="00AF5251">
        <w:rPr>
          <w:rFonts w:ascii="Times New Roman" w:hAnsi="Times New Roman"/>
          <w:sz w:val="28"/>
          <w:szCs w:val="28"/>
        </w:rPr>
        <w:t xml:space="preserve"> </w:t>
      </w:r>
      <w:r w:rsidRPr="00F71566">
        <w:rPr>
          <w:rFonts w:ascii="Times New Roman" w:hAnsi="Times New Roman"/>
          <w:sz w:val="28"/>
          <w:szCs w:val="28"/>
        </w:rPr>
        <w:t>Участковая избирательная комиссия представляет в вышестоящую территориальную избирательную комиссию отчет о поступлении и расходовании средств федерального бюджета, выделенных данной участковой избирательной комиссии на подготовку и проведение выборов Президента Российской Федерации, не позднее чем через 10 дней со дня голосования (повторного голосования в случае его проведения). Территориальная избирательная комиссия представляет в избирательную комиссию субъекта Российской Федерации отчет о поступлении и расходовании средств федерального бюджета, выделенных данной территориальной избирательной комиссии на подготовку и проведение выборов, не позднее чем через 20 дней со дня голосования (повторного голосования в случае его проведения).</w:t>
      </w:r>
      <w:r w:rsidR="00AF5251">
        <w:rPr>
          <w:rFonts w:ascii="Times New Roman" w:hAnsi="Times New Roman"/>
          <w:sz w:val="28"/>
          <w:szCs w:val="28"/>
        </w:rPr>
        <w:t xml:space="preserve"> </w:t>
      </w:r>
      <w:r w:rsidRPr="00F71566">
        <w:rPr>
          <w:rFonts w:ascii="Times New Roman" w:hAnsi="Times New Roman"/>
          <w:sz w:val="28"/>
          <w:szCs w:val="28"/>
        </w:rPr>
        <w:t>Избирательная комиссия субъекта Российской Федерации представляет в Центральную избирательную комиссию Российской Федерации отчет о поступлении и расходовании средств федерального бюджета, выделенных данной избирательной комиссии субъекта Российской Федерации на подготовку и проведение выборов Президента Российской Федерации, не позднее чем через 50 дней со дня официального опубликования общих результатов выборов Президента Российской Федерации.</w:t>
      </w:r>
      <w:r w:rsidR="00AF5251">
        <w:rPr>
          <w:rFonts w:ascii="Times New Roman" w:hAnsi="Times New Roman"/>
          <w:sz w:val="28"/>
          <w:szCs w:val="28"/>
        </w:rPr>
        <w:t xml:space="preserve"> </w:t>
      </w:r>
      <w:r w:rsidRPr="00F71566">
        <w:rPr>
          <w:rFonts w:ascii="Times New Roman" w:hAnsi="Times New Roman"/>
          <w:sz w:val="28"/>
          <w:szCs w:val="28"/>
        </w:rPr>
        <w:t>Центральная избирательная комиссия Российской Федерации представляет в палаты Федерального Собрания Российской Федерации и передает в средства массовой информации отчет о расходовании средств федерального бюджета, а также сведения о поступлении средств в избирательные фонды кандидатов и расходовании этих средств не позднее чем через три месяца со дня официального опубликования общих результатов выборов Президента Российской Федерации.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w:t>
      </w:r>
      <w:r w:rsidR="00AF5251">
        <w:rPr>
          <w:rFonts w:ascii="Times New Roman" w:hAnsi="Times New Roman"/>
          <w:sz w:val="28"/>
          <w:szCs w:val="28"/>
        </w:rPr>
        <w:t xml:space="preserve"> </w:t>
      </w:r>
      <w:r w:rsidRPr="00F71566">
        <w:rPr>
          <w:rFonts w:ascii="Times New Roman" w:hAnsi="Times New Roman"/>
          <w:sz w:val="28"/>
          <w:szCs w:val="28"/>
        </w:rPr>
        <w:t>официальном печатном органе, а также размещены в сети «Интернет».</w:t>
      </w:r>
    </w:p>
    <w:p w:rsidR="00D230C3" w:rsidRPr="00F71566" w:rsidRDefault="00D230C3" w:rsidP="00F71566">
      <w:pPr>
        <w:pStyle w:val="ConsNormal"/>
        <w:spacing w:line="360" w:lineRule="auto"/>
        <w:ind w:firstLine="709"/>
        <w:jc w:val="both"/>
        <w:rPr>
          <w:rFonts w:ascii="Times New Roman" w:hAnsi="Times New Roman"/>
          <w:sz w:val="28"/>
          <w:szCs w:val="28"/>
        </w:rPr>
      </w:pPr>
      <w:r w:rsidRPr="00AF5251">
        <w:rPr>
          <w:rFonts w:ascii="Times New Roman" w:hAnsi="Times New Roman"/>
          <w:i/>
          <w:sz w:val="28"/>
          <w:szCs w:val="28"/>
        </w:rPr>
        <w:t>Ответственность.</w:t>
      </w:r>
      <w:r w:rsidRPr="00F71566">
        <w:rPr>
          <w:rFonts w:ascii="Times New Roman" w:hAnsi="Times New Roman"/>
          <w:sz w:val="28"/>
          <w:szCs w:val="28"/>
        </w:rPr>
        <w:t xml:space="preserve"> Законодательством предусмотрена юридическая ответственность за правонарушения, связанные с финансирование выборов. В Федеральном законе РФ </w:t>
      </w:r>
      <w:r w:rsidR="00120624" w:rsidRPr="00F71566">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Pr="00F71566">
        <w:rPr>
          <w:rFonts w:ascii="Times New Roman" w:hAnsi="Times New Roman"/>
          <w:sz w:val="28"/>
          <w:szCs w:val="28"/>
        </w:rPr>
        <w:t xml:space="preserve"> речь идет об уголовной, административной либо иной ответственности в соответствии с федеральными законами. Иначе говоря, этот Федеральный закон содержит бланкетную норму, которая отсылает к другим законам, то есть с точки зрения правоприменения эта норма не может работать.</w:t>
      </w:r>
    </w:p>
    <w:p w:rsidR="007509D6"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Мерами государственно-правовой ответственности за правонарушения при финансировании выборов могут быть:</w:t>
      </w:r>
    </w:p>
    <w:p w:rsidR="007509D6" w:rsidRPr="00F71566" w:rsidRDefault="007509D6"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отказ в заверении списков кандидатов, принятии уведомления о выдвижении кандидата в одномандатном избирательном округе;</w:t>
      </w:r>
    </w:p>
    <w:p w:rsidR="007509D6" w:rsidRPr="00F71566" w:rsidRDefault="007509D6"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отказ в приеме подписных листов и других документов на регистрацию кандидата, списка кандидатов;</w:t>
      </w:r>
    </w:p>
    <w:p w:rsidR="007509D6" w:rsidRPr="00F71566" w:rsidRDefault="007509D6"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вынесение предупреждения кандидату, зарегистрированному кандидату, избирательному объединению (блоку), инициативной группе избирателей;</w:t>
      </w:r>
    </w:p>
    <w:p w:rsidR="007509D6" w:rsidRPr="00F71566" w:rsidRDefault="007509D6"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отказ в регистрации кандидата (списка кандидатов);</w:t>
      </w:r>
    </w:p>
    <w:p w:rsidR="007509D6" w:rsidRPr="00F71566" w:rsidRDefault="007509D6"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приостановление регистрации кандидата (списка кандидатов);</w:t>
      </w:r>
    </w:p>
    <w:p w:rsidR="007509D6" w:rsidRPr="00F71566" w:rsidRDefault="007509D6"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отмена регистрации кандидата (списка кандидатов);</w:t>
      </w:r>
    </w:p>
    <w:p w:rsidR="00D230C3" w:rsidRPr="00F71566" w:rsidRDefault="007509D6"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признание выборов недействительными.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Ассигнования на подготовку и проведение выборов и референдумов предусматриваются отдельной строкой в соответствующем бюджете на очередной финансовый год. Главными распорядителями средств, предусмотренных в соответствующих бюджетах на проведение выборов и референдумов, являются комиссии, организующие выборы и референдумы, финансирование которых осуществляется в десятидневный срок со дня официального опубликования (публикации) решения о назначении (проведении) выборов, официального опубликования решения о назначении референдума.</w:t>
      </w:r>
      <w:r w:rsidR="00AF5251">
        <w:rPr>
          <w:rFonts w:ascii="Times New Roman" w:hAnsi="Times New Roman"/>
          <w:sz w:val="28"/>
          <w:szCs w:val="28"/>
        </w:rPr>
        <w:t xml:space="preserve"> </w:t>
      </w:r>
      <w:r w:rsidRPr="00F71566">
        <w:rPr>
          <w:rFonts w:ascii="Times New Roman" w:hAnsi="Times New Roman"/>
          <w:sz w:val="28"/>
          <w:szCs w:val="28"/>
        </w:rPr>
        <w:t>Если финансирование выборов, референдума не осуществляется за счет средств соответствующего бюджета, а также в случае несвоевременного перечисления средств комиссии, организующей выборы, референдум, подготовка и проведение выборов, референдума осуществляются за счет кредитов банков, которые предоставляются на конкурсной основе этой комиссии или избирательной комиссии субъекта Российской Федерации, если избирательная комиссия, организующая выборы в органы местного самоуправления, местный референдум, не является юридическим лицом. При этом допустимый объем расходования средств не может превышать сумму, содержащуюся в отчете избирательной комиссии, комиссии референдума соответствующего уровня о расходовании средств при подготовке и проведении аналогичных предыдущих выборов, референдума, с учетом изменения установленного федеральным законом минимального размера оплаты труда.</w:t>
      </w:r>
      <w:r w:rsidR="00AF5251">
        <w:rPr>
          <w:rFonts w:ascii="Times New Roman" w:hAnsi="Times New Roman"/>
          <w:sz w:val="28"/>
          <w:szCs w:val="28"/>
        </w:rPr>
        <w:t xml:space="preserve"> </w:t>
      </w:r>
      <w:r w:rsidRPr="00F71566">
        <w:rPr>
          <w:rFonts w:ascii="Times New Roman" w:hAnsi="Times New Roman"/>
          <w:sz w:val="28"/>
          <w:szCs w:val="28"/>
        </w:rPr>
        <w:t>Правительство Российской Федерации, соответствующий орган исполнительной власти субъекта Российской Федерации, уполномоченный орган местного самоуправления обязаны в десятидневный срок со дня обращения соответствующей комиссии дать ей государственную или муниципальную гарантию исполнения обязательства возврата кредитных средств, включая начисляемые на них проценты.</w:t>
      </w:r>
      <w:r w:rsidR="00AF5251">
        <w:rPr>
          <w:rFonts w:ascii="Times New Roman" w:hAnsi="Times New Roman"/>
          <w:sz w:val="28"/>
          <w:szCs w:val="28"/>
        </w:rPr>
        <w:t xml:space="preserve"> </w:t>
      </w:r>
      <w:r w:rsidRPr="00F71566">
        <w:rPr>
          <w:rFonts w:ascii="Times New Roman" w:hAnsi="Times New Roman"/>
          <w:sz w:val="28"/>
          <w:szCs w:val="28"/>
        </w:rPr>
        <w:t>Финансирование выборов включает в себя прямое и косвенное финансирование избирательной кампании, а также иное поддающееся финансовой оценке материальное обеспечение подготовки и проведения выборов, не ограниченное рамками избирательной кампании.</w:t>
      </w:r>
      <w:r w:rsidR="00E66A58" w:rsidRPr="00F71566">
        <w:rPr>
          <w:rStyle w:val="a5"/>
          <w:rFonts w:ascii="Times New Roman" w:hAnsi="Times New Roman"/>
          <w:sz w:val="28"/>
          <w:szCs w:val="28"/>
        </w:rPr>
        <w:footnoteReference w:id="4"/>
      </w:r>
      <w:r w:rsidR="00AF5251">
        <w:rPr>
          <w:rFonts w:ascii="Times New Roman" w:hAnsi="Times New Roman"/>
          <w:sz w:val="28"/>
          <w:szCs w:val="28"/>
        </w:rPr>
        <w:t xml:space="preserve"> </w:t>
      </w:r>
      <w:r w:rsidRPr="00F71566">
        <w:rPr>
          <w:rFonts w:ascii="Times New Roman" w:hAnsi="Times New Roman"/>
          <w:sz w:val="28"/>
          <w:szCs w:val="28"/>
        </w:rPr>
        <w:t>Прямое финансирование выборов – обеспечивающие выборы финансовые действия: перечисление, поступление, расходование, учет денежных средств, отчетность и другие действия, влекущие за собой движение бюджетных и иных финансовых ресурсов государства, организаций, граждан.</w:t>
      </w:r>
      <w:r w:rsidR="00803F80" w:rsidRPr="00F71566">
        <w:rPr>
          <w:rStyle w:val="a5"/>
          <w:rFonts w:ascii="Times New Roman" w:hAnsi="Times New Roman"/>
          <w:sz w:val="28"/>
          <w:szCs w:val="28"/>
        </w:rPr>
        <w:footnoteReference w:id="5"/>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Косвенное финансирование выборов связано с оказанием материальной поддержки кандидатам, политическим партиям, предоставлением бесплатного эфирного времени для целей выборов, распространением бесплатной информации о кандидатах, предоставлением налоговых льгот, содержанием избирательных комиссий, информационных систем, направленных на обеспечение выборов.</w:t>
      </w:r>
      <w:r w:rsidR="00803F80" w:rsidRPr="00F71566">
        <w:rPr>
          <w:rStyle w:val="a5"/>
          <w:rFonts w:ascii="Times New Roman" w:hAnsi="Times New Roman"/>
          <w:sz w:val="28"/>
          <w:szCs w:val="28"/>
        </w:rPr>
        <w:footnoteReference w:id="6"/>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Косвенное финансирование</w:t>
      </w:r>
      <w:r w:rsidR="00BF1EE8" w:rsidRPr="00F71566">
        <w:rPr>
          <w:rFonts w:ascii="Times New Roman" w:hAnsi="Times New Roman"/>
          <w:sz w:val="28"/>
          <w:szCs w:val="28"/>
        </w:rPr>
        <w:t xml:space="preserve"> выборов должно регулироваться</w:t>
      </w:r>
      <w:r w:rsidRPr="00F71566">
        <w:rPr>
          <w:rFonts w:ascii="Times New Roman" w:hAnsi="Times New Roman"/>
          <w:sz w:val="28"/>
          <w:szCs w:val="28"/>
        </w:rPr>
        <w:t xml:space="preserve"> с помощью законодательства о финансировании партий, политических фондов и движений, а также законодательства, регулирующего финансирование избирательных комиссий, специальных программ</w:t>
      </w:r>
      <w:r w:rsidR="005055AA" w:rsidRPr="00F71566">
        <w:rPr>
          <w:rFonts w:ascii="Times New Roman" w:hAnsi="Times New Roman"/>
          <w:sz w:val="28"/>
          <w:szCs w:val="28"/>
        </w:rPr>
        <w:t xml:space="preserve"> </w:t>
      </w:r>
      <w:r w:rsidRPr="00F71566">
        <w:rPr>
          <w:rFonts w:ascii="Times New Roman" w:hAnsi="Times New Roman"/>
          <w:sz w:val="28"/>
          <w:szCs w:val="28"/>
        </w:rPr>
        <w:t>и организаций, связанных напрямую с решением проблем выборов и избирательного пр</w:t>
      </w:r>
      <w:r w:rsidR="00BF1EE8" w:rsidRPr="00F71566">
        <w:rPr>
          <w:rFonts w:ascii="Times New Roman" w:hAnsi="Times New Roman"/>
          <w:sz w:val="28"/>
          <w:szCs w:val="28"/>
        </w:rPr>
        <w:t>ава</w:t>
      </w:r>
      <w:r w:rsidRPr="00F71566">
        <w:rPr>
          <w:rFonts w:ascii="Times New Roman" w:hAnsi="Times New Roman"/>
          <w:sz w:val="28"/>
          <w:szCs w:val="28"/>
        </w:rPr>
        <w:t>.</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Прямое финансирование подлежит регламентации через специальные законы о финансировании выборов.</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Проблемы модели финансирования выборов связаны с отношением к государственному и негосударственному финансированию. Теоретически существуют два разных пути решения проблемы:</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Первый – запрещение негосударственного финансирования в любой форме.</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Второй – сочетание государственного и негосударственного финансирования выборов.</w:t>
      </w:r>
      <w:r w:rsidR="00BF1EE8" w:rsidRPr="00F71566">
        <w:rPr>
          <w:rFonts w:ascii="Times New Roman" w:hAnsi="Times New Roman"/>
          <w:sz w:val="28"/>
          <w:szCs w:val="28"/>
        </w:rPr>
        <w:t xml:space="preserve"> Я</w:t>
      </w:r>
      <w:r w:rsidRPr="00F71566">
        <w:rPr>
          <w:rFonts w:ascii="Times New Roman" w:hAnsi="Times New Roman"/>
          <w:sz w:val="28"/>
          <w:szCs w:val="28"/>
        </w:rPr>
        <w:t>вляется наиболее приемлемым для избирательного права России. Опыт зарубежных стран показывает, что государство так или иначе участвует в финансировании выборов, прямо или косвенно субсидирует партии, средства массовой информации, политические фонды в связи с их участием в выборах. К тому же этот путь позволяет использовать негосударственные средства, уменьшая тем самым нагрузку на бюджеты.</w:t>
      </w:r>
    </w:p>
    <w:p w:rsidR="004C1FB0" w:rsidRDefault="004C1FB0" w:rsidP="00F71566">
      <w:pPr>
        <w:pStyle w:val="ConsNormal"/>
        <w:spacing w:line="360" w:lineRule="auto"/>
        <w:ind w:firstLine="709"/>
        <w:jc w:val="both"/>
        <w:rPr>
          <w:rFonts w:ascii="Times New Roman" w:hAnsi="Times New Roman"/>
          <w:sz w:val="28"/>
          <w:szCs w:val="28"/>
        </w:rPr>
      </w:pPr>
    </w:p>
    <w:p w:rsidR="00D230C3" w:rsidRPr="004C1FB0" w:rsidRDefault="00583A1D" w:rsidP="00F71566">
      <w:pPr>
        <w:pStyle w:val="ConsNormal"/>
        <w:spacing w:line="360" w:lineRule="auto"/>
        <w:ind w:firstLine="709"/>
        <w:jc w:val="both"/>
        <w:rPr>
          <w:rFonts w:ascii="Times New Roman" w:hAnsi="Times New Roman"/>
          <w:b/>
          <w:bCs/>
          <w:sz w:val="28"/>
          <w:szCs w:val="28"/>
        </w:rPr>
      </w:pPr>
      <w:r w:rsidRPr="004C1FB0">
        <w:rPr>
          <w:rFonts w:ascii="Times New Roman" w:hAnsi="Times New Roman"/>
          <w:b/>
          <w:bCs/>
          <w:sz w:val="28"/>
          <w:szCs w:val="28"/>
        </w:rPr>
        <w:t>2</w:t>
      </w:r>
      <w:r w:rsidR="00D230C3" w:rsidRPr="004C1FB0">
        <w:rPr>
          <w:rFonts w:ascii="Times New Roman" w:hAnsi="Times New Roman"/>
          <w:b/>
          <w:bCs/>
          <w:sz w:val="28"/>
          <w:szCs w:val="28"/>
        </w:rPr>
        <w:t xml:space="preserve"> Избирательные фонды кандид</w:t>
      </w:r>
      <w:r w:rsidR="00E66727" w:rsidRPr="004C1FB0">
        <w:rPr>
          <w:rFonts w:ascii="Times New Roman" w:hAnsi="Times New Roman"/>
          <w:b/>
          <w:bCs/>
          <w:sz w:val="28"/>
          <w:szCs w:val="28"/>
        </w:rPr>
        <w:t>атов, избирательных объединений</w:t>
      </w:r>
      <w:r w:rsidR="004C1FB0" w:rsidRPr="004C1FB0">
        <w:rPr>
          <w:rFonts w:ascii="Times New Roman" w:hAnsi="Times New Roman"/>
          <w:b/>
          <w:bCs/>
          <w:sz w:val="28"/>
          <w:szCs w:val="28"/>
        </w:rPr>
        <w:t xml:space="preserve"> </w:t>
      </w:r>
      <w:r w:rsidR="00D230C3" w:rsidRPr="004C1FB0">
        <w:rPr>
          <w:rFonts w:ascii="Times New Roman" w:hAnsi="Times New Roman"/>
          <w:b/>
          <w:bCs/>
          <w:sz w:val="28"/>
          <w:szCs w:val="28"/>
        </w:rPr>
        <w:t>(бло</w:t>
      </w:r>
      <w:r w:rsidR="00E66727" w:rsidRPr="004C1FB0">
        <w:rPr>
          <w:rFonts w:ascii="Times New Roman" w:hAnsi="Times New Roman"/>
          <w:b/>
          <w:bCs/>
          <w:sz w:val="28"/>
          <w:szCs w:val="28"/>
        </w:rPr>
        <w:t>ков)</w:t>
      </w:r>
    </w:p>
    <w:p w:rsidR="00D230C3" w:rsidRPr="00F71566" w:rsidRDefault="00D230C3" w:rsidP="00F71566">
      <w:pPr>
        <w:pStyle w:val="af3"/>
        <w:spacing w:after="0" w:line="360" w:lineRule="auto"/>
        <w:ind w:left="0" w:firstLine="709"/>
        <w:jc w:val="both"/>
        <w:rPr>
          <w:sz w:val="28"/>
          <w:szCs w:val="28"/>
        </w:rPr>
      </w:pPr>
    </w:p>
    <w:p w:rsidR="00D230C3" w:rsidRPr="00F71566" w:rsidRDefault="00D230C3" w:rsidP="00F71566">
      <w:pPr>
        <w:pStyle w:val="af3"/>
        <w:spacing w:after="0" w:line="360" w:lineRule="auto"/>
        <w:ind w:left="0" w:firstLine="709"/>
        <w:jc w:val="both"/>
        <w:rPr>
          <w:sz w:val="28"/>
          <w:szCs w:val="28"/>
        </w:rPr>
      </w:pPr>
      <w:r w:rsidRPr="00F71566">
        <w:rPr>
          <w:sz w:val="28"/>
          <w:szCs w:val="28"/>
        </w:rPr>
        <w:t>Для кандидата или избирательного объединения (блока) процесс финансирования начинается с создания избирательного фонда. Кандидаты обязаны создавать избирательные фонды в течение четко установленного законом времени, а именно: в период после письменного уведомления соответствующей избирательной комиссии об их выдвижении (самовыдвижении) до их регистрации этой избирательной комиссией. Избирательные объединения (блоки), выдвинувшие списки кандидатов, должны создавать избирательные фонды после регистрации их уполномоченных представителей, в том числе по финансовым вопросам, соответствующими избирательными комиссиями.</w:t>
      </w:r>
    </w:p>
    <w:p w:rsidR="008468C5" w:rsidRPr="00F71566" w:rsidRDefault="00D230C3" w:rsidP="00F71566">
      <w:pPr>
        <w:spacing w:line="360" w:lineRule="auto"/>
        <w:ind w:firstLine="709"/>
        <w:jc w:val="both"/>
        <w:rPr>
          <w:sz w:val="28"/>
          <w:szCs w:val="28"/>
        </w:rPr>
      </w:pPr>
      <w:r w:rsidRPr="00F71566">
        <w:rPr>
          <w:sz w:val="28"/>
          <w:szCs w:val="28"/>
        </w:rPr>
        <w:t>Избирательный фонд – это денежные средства на специальном избирательном счете кандидата, зарегистрированного кандидата, избирательного объединения (блока), которые аккумулируются и расходуются в установленном законодательст</w:t>
      </w:r>
      <w:r w:rsidR="008468C5" w:rsidRPr="00F71566">
        <w:rPr>
          <w:sz w:val="28"/>
          <w:szCs w:val="28"/>
        </w:rPr>
        <w:t>вом порядке.</w:t>
      </w:r>
      <w:r w:rsidR="001467B9" w:rsidRPr="00F71566">
        <w:rPr>
          <w:rStyle w:val="a5"/>
          <w:sz w:val="28"/>
          <w:szCs w:val="28"/>
        </w:rPr>
        <w:footnoteReference w:id="7"/>
      </w:r>
    </w:p>
    <w:p w:rsidR="00D230C3" w:rsidRPr="00F71566" w:rsidRDefault="00D230C3" w:rsidP="00F71566">
      <w:pPr>
        <w:spacing w:line="360" w:lineRule="auto"/>
        <w:ind w:firstLine="709"/>
        <w:jc w:val="both"/>
        <w:rPr>
          <w:sz w:val="28"/>
          <w:szCs w:val="28"/>
        </w:rPr>
      </w:pPr>
      <w:r w:rsidRPr="00F71566">
        <w:rPr>
          <w:sz w:val="28"/>
          <w:szCs w:val="28"/>
        </w:rPr>
        <w:t>Избирательный фонд – публично-правовое образование, имеющее строго целевое назначение и временный характер.</w:t>
      </w:r>
      <w:r w:rsidR="001467B9" w:rsidRPr="00F71566">
        <w:rPr>
          <w:rStyle w:val="a5"/>
          <w:sz w:val="28"/>
          <w:szCs w:val="28"/>
        </w:rPr>
        <w:footnoteReference w:id="8"/>
      </w:r>
      <w:r w:rsidRPr="00F71566">
        <w:rPr>
          <w:sz w:val="28"/>
          <w:szCs w:val="28"/>
        </w:rPr>
        <w:t xml:space="preserve"> Поэтому вопросы владения, пользования и распоряжения избирательным фондом не могут регулироваться гражданским правом, а составляют предмет специального правового регулирования средствами избирательного и финансового права. Кандидат не является собственником избирательного фонда, но управляет им сам либо поручает управление своему представителю.</w:t>
      </w:r>
    </w:p>
    <w:p w:rsidR="00D230C3" w:rsidRPr="00F71566" w:rsidRDefault="001467B9" w:rsidP="00F71566">
      <w:pPr>
        <w:spacing w:line="360" w:lineRule="auto"/>
        <w:ind w:firstLine="709"/>
        <w:jc w:val="both"/>
        <w:rPr>
          <w:sz w:val="28"/>
          <w:szCs w:val="28"/>
        </w:rPr>
      </w:pPr>
      <w:r w:rsidRPr="00F71566">
        <w:rPr>
          <w:sz w:val="28"/>
          <w:szCs w:val="28"/>
        </w:rPr>
        <w:t>П</w:t>
      </w:r>
      <w:r w:rsidR="00D230C3" w:rsidRPr="00F71566">
        <w:rPr>
          <w:sz w:val="28"/>
          <w:szCs w:val="28"/>
        </w:rPr>
        <w:t>редусмотрено четыре вида избирательных фондов: избирательный фонд кандидата в депутаты Государственной Думы; избирательный фонд избирательного объединения; избирательный фонд избирательного блока; избирательный фонд кандидата в Президенты Российской Федерации. Первые три создаются на парламентских выборах, последний – на президентских.</w:t>
      </w:r>
      <w:r w:rsidR="004C1FB0">
        <w:rPr>
          <w:sz w:val="28"/>
          <w:szCs w:val="28"/>
        </w:rPr>
        <w:t xml:space="preserve"> </w:t>
      </w:r>
      <w:r w:rsidR="00D230C3" w:rsidRPr="00F71566">
        <w:rPr>
          <w:sz w:val="28"/>
          <w:szCs w:val="28"/>
        </w:rPr>
        <w:t>Избирательные фонды имеют временный характер и строго целевое назначение. В них должны аккумулироваться все средства, затрачиваемые на избирательные кампании всеми участниками выборов, кроме избирательных комиссий.</w:t>
      </w:r>
      <w:r w:rsidR="004C1FB0">
        <w:rPr>
          <w:sz w:val="28"/>
          <w:szCs w:val="28"/>
        </w:rPr>
        <w:t xml:space="preserve"> </w:t>
      </w:r>
      <w:r w:rsidR="00D230C3" w:rsidRPr="00F71566">
        <w:rPr>
          <w:sz w:val="28"/>
          <w:szCs w:val="28"/>
        </w:rPr>
        <w:t>Избирательный фонд создается, функционирует и ликвидируется в установленном порядке.</w:t>
      </w:r>
      <w:r w:rsidR="004C1FB0">
        <w:rPr>
          <w:sz w:val="28"/>
          <w:szCs w:val="28"/>
        </w:rPr>
        <w:t xml:space="preserve"> </w:t>
      </w:r>
      <w:r w:rsidR="00D230C3" w:rsidRPr="00F71566">
        <w:rPr>
          <w:sz w:val="28"/>
          <w:szCs w:val="28"/>
        </w:rPr>
        <w:t>Ответственность за поступление и расходование средств фонда несет кандидат, его полномочный представитель, а на выборах в Государственную Думу по общефедеральному округу – избирательное объединение (блок). При этом юридическая ответственность до настоящего времени не определена.</w:t>
      </w:r>
    </w:p>
    <w:p w:rsidR="00D230C3" w:rsidRPr="00F71566" w:rsidRDefault="00D230C3" w:rsidP="00F71566">
      <w:pPr>
        <w:spacing w:line="360" w:lineRule="auto"/>
        <w:ind w:firstLine="709"/>
        <w:jc w:val="both"/>
        <w:rPr>
          <w:sz w:val="28"/>
          <w:szCs w:val="28"/>
        </w:rPr>
      </w:pPr>
      <w:r w:rsidRPr="00F71566">
        <w:rPr>
          <w:sz w:val="28"/>
          <w:szCs w:val="28"/>
        </w:rPr>
        <w:t>Следует сказать, что кандидаты вправе, а избирательные объединения и избирательные блоки обязаны назначать уполномоченных представителей по финансовым вопросам, которые затем регистрируются соответствующей избирательной комиссией. Для этого кандидат, представитель избирательного объединения, избирательного блока представляет в избирательную комиссию заявление о назначении уполномоченным представителем по финансовым вопросам определенного физического лица, а последнее в письменной форме дает согласие на выполнение своих обязанностей. Возможно назначение нескольких представителей по финансовым вопросам.</w:t>
      </w:r>
      <w:r w:rsidR="004C1FB0">
        <w:rPr>
          <w:sz w:val="28"/>
          <w:szCs w:val="28"/>
        </w:rPr>
        <w:t xml:space="preserve"> </w:t>
      </w:r>
      <w:r w:rsidRPr="00F71566">
        <w:rPr>
          <w:sz w:val="28"/>
          <w:szCs w:val="28"/>
        </w:rPr>
        <w:t>Для создания избирательного фонда в избирательную комиссию должно быть направлено уведомление от кандидата, представителя избирательного объединения (блока) в котором сообщается о намерении создать избирательный фонд путем открытия специального избирательного счета. Согласно Постановлению избирательной комиссии Белгородской области «О порядке открытия и ведения специальных счетов, учета средств избирательных фондов, фондов референдума, фондов отзыва и отчетности по этим средствам» кандидат после письменного уведомления соответствующей окружной избирательной комиссии о его выдвижении до начала сбора подписей избирателей в поддержку его выдвижения, но не позднее</w:t>
      </w:r>
      <w:r w:rsidR="00E20F61" w:rsidRPr="00F71566">
        <w:rPr>
          <w:sz w:val="28"/>
          <w:szCs w:val="28"/>
        </w:rPr>
        <w:t>,</w:t>
      </w:r>
      <w:r w:rsidRPr="00F71566">
        <w:rPr>
          <w:sz w:val="28"/>
          <w:szCs w:val="28"/>
        </w:rPr>
        <w:t xml:space="preserve"> чем за пять дней до дня представления в окружную избирательную комиссию документов для его регистрации, обращается в избирательную комиссию с заявлением по форме № 1 о выдаче разрешения на открытие специального счета с указанием реквизитов филиала Сберегательного банка. Рассмотрев уведомление, соответствующая избирательная комиссия дает разрешение на открытие специального избирательного счета, куда перечисляются все денежные средства, образующие избирательный фонд. Счет может быть открыт самим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блока в филиалах Сберегательного банка РФ, а при их отсутствии – в других кредитных организациях, расположенных на территории избирательного округа, по согласованию с соответствующей избирательной комиссией.</w:t>
      </w:r>
    </w:p>
    <w:p w:rsidR="00D230C3" w:rsidRPr="00F71566" w:rsidRDefault="00D230C3" w:rsidP="00F71566">
      <w:pPr>
        <w:spacing w:line="360" w:lineRule="auto"/>
        <w:ind w:firstLine="709"/>
        <w:jc w:val="both"/>
        <w:rPr>
          <w:sz w:val="28"/>
          <w:szCs w:val="28"/>
        </w:rPr>
      </w:pPr>
      <w:r w:rsidRPr="00F71566">
        <w:rPr>
          <w:sz w:val="28"/>
          <w:szCs w:val="28"/>
        </w:rPr>
        <w:t>Основаниями открытия счета на федеральных выборах являются:</w:t>
      </w:r>
    </w:p>
    <w:p w:rsidR="00D230C3" w:rsidRPr="00F71566" w:rsidRDefault="00E20F61" w:rsidP="00F71566">
      <w:pPr>
        <w:spacing w:line="360" w:lineRule="auto"/>
        <w:ind w:firstLine="709"/>
        <w:jc w:val="both"/>
        <w:rPr>
          <w:sz w:val="28"/>
          <w:szCs w:val="28"/>
        </w:rPr>
      </w:pPr>
      <w:r w:rsidRPr="00F71566">
        <w:rPr>
          <w:sz w:val="28"/>
          <w:szCs w:val="28"/>
        </w:rPr>
        <w:t>-</w:t>
      </w:r>
      <w:r w:rsidR="00D230C3" w:rsidRPr="00F71566">
        <w:rPr>
          <w:sz w:val="28"/>
          <w:szCs w:val="28"/>
        </w:rPr>
        <w:t xml:space="preserve"> наличие заверенной Центральной избирательной комиссией Российской Федерации копии списка кандидатов;</w:t>
      </w:r>
    </w:p>
    <w:p w:rsidR="00D230C3" w:rsidRPr="00F71566" w:rsidRDefault="00E20F61" w:rsidP="00F71566">
      <w:pPr>
        <w:spacing w:line="360" w:lineRule="auto"/>
        <w:ind w:firstLine="709"/>
        <w:jc w:val="both"/>
        <w:rPr>
          <w:sz w:val="28"/>
          <w:szCs w:val="28"/>
        </w:rPr>
      </w:pPr>
      <w:r w:rsidRPr="00F71566">
        <w:rPr>
          <w:sz w:val="28"/>
          <w:szCs w:val="28"/>
        </w:rPr>
        <w:t>-</w:t>
      </w:r>
      <w:r w:rsidR="00D230C3" w:rsidRPr="00F71566">
        <w:rPr>
          <w:sz w:val="28"/>
          <w:szCs w:val="28"/>
        </w:rPr>
        <w:t xml:space="preserve"> заявление в банк уполномоченного представителя избирательного объединения (блока) по финансовым вопросам, назначенного избирательным объединением;</w:t>
      </w:r>
    </w:p>
    <w:p w:rsidR="00D230C3" w:rsidRPr="00F71566" w:rsidRDefault="00E20F61" w:rsidP="00F71566">
      <w:pPr>
        <w:spacing w:line="360" w:lineRule="auto"/>
        <w:ind w:firstLine="709"/>
        <w:jc w:val="both"/>
        <w:rPr>
          <w:sz w:val="28"/>
          <w:szCs w:val="28"/>
        </w:rPr>
      </w:pPr>
      <w:r w:rsidRPr="00F71566">
        <w:rPr>
          <w:sz w:val="28"/>
          <w:szCs w:val="28"/>
        </w:rPr>
        <w:t>-</w:t>
      </w:r>
      <w:r w:rsidR="00D230C3" w:rsidRPr="00F71566">
        <w:rPr>
          <w:sz w:val="28"/>
          <w:szCs w:val="28"/>
        </w:rPr>
        <w:t xml:space="preserve"> карточки (2 экз.) с образцами подписей и оттиском печати избирательного объединения, которые также должны быть заверены в Центральной избирательной комиссии Российской Федерации;</w:t>
      </w:r>
    </w:p>
    <w:p w:rsidR="00D230C3" w:rsidRPr="00F71566" w:rsidRDefault="00E20F61" w:rsidP="00F71566">
      <w:pPr>
        <w:spacing w:line="360" w:lineRule="auto"/>
        <w:ind w:firstLine="709"/>
        <w:jc w:val="both"/>
        <w:rPr>
          <w:sz w:val="28"/>
          <w:szCs w:val="28"/>
        </w:rPr>
      </w:pPr>
      <w:r w:rsidRPr="00F71566">
        <w:rPr>
          <w:sz w:val="28"/>
          <w:szCs w:val="28"/>
        </w:rPr>
        <w:t>-</w:t>
      </w:r>
      <w:r w:rsidR="00D230C3" w:rsidRPr="00F71566">
        <w:rPr>
          <w:sz w:val="28"/>
          <w:szCs w:val="28"/>
        </w:rPr>
        <w:t xml:space="preserve"> разрешение Центральной избирательной комиссии Российской Федерации на открытие счета, которое на практике имеет форму обращения Центральной избирательной комиссии Российской Федерации в отделение Сбербанка Российской Федерации, подписываемого Председателем или Заместителем председателя Комиссии.</w:t>
      </w:r>
    </w:p>
    <w:p w:rsidR="00D230C3" w:rsidRPr="00F71566" w:rsidRDefault="00D230C3" w:rsidP="00F71566">
      <w:pPr>
        <w:spacing w:line="360" w:lineRule="auto"/>
        <w:ind w:firstLine="709"/>
        <w:jc w:val="both"/>
        <w:rPr>
          <w:sz w:val="28"/>
          <w:szCs w:val="28"/>
        </w:rPr>
      </w:pPr>
      <w:r w:rsidRPr="00F71566">
        <w:rPr>
          <w:sz w:val="28"/>
          <w:szCs w:val="28"/>
        </w:rPr>
        <w:t>Создание избирательного фонда является обязательным при проведении избирательной кампании. Закон устанавливает два исключения, когда он может не формироваться.</w:t>
      </w:r>
    </w:p>
    <w:p w:rsidR="00D230C3" w:rsidRPr="00F71566" w:rsidRDefault="00D230C3" w:rsidP="00F71566">
      <w:pPr>
        <w:spacing w:line="360" w:lineRule="auto"/>
        <w:ind w:firstLine="709"/>
        <w:jc w:val="both"/>
        <w:rPr>
          <w:sz w:val="28"/>
          <w:szCs w:val="28"/>
        </w:rPr>
      </w:pPr>
      <w:r w:rsidRPr="00F71566">
        <w:rPr>
          <w:sz w:val="28"/>
          <w:szCs w:val="28"/>
        </w:rPr>
        <w:t>Во-первых, при поведении выборов в органы местного самоуправления законом субъекта федерации может быть установлено, что кандидат вправе не создавать избирательный фонд при определенном числе избирателей в избирательном округе (но не более пяти тысяч избирателей), если он не будет проводить финансирование своей избирательной кампании. В данном случае кандидат должен в письменной форме уведомить об этом избирательную комиссию.</w:t>
      </w:r>
    </w:p>
    <w:p w:rsidR="00D230C3" w:rsidRPr="00F71566" w:rsidRDefault="00D230C3" w:rsidP="00F71566">
      <w:pPr>
        <w:spacing w:line="360" w:lineRule="auto"/>
        <w:ind w:firstLine="709"/>
        <w:jc w:val="both"/>
        <w:rPr>
          <w:sz w:val="28"/>
          <w:szCs w:val="28"/>
        </w:rPr>
      </w:pPr>
      <w:r w:rsidRPr="00F71566">
        <w:rPr>
          <w:sz w:val="28"/>
          <w:szCs w:val="28"/>
        </w:rPr>
        <w:t>Во-вторых, кандидаты, баллотирующиеся только в составе списка кандидатов, выдвинутого избирательным объединением, блоком, не имеют права создавать собственные избирательные фонды.</w:t>
      </w:r>
    </w:p>
    <w:p w:rsidR="00D230C3" w:rsidRPr="00F71566" w:rsidRDefault="00D230C3" w:rsidP="00F71566">
      <w:pPr>
        <w:spacing w:line="360" w:lineRule="auto"/>
        <w:ind w:firstLine="709"/>
        <w:jc w:val="both"/>
        <w:rPr>
          <w:sz w:val="28"/>
          <w:szCs w:val="28"/>
        </w:rPr>
      </w:pPr>
      <w:r w:rsidRPr="00F71566">
        <w:rPr>
          <w:sz w:val="28"/>
          <w:szCs w:val="28"/>
        </w:rPr>
        <w:t xml:space="preserve">После открытия специального избирательного счета начинается непосредственно формирование избирательного фонда путем поступления денежных средств от лиц, исчерпывающий перечень которых дан в законе. В соответствии с п. 5 ст. 58 Федеральным законом РФ </w:t>
      </w:r>
      <w:r w:rsidR="00E20F61" w:rsidRPr="00F71566">
        <w:rPr>
          <w:sz w:val="28"/>
          <w:szCs w:val="28"/>
        </w:rPr>
        <w:t>«Об основных гарантиях избирательных прав и права на участие в референдуме граждан Российской Федерации»</w:t>
      </w:r>
      <w:r w:rsidRPr="00F71566">
        <w:rPr>
          <w:sz w:val="28"/>
          <w:szCs w:val="28"/>
        </w:rPr>
        <w:t xml:space="preserve"> фонды кандидатов, избирательных объединений и блоков могут создаваться за счет:</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 собственных средств кандидата, избирательного объединения, избирательного блока;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б) средств, выделенных кандидату выдвинувшим его избирательным объединением, избирательным блоком;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в) добровольных пожертвований граждан;</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г) добровольных пожертвований юридических лиц;</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д) средств, выделенных кандидату, избирательному объединению, избирательному блоку соответствующей избирательной комиссией, в случае, если это предусмотрено законом.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Запрещается вносить пожертвования в избирательные фонды кандидатов, зарегистрированных кандидатов, избирательных объединений, избирательных блоков, в фонды референдума: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 иностранным государствам и иностранным юридическим лицам;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б) иностранным гражданам, за исключением случая, предусмотренного пунктом 10 статьи 4 настоящего Федерального закона;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в) лицам без гражданства;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г) гражданам Российской Федерации, не достигшим возраста 18 лет на день голосования;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д) российским юридическим лицам с иностранным участием, если доля иностранного участия в их уставном (складочном) капитале превышает 30 процентов на день официального опубликования (публикации) решения о назначении (проведении) выборов, официального опубликования решения о назначении референдума (для открытых акционерных обществ </w:t>
      </w:r>
      <w:r w:rsidR="006C3A26" w:rsidRPr="00F71566">
        <w:rPr>
          <w:rFonts w:ascii="Times New Roman" w:hAnsi="Times New Roman"/>
          <w:sz w:val="28"/>
          <w:szCs w:val="28"/>
        </w:rPr>
        <w:t>–</w:t>
      </w:r>
      <w:r w:rsidRPr="00F71566">
        <w:rPr>
          <w:rFonts w:ascii="Times New Roman" w:hAnsi="Times New Roman"/>
          <w:sz w:val="28"/>
          <w:szCs w:val="28"/>
        </w:rPr>
        <w:t xml:space="preserve"> на день составления списка акционеров за предыдущий год);</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е) международным организациям и международным общественным движениям;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ж) органам государственной власти и органам местного самоуправления;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з) государственным и муниципальным учреждениям и организациям;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и) юридическим лицам, имеющим государственную и (или) муниципальную долю в уставном (складочном) капитале, превышающую 30 процентов на день официального опубликования (публикации) решения о назначении (проведении) выборов, официального опубликования решения о назначении референдума;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к) организациям, учрежденным государственными и муниципальными органами, а также организациям, учрежденным юридическими лицами, указанными в подпунктах «д» и «и» настоящего пункта;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л) воинским частям, военным учреждениям и организациям, правоохранительным органам;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м) благотворительным организациям, религиозным объединениям и учрежденным ими организациям;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н) анонимным жертвователям (гражданин рассматривается как анонимный жертвователь, если им не указано любое из следующих сведений: фамилия, имя, отчество, адрес места жительства или если им указаны недостоверные сведения о себе; юридическое лицо рассматривается как анонимный жертвователь, если им не указано любое из следующих сведений: идентификационный номер налогоплательщика, название, банковские реквизиты или если указаны недостоверные сведения);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о) юридическим лицам, зарегистрированным менее чем за один год до дня голосования на выборах, референдуме.</w:t>
      </w:r>
    </w:p>
    <w:p w:rsidR="00D230C3" w:rsidRPr="004C1FB0" w:rsidRDefault="00D230C3" w:rsidP="004C1FB0">
      <w:pPr>
        <w:pStyle w:val="af3"/>
        <w:spacing w:after="0" w:line="360" w:lineRule="auto"/>
        <w:ind w:left="0" w:firstLine="709"/>
        <w:jc w:val="both"/>
        <w:rPr>
          <w:sz w:val="28"/>
          <w:szCs w:val="28"/>
        </w:rPr>
      </w:pPr>
      <w:r w:rsidRPr="004C1FB0">
        <w:rPr>
          <w:sz w:val="28"/>
          <w:szCs w:val="28"/>
        </w:rPr>
        <w:t>Иностранные физические и юридические лица, а также лица без гражданства не имеют права участвовать в управлении делами государства, а предоставление им возможности финансировать избирательную кампанию того или иного кандидата путем перечисления пожертвований в дальнейшем может привести к оказанию ими неправомерного влияния на избранного представителя государственной власти. Что касается государственных органов и органов местного самоуправления, учрежденных ими организаций, государственных и муниципальных учреждений, воинских частей, то они лишены права участвовать в целях недопущения нарушений принципа равенства кандидатов.</w:t>
      </w:r>
      <w:r w:rsidR="004C1FB0" w:rsidRPr="004C1FB0">
        <w:rPr>
          <w:sz w:val="28"/>
          <w:szCs w:val="28"/>
        </w:rPr>
        <w:t xml:space="preserve"> </w:t>
      </w:r>
      <w:r w:rsidRPr="004C1FB0">
        <w:rPr>
          <w:sz w:val="28"/>
          <w:szCs w:val="28"/>
        </w:rPr>
        <w:t>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При внесении пожертвования юридическим лицом в платежном поручении указываются следующие сведения: идентификационный номер налогоплательщика, название, дата регистрации, банковские реквизиты, отметка об отсутствии государственной или муниципальной доли в уставном (складочном) капитале либо о наличии такой доли с указанием ее размера, отметка об отсутствии иностранного участия в уставном (складочном) капитале либо о наличии такого участия с указанием доли этого участия, сведения об отсутствии в числе учредителей государственных и муниципальных органов, а также юридических лиц, указанных в подпунктах «д» и «и» пункта 6 настоящей статьи.</w:t>
      </w:r>
      <w:r w:rsidR="004C1FB0">
        <w:rPr>
          <w:rFonts w:ascii="Times New Roman" w:hAnsi="Times New Roman"/>
          <w:sz w:val="28"/>
          <w:szCs w:val="28"/>
        </w:rPr>
        <w:t xml:space="preserve"> </w:t>
      </w:r>
      <w:r w:rsidRPr="00F71566">
        <w:rPr>
          <w:rFonts w:ascii="Times New Roman" w:hAnsi="Times New Roman"/>
          <w:sz w:val="28"/>
          <w:szCs w:val="28"/>
        </w:rPr>
        <w:t>Пожертвования, указанные в пункте 6 настоящей статьи, пожертвования, внесенные с нарушением требований пунктов 7 и 8 настоящей статьи, или часть пожертвования, превышающая установленный законом размер, подлежат возврату жертвователям, а пожертвования, внесенные анонимными жертвователями, - перечислению в доход соответствующего бюджета.</w:t>
      </w:r>
      <w:r w:rsidR="004C1FB0">
        <w:rPr>
          <w:rFonts w:ascii="Times New Roman" w:hAnsi="Times New Roman"/>
          <w:sz w:val="28"/>
          <w:szCs w:val="28"/>
        </w:rPr>
        <w:t xml:space="preserve"> </w:t>
      </w:r>
      <w:r w:rsidRPr="00F71566">
        <w:rPr>
          <w:rFonts w:ascii="Times New Roman" w:hAnsi="Times New Roman"/>
          <w:sz w:val="28"/>
          <w:szCs w:val="28"/>
        </w:rPr>
        <w:t>Законом устанавливаются предельные размеры перечисляемых в избирательные фонды собственных средств кандидата, избирательного объединения, избирательного блока, средств, выделенных кандидату выдвинувшим его избирательным объединением, избирательным блоком,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пунктом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C10020"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Говоря о порядке наполнения избирательного фонда следует отметить, что соответствующим законом (в зависимости от вида проводимых выборов это может быть федеральный закон либо закон субъекта федерации) устанавливаются предельные размеры следующих средств:</w:t>
      </w:r>
    </w:p>
    <w:p w:rsidR="00C10020" w:rsidRPr="00F71566" w:rsidRDefault="00C10020"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перечисляемых в избирательные фонды непосредственно кандидатом, избирательным объединением, избирательным блоком;</w:t>
      </w:r>
    </w:p>
    <w:p w:rsidR="00C10020" w:rsidRPr="00F71566" w:rsidRDefault="00C10020"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выделяемых кандидату выдвинувшим его избирательным объединением, избирательным блоком;</w:t>
      </w:r>
    </w:p>
    <w:p w:rsidR="00C10020" w:rsidRPr="00F71566" w:rsidRDefault="00C10020"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добровольных пожертвований граждан и юридических лиц;</w:t>
      </w:r>
    </w:p>
    <w:p w:rsidR="00D230C3" w:rsidRPr="00F71566" w:rsidRDefault="00C10020"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 </w:t>
      </w:r>
      <w:r w:rsidR="00D230C3" w:rsidRPr="00F71566">
        <w:rPr>
          <w:rFonts w:ascii="Times New Roman" w:hAnsi="Times New Roman"/>
          <w:sz w:val="28"/>
          <w:szCs w:val="28"/>
        </w:rPr>
        <w:t>предельные размеры расходования средств избирательных фондов.</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Согласно Федеральному закону РФ «О выборах депутатов Государственной Думы Федерального Собрания РФ» избирательные фонды кандидатов, выдвинутых по одномандатным избирательным округам, могут формироваться только за счет следующих денежных средств:</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2) средств, которые выделены кандидату выдвинувшей его политической партией (не из средств избирательного фонда политической партии), политическими партиями, иными общероссийскими общественными объединениями, входящими в выдвинувший его избирательный блок (не из средств избирательного фонда избирательного блока),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Федеральным законом, для каждого гражданина, юридического лица.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Предельная сумма всех расходов из средств избирательного фонда кандидата не может превышать 6 миллионов рублей.</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Избирательные фонды политических партий, избирательных блоков могут формироваться только за счет следующих денежных средств:</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1) собственных средств политической партии, избирательного блока, которые не могут превышать 50 процентов от предельной суммы всех расходов из средств избирательного фонда политической партии, избирательного блока, установленной в соответствии с настоящим Федеральным законом. Собственные средства избирательного блока образуются из совокупной суммы средств, передаваемых данному избирательному блоку создавшими его политическими партиями, иными общероссийскими общественными объединениями;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2) добровольных пожертвований граждан и юридических лиц. Размер добровольного пожертвования не може</w:t>
      </w:r>
      <w:r w:rsidR="00C10020" w:rsidRPr="00F71566">
        <w:rPr>
          <w:rFonts w:ascii="Times New Roman" w:hAnsi="Times New Roman"/>
          <w:sz w:val="28"/>
          <w:szCs w:val="28"/>
        </w:rPr>
        <w:t xml:space="preserve">т превышать соответственно 0,07% </w:t>
      </w:r>
      <w:r w:rsidRPr="00F71566">
        <w:rPr>
          <w:rFonts w:ascii="Times New Roman" w:hAnsi="Times New Roman"/>
          <w:sz w:val="28"/>
          <w:szCs w:val="28"/>
        </w:rPr>
        <w:t>и 3,5</w:t>
      </w:r>
      <w:r w:rsidR="00C10020" w:rsidRPr="00F71566">
        <w:rPr>
          <w:rFonts w:ascii="Times New Roman" w:hAnsi="Times New Roman"/>
          <w:sz w:val="28"/>
          <w:szCs w:val="28"/>
        </w:rPr>
        <w:t>%</w:t>
      </w:r>
      <w:r w:rsidRPr="00F71566">
        <w:rPr>
          <w:rFonts w:ascii="Times New Roman" w:hAnsi="Times New Roman"/>
          <w:sz w:val="28"/>
          <w:szCs w:val="28"/>
        </w:rPr>
        <w:t xml:space="preserve"> от предельной суммы всех расходов из средств избирательного фонда политической партии, избирательного блока, установленной в соответствии с настоящим Федеральным законом, для каждого гражданина, юридического лица.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Предельная сумма всех расходов из средств избирательного фонда политической партии, избирательного блока не может превышать 250 миллионов рублей.</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Право распоряжаться средствами избирательных фондов, фондов референдума принадлежит создавшим их кандидатам, избирательным объединениям, избирательным блокам, инициативной группе по проведению референдума, иным группам участников референдума.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избирательными блоками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Средства избирательных фондов, фондов референдума могут использоваться на</w:t>
      </w:r>
      <w:r w:rsidR="00B676A1" w:rsidRPr="00F71566">
        <w:rPr>
          <w:rFonts w:ascii="Times New Roman" w:hAnsi="Times New Roman"/>
          <w:sz w:val="28"/>
          <w:szCs w:val="28"/>
        </w:rPr>
        <w:t xml:space="preserve"> следующие цели</w:t>
      </w:r>
      <w:r w:rsidRPr="00F71566">
        <w:rPr>
          <w:rFonts w:ascii="Times New Roman" w:hAnsi="Times New Roman"/>
          <w:sz w:val="28"/>
          <w:szCs w:val="28"/>
        </w:rPr>
        <w:t>:</w:t>
      </w:r>
      <w:r w:rsidR="00B676A1" w:rsidRPr="00F71566">
        <w:rPr>
          <w:rStyle w:val="a5"/>
          <w:rFonts w:ascii="Times New Roman" w:hAnsi="Times New Roman"/>
          <w:sz w:val="28"/>
          <w:szCs w:val="28"/>
        </w:rPr>
        <w:footnoteReference w:id="9"/>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б) предвыборную агитацию, агитацию по вопросам референдума, а также на оплату работ (услуг) информационного и консультационного характера;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избирательными блоками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г) внесение избирательного залога.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избирательного блока,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избирательного блока, инициативной группы по проведению референдума, иной группы участников референдума. Расчеты между кандидатом, избирательным объединением, избирательным блоком,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w:t>
      </w:r>
    </w:p>
    <w:p w:rsidR="00B676A1"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При этом граждане и юридические лица вправе оказывать финансовую (материальную) поддержку кандидату, избирательному объединению, избирательному блоку, инициативной группе по проведению референдума только через соответствующие избирательные фонды, фонды референдума. Запрещаются без письменного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избирательного блока,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определенных результатов на выборах, на выдвижение инициативы проведения референдума, получение определен</w:t>
      </w:r>
      <w:r w:rsidR="00B676A1" w:rsidRPr="00F71566">
        <w:rPr>
          <w:rFonts w:ascii="Times New Roman" w:hAnsi="Times New Roman"/>
          <w:sz w:val="28"/>
          <w:szCs w:val="28"/>
        </w:rPr>
        <w:t>ного результата на референдуме.</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Запрещаются бесплатное выполнение или выполнение по необоснованно заниженным расценкам юридическими лицами, их филиалами, представительствами и иными подразделениями работ, оказание услуг, реализация товаров, прямо или косвенно связанных с выборами, референдумом и направленных на достижение определенных результатов на выборах, на выдвижение инициативы проведения референдума, получение определенного результата на референдуме.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r w:rsidR="004C1FB0">
        <w:rPr>
          <w:rFonts w:ascii="Times New Roman" w:hAnsi="Times New Roman"/>
          <w:sz w:val="28"/>
          <w:szCs w:val="28"/>
        </w:rPr>
        <w:t xml:space="preserve"> </w:t>
      </w:r>
      <w:r w:rsidRPr="00F71566">
        <w:rPr>
          <w:rFonts w:ascii="Times New Roman" w:hAnsi="Times New Roman"/>
          <w:sz w:val="28"/>
          <w:szCs w:val="28"/>
        </w:rPr>
        <w:t>Кандидатам, избирательным объединениям, избирательным блокам, инициативной группе по проведению референдума запрещается использовать иные денежные средства для оплаты работ по сбору подписей избирателей, участников референдума, проведения предвыборной агитации, агитации по вопросам референдума, осуществления другой деятельности, направленной на достижение определенного результата на выборах, референдуме, кроме средств, поступивших в их избирательные фонды, фонды референдума.</w:t>
      </w:r>
    </w:p>
    <w:p w:rsidR="008F693D" w:rsidRDefault="008F693D" w:rsidP="00F71566">
      <w:pPr>
        <w:pStyle w:val="ConsNormal"/>
        <w:spacing w:line="360" w:lineRule="auto"/>
        <w:ind w:firstLine="709"/>
        <w:jc w:val="both"/>
        <w:rPr>
          <w:rFonts w:ascii="Times New Roman" w:hAnsi="Times New Roman"/>
          <w:sz w:val="28"/>
          <w:szCs w:val="28"/>
        </w:rPr>
      </w:pPr>
    </w:p>
    <w:p w:rsidR="00D230C3" w:rsidRPr="004C1FB0" w:rsidRDefault="00D230C3" w:rsidP="00F71566">
      <w:pPr>
        <w:pStyle w:val="ConsNormal"/>
        <w:spacing w:line="360" w:lineRule="auto"/>
        <w:ind w:firstLine="709"/>
        <w:jc w:val="both"/>
        <w:rPr>
          <w:rFonts w:ascii="Times New Roman" w:hAnsi="Times New Roman"/>
          <w:b/>
          <w:sz w:val="28"/>
          <w:szCs w:val="28"/>
        </w:rPr>
      </w:pPr>
      <w:r w:rsidRPr="004C1FB0">
        <w:rPr>
          <w:rFonts w:ascii="Times New Roman" w:hAnsi="Times New Roman"/>
          <w:b/>
          <w:sz w:val="28"/>
          <w:szCs w:val="28"/>
        </w:rPr>
        <w:t>3</w:t>
      </w:r>
      <w:r w:rsidR="004C1FB0">
        <w:rPr>
          <w:rFonts w:ascii="Times New Roman" w:hAnsi="Times New Roman"/>
          <w:b/>
          <w:sz w:val="28"/>
          <w:szCs w:val="28"/>
        </w:rPr>
        <w:t>.</w:t>
      </w:r>
      <w:r w:rsidRPr="004C1FB0">
        <w:rPr>
          <w:rFonts w:ascii="Times New Roman" w:hAnsi="Times New Roman"/>
          <w:b/>
          <w:sz w:val="28"/>
          <w:szCs w:val="28"/>
        </w:rPr>
        <w:t xml:space="preserve"> Особенности финансирования избирательных комиссий </w:t>
      </w:r>
      <w:r w:rsidR="00B676A1" w:rsidRPr="004C1FB0">
        <w:rPr>
          <w:rFonts w:ascii="Times New Roman" w:hAnsi="Times New Roman"/>
          <w:b/>
          <w:sz w:val="28"/>
          <w:szCs w:val="28"/>
        </w:rPr>
        <w:t>и</w:t>
      </w:r>
      <w:r w:rsidR="004C1FB0" w:rsidRPr="004C1FB0">
        <w:rPr>
          <w:rFonts w:ascii="Times New Roman" w:hAnsi="Times New Roman"/>
          <w:b/>
          <w:sz w:val="28"/>
          <w:szCs w:val="28"/>
        </w:rPr>
        <w:t xml:space="preserve"> </w:t>
      </w:r>
      <w:r w:rsidRPr="004C1FB0">
        <w:rPr>
          <w:rFonts w:ascii="Times New Roman" w:hAnsi="Times New Roman"/>
          <w:b/>
          <w:sz w:val="28"/>
          <w:szCs w:val="28"/>
        </w:rPr>
        <w:t>политических партий</w:t>
      </w:r>
    </w:p>
    <w:p w:rsidR="00D230C3" w:rsidRPr="004C1FB0" w:rsidRDefault="00D230C3" w:rsidP="00F71566">
      <w:pPr>
        <w:pStyle w:val="ConsNormal"/>
        <w:spacing w:line="360" w:lineRule="auto"/>
        <w:ind w:firstLine="709"/>
        <w:jc w:val="both"/>
        <w:rPr>
          <w:rFonts w:ascii="Times New Roman" w:hAnsi="Times New Roman"/>
          <w:b/>
          <w:sz w:val="28"/>
          <w:szCs w:val="28"/>
        </w:rPr>
      </w:pP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Работа комиссий финансируется за счет бюджетных средств в соответствии со сметами, порядок подготовки и утверждения которых законодательно не установлен, что на практике вызывает много проблем, таких, как неравномерное финансирование комиссий разных регионов, трудности при определении долей различных бюджетов.</w:t>
      </w:r>
    </w:p>
    <w:p w:rsidR="00970C3B"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Финансируются следующие расходы:</w:t>
      </w:r>
      <w:r w:rsidR="00A841B1" w:rsidRPr="00F71566">
        <w:rPr>
          <w:rStyle w:val="a5"/>
          <w:rFonts w:ascii="Times New Roman" w:hAnsi="Times New Roman"/>
          <w:sz w:val="28"/>
          <w:szCs w:val="28"/>
        </w:rPr>
        <w:footnoteReference w:id="10"/>
      </w:r>
    </w:p>
    <w:p w:rsidR="00970C3B" w:rsidRPr="00F71566" w:rsidRDefault="00970C3B"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1. </w:t>
      </w:r>
      <w:r w:rsidR="00D230C3" w:rsidRPr="00F71566">
        <w:rPr>
          <w:rFonts w:ascii="Times New Roman" w:hAnsi="Times New Roman"/>
          <w:sz w:val="28"/>
          <w:szCs w:val="28"/>
        </w:rPr>
        <w:t>Расходы Центральной избирательной комиссии Российской Федерации на подготовку и проведение федеральных выборов, обеспечение иных полномочий. Размер этих расходов ЦИК РФ определяет самостоятельно в пределах расходов, утвержденных в государственном бюджете РФ.</w:t>
      </w:r>
    </w:p>
    <w:p w:rsidR="00A841B1" w:rsidRPr="00F71566" w:rsidRDefault="00970C3B"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2. </w:t>
      </w:r>
      <w:r w:rsidR="00D230C3" w:rsidRPr="00F71566">
        <w:rPr>
          <w:rFonts w:ascii="Times New Roman" w:hAnsi="Times New Roman"/>
          <w:sz w:val="28"/>
          <w:szCs w:val="28"/>
        </w:rPr>
        <w:t>Расходы избирательных комиссий субъектов РФ на подготовку и проведение федеральных выборов, референдумов РФ, а также частично расходы по обеспечению их полномочий в период между федеральными выборами в пределах смет расходов.</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3. </w:t>
      </w:r>
      <w:r w:rsidR="00D230C3" w:rsidRPr="00F71566">
        <w:rPr>
          <w:rFonts w:ascii="Times New Roman" w:hAnsi="Times New Roman"/>
          <w:sz w:val="28"/>
          <w:szCs w:val="28"/>
        </w:rPr>
        <w:t>Государственное участие в формировании избирательных фондов избирательных объединений (блоков).</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4. </w:t>
      </w:r>
      <w:r w:rsidR="00D230C3" w:rsidRPr="00F71566">
        <w:rPr>
          <w:rFonts w:ascii="Times New Roman" w:hAnsi="Times New Roman"/>
          <w:sz w:val="28"/>
          <w:szCs w:val="28"/>
        </w:rPr>
        <w:t>Транспортные расходы кандидатов в размере стоимости проездных билетов, исключая расходы кандидатов в одномандатных избирательных округах.</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5. </w:t>
      </w:r>
      <w:r w:rsidR="00D230C3" w:rsidRPr="00F71566">
        <w:rPr>
          <w:rFonts w:ascii="Times New Roman" w:hAnsi="Times New Roman"/>
          <w:sz w:val="28"/>
          <w:szCs w:val="28"/>
        </w:rPr>
        <w:t>Денежные компенсационные выплаты освобожденным от основной работы кандидатам, кроме кандидатов, зарегистрированных в одномандатных округах, равные среднемесячной оплате труда.</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6. </w:t>
      </w:r>
      <w:r w:rsidR="00D230C3" w:rsidRPr="00F71566">
        <w:rPr>
          <w:rFonts w:ascii="Times New Roman" w:hAnsi="Times New Roman"/>
          <w:sz w:val="28"/>
          <w:szCs w:val="28"/>
        </w:rPr>
        <w:t>Компенсационные выплаты среднего заработка по месту основной работы членам комиссий с правом решающего голоса, освобожденным от основной работы на период подготовки и проведения выборов, референдума.</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7. </w:t>
      </w:r>
      <w:r w:rsidR="00D230C3" w:rsidRPr="00F71566">
        <w:rPr>
          <w:rFonts w:ascii="Times New Roman" w:hAnsi="Times New Roman"/>
          <w:sz w:val="28"/>
          <w:szCs w:val="28"/>
        </w:rPr>
        <w:t>Дополнительная оплата труда (вознаграждение) членам избирательных комиссий, комиссий референдума, с правом решающего голоса за работу в комиссии.</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8. </w:t>
      </w:r>
      <w:r w:rsidR="00D230C3" w:rsidRPr="00F71566">
        <w:rPr>
          <w:rFonts w:ascii="Times New Roman" w:hAnsi="Times New Roman"/>
          <w:sz w:val="28"/>
          <w:szCs w:val="28"/>
        </w:rPr>
        <w:t>Оплата труда работникам аппаратов избирательных комиссий, привлеченным специалистам за работу в комиссии</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9. </w:t>
      </w:r>
      <w:r w:rsidR="00D230C3" w:rsidRPr="00F71566">
        <w:rPr>
          <w:rFonts w:ascii="Times New Roman" w:hAnsi="Times New Roman"/>
          <w:sz w:val="28"/>
          <w:szCs w:val="28"/>
        </w:rPr>
        <w:t>Расходы по обеспечению деятельности ЦИК РФ.</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10. </w:t>
      </w:r>
      <w:r w:rsidR="00D230C3" w:rsidRPr="00F71566">
        <w:rPr>
          <w:rFonts w:ascii="Times New Roman" w:hAnsi="Times New Roman"/>
          <w:sz w:val="28"/>
          <w:szCs w:val="28"/>
        </w:rPr>
        <w:t>Расходы на реализацию федеральных целевых программ, заказчиком которых является ЦИК РФ.</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xml:space="preserve">11. </w:t>
      </w:r>
      <w:r w:rsidR="00D230C3" w:rsidRPr="00F71566">
        <w:rPr>
          <w:rFonts w:ascii="Times New Roman" w:hAnsi="Times New Roman"/>
          <w:sz w:val="28"/>
          <w:szCs w:val="28"/>
        </w:rPr>
        <w:t>Отчисления во внебюджетные фонды.</w:t>
      </w:r>
    </w:p>
    <w:p w:rsidR="00A841B1"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12.</w:t>
      </w:r>
      <w:r w:rsidR="00D230C3" w:rsidRPr="00F71566">
        <w:rPr>
          <w:rFonts w:ascii="Times New Roman" w:hAnsi="Times New Roman"/>
          <w:sz w:val="28"/>
          <w:szCs w:val="28"/>
        </w:rPr>
        <w:t xml:space="preserve"> Изготовление печатной продукции (избирательных бюллетеней, бюллетеней референдума, плакатов, обращений, приглашений, бланков протоколов комиссий и других материалов), ее доставка избирательным комиссиям, информирование избирателей, обучение участников выборов, референдума, дополнительные хозяйственные действия и иные расходы избирательных комиссий.</w:t>
      </w:r>
    </w:p>
    <w:p w:rsidR="00D230C3" w:rsidRPr="00F71566" w:rsidRDefault="00A841B1"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13.</w:t>
      </w:r>
      <w:r w:rsidR="00D230C3" w:rsidRPr="00F71566">
        <w:rPr>
          <w:rFonts w:ascii="Times New Roman" w:hAnsi="Times New Roman"/>
          <w:sz w:val="28"/>
          <w:szCs w:val="28"/>
        </w:rPr>
        <w:t xml:space="preserve"> Оплата затрат избирательной комиссии области, связанных с выполнением мероприятий по повышению правовой культуры избирателей и организаторов выборов.</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Средства расходуются по расчетно-денежным документам, оформленным следующим образом:</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для избирательных комиссий субъектов Российской Федерации – в установленном для юридических лиц порядке;</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 для окружных и территориальных избирательных комиссий – при наличии трех подписей, в том числе двух первых подписей: одна – председателя избирательной комиссии; другая – должностного лица соответствующего органа местного самоуправления, вторая подпись – главного бухгалтера соответствующего органа местного самоуправления.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Согласно Федеральному закону РФ «О политических партиях»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4C1FB0">
        <w:rPr>
          <w:rFonts w:ascii="Times New Roman" w:hAnsi="Times New Roman"/>
          <w:sz w:val="28"/>
          <w:szCs w:val="28"/>
        </w:rPr>
        <w:t xml:space="preserve"> </w:t>
      </w:r>
      <w:r w:rsidRPr="00F71566">
        <w:rPr>
          <w:rFonts w:ascii="Times New Roman" w:hAnsi="Times New Roman"/>
          <w:sz w:val="28"/>
          <w:szCs w:val="28"/>
        </w:rPr>
        <w:t>Государственная поддержка политических партий путем их государственного финансирования осуществляется по итогам участия политических партий в выборах в целях компенсации финансовых затрат политических партий за счет средств федерального бюджета в порядке, предусмотренном настоящим Федеральным законом.</w:t>
      </w:r>
      <w:r w:rsidR="004C1FB0">
        <w:rPr>
          <w:rFonts w:ascii="Times New Roman" w:hAnsi="Times New Roman"/>
          <w:sz w:val="28"/>
          <w:szCs w:val="28"/>
        </w:rPr>
        <w:t xml:space="preserve"> </w:t>
      </w:r>
      <w:r w:rsidRPr="00F71566">
        <w:rPr>
          <w:rFonts w:ascii="Times New Roman" w:hAnsi="Times New Roman"/>
          <w:sz w:val="28"/>
          <w:szCs w:val="28"/>
        </w:rPr>
        <w:t>Средства федерального бюджета, выделяемые для государственного финансирования политических партий, предусматриваются в нем отдельной строкой в соответствии с бюджетной классификацией Российской Федерации.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Общий объем средств федерального бюджета, выделяемых для государственного финансирования политических партий, не может быть менее 0,005 минимального размера оплаты труда, установленного федеральным законом на 1 марта года, предшествующего году выделения этих средств, и умноженного на число избирателей, включенных в списки избирателей на ближайших предыдущих выборах депутатов Государственной Думы Федерального Собрания Российской Федерации либо выборах Президента Российской Федерации.</w:t>
      </w:r>
      <w:r w:rsidR="004C1FB0">
        <w:rPr>
          <w:rFonts w:ascii="Times New Roman" w:hAnsi="Times New Roman"/>
          <w:sz w:val="28"/>
          <w:szCs w:val="28"/>
        </w:rPr>
        <w:t xml:space="preserve"> </w:t>
      </w:r>
      <w:r w:rsidRPr="00F71566">
        <w:rPr>
          <w:rFonts w:ascii="Times New Roman" w:hAnsi="Times New Roman"/>
          <w:sz w:val="28"/>
          <w:szCs w:val="28"/>
        </w:rPr>
        <w:t>Средства федерального бюджета, выделяемые для государственного финансирования политических партий, направляются на расчетные счета политических партий ежегодными и единовременными перечислениями.</w:t>
      </w:r>
      <w:r w:rsidR="004C1FB0">
        <w:rPr>
          <w:rFonts w:ascii="Times New Roman" w:hAnsi="Times New Roman"/>
          <w:sz w:val="28"/>
          <w:szCs w:val="28"/>
        </w:rPr>
        <w:t xml:space="preserve"> </w:t>
      </w:r>
      <w:r w:rsidRPr="00F71566">
        <w:rPr>
          <w:rFonts w:ascii="Times New Roman" w:hAnsi="Times New Roman"/>
          <w:sz w:val="28"/>
          <w:szCs w:val="28"/>
        </w:rPr>
        <w:t>Необходимые расчеты и перечисления этих средств осуществляет федеральное казначейство по результатам выборов, информацию о которых предоставляет ему Центральная избирательная комиссия Российской Федерации.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Политические партии имеют право на получение средств федерального бюджета в одном из следующих случаев:</w:t>
      </w:r>
      <w:r w:rsidR="002079A8" w:rsidRPr="00F71566">
        <w:rPr>
          <w:rStyle w:val="a5"/>
          <w:rFonts w:ascii="Times New Roman" w:hAnsi="Times New Roman"/>
          <w:sz w:val="28"/>
          <w:szCs w:val="28"/>
        </w:rPr>
        <w:footnoteReference w:id="11"/>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 если федеральный список кандидатов, выдвинутый политической партией либо избирательным блоком, в составе которого политическая партия принимала участие в выборах депутатов Государственной Думы Федерального Собрания Российской Федерации, получил по результатам выборов не менее 3 процентов голосов избирателей, принявших участие в голосовании по федеральному избирательному округу;</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б) если по результатам выборов депутатов Государственной Думы Федерального Собрания Российской Федерации по одномандатным избирательным округам было избрано не менее 12 кандидатов, выдвинутых политической партией либо указанным в подпункте «а» настоящего пункта избирательным блоком (при условии, что выдвинутый этой политической партией либо указанным избирательным блоком федеральный список кандидатов получил по результатам выборов менее 3 процентов голосов избирателей, принявших участие в голосовании);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в) если зарегистрированный кандидат на должность Президента Российской Федерации, выдвинутый политической партией или избирательным блоком, в составе которого политическая партия принимала участие в выборах Президента Российской Федерации, получил по результатам выборов не менее 3 процентов голосов избирателей, принявших участие в голосовании.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Государственное финансирование политических партий, принимавших участие в выборах самостоятельно и подпадающих под действие пункта 5 настоящей статьи, осуществляется: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 по результатам выборов депутатов Государственной Думы Федерального Собрания Российской Федерации – ежегодно в размере 0,005 минимального размера оплаты труда (5 копеек), установленного федеральным законом на 1 марта года, предшествующего году выделения этих средств, и умноженного на число голосов избирателей, полученных федеральным списком кандидатов, выдвинутым политической партией, или кандидатами, выдвинутыми политической партией и избранными в Государственную Думу Федерального Собрания Российской Федерации по одномандатным избирательным округам в соответствии с подпунктом «б» пункта 5 настоящей статьи;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б) по результатам выборов Президента Российской Федерации – единовременно в размере 0,005 (5 копеек) минимального размера оплаты труда, установленного федеральным законом на 1 марта года, предшествующего году выделения этих средств, и умноженного на число голосов избирателей, полученных выдвинутым политической партией зарегистрированным кандидатом на должность Президента Российской Федерации.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Государственное финансирование политических партий, входивших в состав избирательного блока и подпадающих под действие пункта 5 настоящей статьи, осуществляется: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 по результатам выборов депутатов Государственной Думы Федерального Собрания Российской Федерации – ежегодно в размере 0,005 минимального размера оплаты труда, установленного федеральным законом на 1 марта года, предшествующего году выделения этих средств, и умноженного на число голосов избирателей, полученных федеральным списком кандидатов, выдвинутым избирательным блоком, или кандидатами, выдвинутыми избирательным блоком и избранными в Государственную Думу Федерального Собрания Российской Федерации по одномандатным избирательным округам в соответствии с подпунктом «б» пункта 5 настоящей статьи;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б) по результатам выборов Президента Российской Федерации – единовременно в размере 0,005 минимального размера оплаты труда, установленного федеральным законом на 1 марта года, предшествующего году выделения этих средств, и умноженного на число голосов избирателей, полученных выдвинутым избирательным блоком зарегистрированным кандидатом на должность Президента Российской Федерации.</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Средства федерального бюджета, предусмотренные пунктом 7 настоящей статьи, распределяются между политическими партиями, входившими в состав избирательного блока, в равных долях, если иное не было определено избирательным блоком при его создании.</w:t>
      </w:r>
      <w:r w:rsidR="004C1FB0">
        <w:rPr>
          <w:rFonts w:ascii="Times New Roman" w:hAnsi="Times New Roman"/>
          <w:sz w:val="28"/>
          <w:szCs w:val="28"/>
        </w:rPr>
        <w:t xml:space="preserve"> </w:t>
      </w:r>
      <w:r w:rsidRPr="00F71566">
        <w:rPr>
          <w:rFonts w:ascii="Times New Roman" w:hAnsi="Times New Roman"/>
          <w:sz w:val="28"/>
          <w:szCs w:val="28"/>
        </w:rPr>
        <w:t>Средства федерального бюджета, предусмотренные пунктами 6 и 7 настоящей статьи, выделяются:</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а) по результатам выборов депутатов Государственной Думы Федерального Собрания Российской Федерации - не позднее чем через три месяца со дня официального опубликования результатов выборов и в последующем ежегодно в течение всего срока полномочий Государственной Думы Федерального Собрания Российской Федерации соответствующего созыва;</w:t>
      </w:r>
    </w:p>
    <w:p w:rsidR="00D230C3" w:rsidRPr="00F71566" w:rsidRDefault="00D230C3" w:rsidP="00F71566">
      <w:pPr>
        <w:pStyle w:val="ConsNormal"/>
        <w:spacing w:line="360" w:lineRule="auto"/>
        <w:ind w:firstLine="709"/>
        <w:jc w:val="both"/>
        <w:rPr>
          <w:rFonts w:ascii="Times New Roman" w:hAnsi="Times New Roman"/>
          <w:sz w:val="28"/>
          <w:szCs w:val="28"/>
        </w:rPr>
      </w:pPr>
      <w:r w:rsidRPr="00F71566">
        <w:rPr>
          <w:rFonts w:ascii="Times New Roman" w:hAnsi="Times New Roman"/>
          <w:sz w:val="28"/>
          <w:szCs w:val="28"/>
        </w:rPr>
        <w:t>б) по результатам выборов Президента Российской Федерации – единовременно не позднее чем через год со дня официального опубликования результатов выборов.</w:t>
      </w:r>
    </w:p>
    <w:p w:rsidR="00D230C3" w:rsidRPr="00F71566" w:rsidRDefault="00D230C3" w:rsidP="00F71566">
      <w:pPr>
        <w:spacing w:line="360" w:lineRule="auto"/>
        <w:ind w:firstLine="709"/>
        <w:jc w:val="both"/>
        <w:rPr>
          <w:sz w:val="28"/>
          <w:szCs w:val="28"/>
        </w:rPr>
      </w:pPr>
      <w:r w:rsidRPr="00F71566">
        <w:rPr>
          <w:sz w:val="28"/>
          <w:szCs w:val="28"/>
        </w:rPr>
        <w:t>Политические партии вправе отказаться от государственного финансирования, предусмотренного пунктами 3, 6 и 7 настоящей статьи. В случае отказа политической партии от государственного финансирования денежные средства, выделяемые политической партии из федерального бюджета по результатам выборов, остаются в федеральном бюджете.</w:t>
      </w:r>
    </w:p>
    <w:p w:rsidR="0057219A" w:rsidRPr="004C1FB0" w:rsidRDefault="00D230C3" w:rsidP="00F71566">
      <w:pPr>
        <w:pStyle w:val="4"/>
        <w:keepNext w:val="0"/>
        <w:ind w:firstLine="709"/>
        <w:jc w:val="both"/>
      </w:pPr>
      <w:r w:rsidRPr="00F71566">
        <w:rPr>
          <w:b w:val="0"/>
        </w:rPr>
        <w:br w:type="page"/>
      </w:r>
      <w:r w:rsidR="0057219A" w:rsidRPr="004C1FB0">
        <w:t>Заключение</w:t>
      </w:r>
    </w:p>
    <w:p w:rsidR="00F9677E" w:rsidRPr="00F71566" w:rsidRDefault="00F9677E" w:rsidP="00F71566">
      <w:pPr>
        <w:tabs>
          <w:tab w:val="left" w:pos="1600"/>
        </w:tabs>
        <w:spacing w:line="360" w:lineRule="auto"/>
        <w:ind w:firstLine="709"/>
        <w:jc w:val="both"/>
        <w:rPr>
          <w:bCs/>
          <w:sz w:val="28"/>
          <w:szCs w:val="28"/>
        </w:rPr>
      </w:pPr>
    </w:p>
    <w:p w:rsidR="00676DE9" w:rsidRPr="00F71566" w:rsidRDefault="00676DE9" w:rsidP="00F71566">
      <w:pPr>
        <w:tabs>
          <w:tab w:val="left" w:pos="426"/>
        </w:tabs>
        <w:spacing w:line="360" w:lineRule="auto"/>
        <w:ind w:firstLine="709"/>
        <w:jc w:val="both"/>
        <w:rPr>
          <w:sz w:val="28"/>
          <w:szCs w:val="28"/>
        </w:rPr>
      </w:pPr>
      <w:r w:rsidRPr="00F71566">
        <w:rPr>
          <w:sz w:val="28"/>
          <w:szCs w:val="28"/>
        </w:rPr>
        <w:t xml:space="preserve">Итак, расходы избирательных комиссий по подготовке и проведению выборов соответствующего уровня производятся за счет средств, выделяемых из бюджета (федерального, субъекта Федерации, местного). </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xml:space="preserve">Кандидаты создают собственные избирательные фонды для финансирования своей избирательной кампании. При выборах в органы государственной власти и в органы местного самоуправления избирательные объединения и блоки тоже могут создавать избирательные фонды. </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xml:space="preserve">Избирательные фонды могут создаваться за счет следующих средств: </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собственных средств кандидата, избирательного объединения, избирательного блока;</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средств, выделенных кандидату выдвинувшим его избирательным объединением, избирательным блоком;</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добровольных пожертвований граждан и юридических лиц;</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средств, выделенных соответствующей избирательной комиссией кандидату, избирательному объединению, избирательному блоку после регистрации кандидата (списка кандидатов).</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xml:space="preserve">Для предвыборной агитации допускается использование денежных средств, перечисленных в избирательные фонды. </w:t>
      </w:r>
    </w:p>
    <w:p w:rsidR="00676DE9" w:rsidRPr="00F71566" w:rsidRDefault="00676DE9" w:rsidP="00F71566">
      <w:pPr>
        <w:tabs>
          <w:tab w:val="left" w:pos="426"/>
        </w:tabs>
        <w:spacing w:line="360" w:lineRule="auto"/>
        <w:ind w:firstLine="709"/>
        <w:jc w:val="both"/>
        <w:rPr>
          <w:sz w:val="28"/>
          <w:szCs w:val="28"/>
        </w:rPr>
      </w:pPr>
      <w:r w:rsidRPr="00F71566">
        <w:rPr>
          <w:sz w:val="28"/>
          <w:szCs w:val="28"/>
        </w:rPr>
        <w:t xml:space="preserve">Не допускаются добровольные пожертвования в избирательные фонды со стороны иностранных государств, предприятий, организаций, граждан, лиц без гражданства, международных организаций, российских юридических лиц с иностранным участием, если доля иностранного капитала превышает 30%, граждан Российской Федерации, не достигших возраста 18 лет, органов государственной власти и органов местного самоуправления, государственных и муниципальных учреждений и организаций, юридических лиц, имеющих государственную или муниципальную долю в их уставном капитале, превышающую 30%, а также пользующихся льготами по уплате налогов и сборов, воинских частей, правоохранительных органов, благотворительных организаций, религиозных объединений, анонимные пожертвования. Законодательством устанавливаются предельные размеры перечисляемых в избирательные фонды собственных средств кандидата, избирательного объединения или блока, средств, выделяемых кандидату выдвинувшим его избирательным объединением или блоком, и добровольных пожертвований физических и юридических лиц, а также предельные размеры расходования средств избирательных фондов. </w:t>
      </w:r>
    </w:p>
    <w:p w:rsidR="00676DE9" w:rsidRPr="00F71566" w:rsidRDefault="00676DE9" w:rsidP="00F71566">
      <w:pPr>
        <w:tabs>
          <w:tab w:val="left" w:pos="426"/>
        </w:tabs>
        <w:spacing w:line="360" w:lineRule="auto"/>
        <w:ind w:firstLine="709"/>
        <w:jc w:val="both"/>
        <w:rPr>
          <w:sz w:val="28"/>
          <w:szCs w:val="28"/>
        </w:rPr>
      </w:pPr>
      <w:r w:rsidRPr="00F71566">
        <w:rPr>
          <w:sz w:val="28"/>
          <w:szCs w:val="28"/>
        </w:rPr>
        <w:t>Соответствующая избирательная комиссия до дня выборов обязана периодически публиковать сведения о размерах и источниках создания избирательных фондов на основании сведений, представляемых кандидатом, избирательным объединением или блоком. Они не позднее чем через 30 дней по окончании выборов обязаны представить в соответствующую избирательную комиссию отчет о размерах и всех источниках создания своих избирательных фондов, а также о всех произведенных затратах, а избирательная комиссия обязана передать копию этого отчета средствам массовой информации для опубликования не позднее трех дней со дня их поступления.</w:t>
      </w:r>
      <w:r w:rsidR="004C1FB0">
        <w:rPr>
          <w:sz w:val="28"/>
          <w:szCs w:val="28"/>
        </w:rPr>
        <w:t xml:space="preserve"> </w:t>
      </w:r>
      <w:r w:rsidRPr="00F71566">
        <w:rPr>
          <w:sz w:val="28"/>
          <w:szCs w:val="28"/>
        </w:rPr>
        <w:t>Все денежные средства, образующие избирательный фонд, перечисляются на специальный счет в банке, который открывается кандидатом, избирательным объединением или блоком с разрешения соответствующей избирательной комиссии, после регистрации кандидата (списка кандидатов). При проведении выборов в федеральные органы государственной власти порядок открытия и ведения указанных счетов, учета и отчетности по средствам избирательных фондов устанавливается Центральной избирательной комиссией по согласованию с Центральным банком Российской Федерации. При проведении выборов в органы государственной власти субъектов Федерации, а также в органы местного самоуправления порядок открытия и ведения указанных счетов, учета и отчетности по средствам избирательных фондов устанавливается соответствующей избирательной комиссией субъекта Федерации по согласованию с национальными банками, главными управлениями Центрально</w:t>
      </w:r>
      <w:r w:rsidR="004C1FB0">
        <w:rPr>
          <w:sz w:val="28"/>
          <w:szCs w:val="28"/>
        </w:rPr>
        <w:t>го банка в субъектах Федерации.</w:t>
      </w:r>
    </w:p>
    <w:p w:rsidR="0074597E" w:rsidRPr="004C1FB0" w:rsidRDefault="00311FE7" w:rsidP="00F71566">
      <w:pPr>
        <w:pStyle w:val="af3"/>
        <w:spacing w:after="0" w:line="360" w:lineRule="auto"/>
        <w:ind w:left="0" w:firstLine="709"/>
        <w:jc w:val="both"/>
        <w:rPr>
          <w:b/>
          <w:bCs/>
          <w:sz w:val="28"/>
          <w:szCs w:val="28"/>
        </w:rPr>
      </w:pPr>
      <w:r w:rsidRPr="00F71566">
        <w:rPr>
          <w:bCs/>
          <w:sz w:val="28"/>
        </w:rPr>
        <w:br w:type="page"/>
      </w:r>
      <w:r w:rsidR="0074597E" w:rsidRPr="004C1FB0">
        <w:rPr>
          <w:b/>
          <w:bCs/>
          <w:sz w:val="28"/>
          <w:szCs w:val="28"/>
        </w:rPr>
        <w:t>Глоссарий</w:t>
      </w:r>
    </w:p>
    <w:p w:rsidR="0074597E" w:rsidRPr="00F71566" w:rsidRDefault="0074597E" w:rsidP="00F71566">
      <w:pPr>
        <w:pStyle w:val="af5"/>
        <w:spacing w:line="360" w:lineRule="auto"/>
        <w:ind w:firstLine="709"/>
        <w:jc w:val="both"/>
        <w:rPr>
          <w:rFonts w:ascii="Times New Roman" w:hAnsi="Times New Roman"/>
          <w:bCs/>
          <w:caps/>
          <w:sz w:val="28"/>
          <w:szCs w:val="28"/>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734"/>
        <w:gridCol w:w="7114"/>
      </w:tblGrid>
      <w:tr w:rsidR="0074597E" w:rsidRPr="00AA3F7A" w:rsidTr="00AA3F7A">
        <w:trPr>
          <w:trHeight w:val="1125"/>
          <w:jc w:val="center"/>
        </w:trPr>
        <w:tc>
          <w:tcPr>
            <w:tcW w:w="587" w:type="dxa"/>
            <w:shd w:val="clear" w:color="auto" w:fill="auto"/>
            <w:vAlign w:val="center"/>
          </w:tcPr>
          <w:p w:rsidR="0074597E" w:rsidRPr="00AA3F7A" w:rsidRDefault="0074597E" w:rsidP="00AA3F7A">
            <w:pPr>
              <w:overflowPunct w:val="0"/>
              <w:adjustRightInd w:val="0"/>
              <w:spacing w:line="360" w:lineRule="auto"/>
              <w:jc w:val="both"/>
              <w:rPr>
                <w:szCs w:val="28"/>
              </w:rPr>
            </w:pPr>
            <w:r w:rsidRPr="00AA3F7A">
              <w:rPr>
                <w:szCs w:val="28"/>
              </w:rPr>
              <w:t>№ п/п</w:t>
            </w:r>
          </w:p>
        </w:tc>
        <w:tc>
          <w:tcPr>
            <w:tcW w:w="1734" w:type="dxa"/>
            <w:shd w:val="clear" w:color="auto" w:fill="auto"/>
            <w:vAlign w:val="center"/>
          </w:tcPr>
          <w:p w:rsidR="0074597E" w:rsidRPr="00AA3F7A" w:rsidRDefault="0074597E" w:rsidP="00AA3F7A">
            <w:pPr>
              <w:overflowPunct w:val="0"/>
              <w:adjustRightInd w:val="0"/>
              <w:spacing w:line="360" w:lineRule="auto"/>
              <w:jc w:val="both"/>
              <w:rPr>
                <w:szCs w:val="28"/>
              </w:rPr>
            </w:pPr>
            <w:r w:rsidRPr="00AA3F7A">
              <w:rPr>
                <w:szCs w:val="28"/>
              </w:rPr>
              <w:t>Наименование</w:t>
            </w:r>
          </w:p>
          <w:p w:rsidR="0074597E" w:rsidRPr="00AA3F7A" w:rsidRDefault="0074597E" w:rsidP="00AA3F7A">
            <w:pPr>
              <w:overflowPunct w:val="0"/>
              <w:adjustRightInd w:val="0"/>
              <w:spacing w:line="360" w:lineRule="auto"/>
              <w:jc w:val="both"/>
              <w:rPr>
                <w:szCs w:val="28"/>
              </w:rPr>
            </w:pPr>
            <w:r w:rsidRPr="00AA3F7A">
              <w:rPr>
                <w:szCs w:val="28"/>
              </w:rPr>
              <w:t>понятия</w:t>
            </w:r>
          </w:p>
        </w:tc>
        <w:tc>
          <w:tcPr>
            <w:tcW w:w="7114" w:type="dxa"/>
            <w:shd w:val="clear" w:color="auto" w:fill="auto"/>
            <w:vAlign w:val="center"/>
          </w:tcPr>
          <w:p w:rsidR="0074597E" w:rsidRPr="00AA3F7A" w:rsidRDefault="0074597E" w:rsidP="00AA3F7A">
            <w:pPr>
              <w:spacing w:line="360" w:lineRule="auto"/>
              <w:jc w:val="both"/>
              <w:rPr>
                <w:szCs w:val="28"/>
              </w:rPr>
            </w:pPr>
            <w:r w:rsidRPr="00AA3F7A">
              <w:rPr>
                <w:szCs w:val="28"/>
              </w:rPr>
              <w:t>Содержание</w:t>
            </w:r>
          </w:p>
          <w:p w:rsidR="0074597E" w:rsidRPr="00AA3F7A" w:rsidRDefault="0074597E" w:rsidP="00AA3F7A">
            <w:pPr>
              <w:overflowPunct w:val="0"/>
              <w:adjustRightInd w:val="0"/>
              <w:spacing w:line="360" w:lineRule="auto"/>
              <w:jc w:val="both"/>
              <w:rPr>
                <w:szCs w:val="28"/>
              </w:rPr>
            </w:pPr>
            <w:r w:rsidRPr="00AA3F7A">
              <w:rPr>
                <w:szCs w:val="28"/>
              </w:rPr>
              <w:t>понятия</w:t>
            </w:r>
          </w:p>
        </w:tc>
      </w:tr>
      <w:tr w:rsidR="0074597E" w:rsidRPr="00AA3F7A" w:rsidTr="00AA3F7A">
        <w:trPr>
          <w:trHeight w:val="143"/>
          <w:jc w:val="center"/>
        </w:trPr>
        <w:tc>
          <w:tcPr>
            <w:tcW w:w="587" w:type="dxa"/>
            <w:shd w:val="clear" w:color="auto" w:fill="auto"/>
          </w:tcPr>
          <w:p w:rsidR="0074597E" w:rsidRPr="00AA3F7A" w:rsidRDefault="0074597E" w:rsidP="00AA3F7A">
            <w:pPr>
              <w:overflowPunct w:val="0"/>
              <w:adjustRightInd w:val="0"/>
              <w:spacing w:line="360" w:lineRule="auto"/>
              <w:jc w:val="both"/>
              <w:rPr>
                <w:szCs w:val="28"/>
              </w:rPr>
            </w:pPr>
            <w:r w:rsidRPr="00AA3F7A">
              <w:rPr>
                <w:szCs w:val="28"/>
              </w:rPr>
              <w:t>1</w:t>
            </w:r>
          </w:p>
        </w:tc>
        <w:tc>
          <w:tcPr>
            <w:tcW w:w="1734" w:type="dxa"/>
            <w:shd w:val="clear" w:color="auto" w:fill="auto"/>
          </w:tcPr>
          <w:p w:rsidR="0074597E" w:rsidRPr="00AA3F7A" w:rsidRDefault="0074597E" w:rsidP="00AA3F7A">
            <w:pPr>
              <w:overflowPunct w:val="0"/>
              <w:adjustRightInd w:val="0"/>
              <w:spacing w:line="360" w:lineRule="auto"/>
              <w:jc w:val="both"/>
              <w:rPr>
                <w:szCs w:val="28"/>
              </w:rPr>
            </w:pPr>
            <w:r w:rsidRPr="00AA3F7A">
              <w:rPr>
                <w:szCs w:val="28"/>
              </w:rPr>
              <w:t>2</w:t>
            </w:r>
          </w:p>
        </w:tc>
        <w:tc>
          <w:tcPr>
            <w:tcW w:w="7114" w:type="dxa"/>
            <w:shd w:val="clear" w:color="auto" w:fill="auto"/>
          </w:tcPr>
          <w:p w:rsidR="0074597E" w:rsidRPr="00AA3F7A" w:rsidRDefault="0074597E" w:rsidP="00AA3F7A">
            <w:pPr>
              <w:overflowPunct w:val="0"/>
              <w:adjustRightInd w:val="0"/>
              <w:spacing w:line="360" w:lineRule="auto"/>
              <w:jc w:val="both"/>
              <w:rPr>
                <w:szCs w:val="28"/>
              </w:rPr>
            </w:pPr>
            <w:r w:rsidRPr="00AA3F7A">
              <w:rPr>
                <w:szCs w:val="28"/>
              </w:rPr>
              <w:t>3</w:t>
            </w:r>
          </w:p>
        </w:tc>
      </w:tr>
      <w:tr w:rsidR="007568FB" w:rsidRPr="00AA3F7A" w:rsidTr="00AA3F7A">
        <w:trPr>
          <w:trHeight w:val="143"/>
          <w:jc w:val="center"/>
        </w:trPr>
        <w:tc>
          <w:tcPr>
            <w:tcW w:w="587" w:type="dxa"/>
            <w:shd w:val="clear" w:color="auto" w:fill="auto"/>
          </w:tcPr>
          <w:p w:rsidR="007568FB" w:rsidRPr="00AA3F7A" w:rsidRDefault="00BF04F3" w:rsidP="00AA3F7A">
            <w:pPr>
              <w:overflowPunct w:val="0"/>
              <w:adjustRightInd w:val="0"/>
              <w:spacing w:line="360" w:lineRule="auto"/>
              <w:jc w:val="both"/>
              <w:rPr>
                <w:szCs w:val="28"/>
              </w:rPr>
            </w:pPr>
            <w:r w:rsidRPr="00AA3F7A">
              <w:rPr>
                <w:szCs w:val="28"/>
              </w:rPr>
              <w:t>1</w:t>
            </w:r>
          </w:p>
        </w:tc>
        <w:tc>
          <w:tcPr>
            <w:tcW w:w="1734" w:type="dxa"/>
            <w:shd w:val="clear" w:color="auto" w:fill="auto"/>
          </w:tcPr>
          <w:p w:rsidR="007568FB" w:rsidRPr="00AA3F7A" w:rsidRDefault="007568FB" w:rsidP="00AA3F7A">
            <w:pPr>
              <w:overflowPunct w:val="0"/>
              <w:adjustRightInd w:val="0"/>
              <w:spacing w:line="360" w:lineRule="auto"/>
              <w:jc w:val="both"/>
              <w:rPr>
                <w:szCs w:val="28"/>
              </w:rPr>
            </w:pPr>
            <w:r w:rsidRPr="00AA3F7A">
              <w:rPr>
                <w:szCs w:val="28"/>
              </w:rPr>
              <w:t>Второй</w:t>
            </w:r>
          </w:p>
          <w:p w:rsidR="007568FB" w:rsidRPr="00AA3F7A" w:rsidRDefault="007568FB" w:rsidP="00AA3F7A">
            <w:pPr>
              <w:overflowPunct w:val="0"/>
              <w:adjustRightInd w:val="0"/>
              <w:spacing w:line="360" w:lineRule="auto"/>
              <w:jc w:val="both"/>
              <w:rPr>
                <w:szCs w:val="28"/>
              </w:rPr>
            </w:pPr>
            <w:r w:rsidRPr="00AA3F7A">
              <w:rPr>
                <w:szCs w:val="28"/>
              </w:rPr>
              <w:t>финансовый отчёт</w:t>
            </w:r>
          </w:p>
        </w:tc>
        <w:tc>
          <w:tcPr>
            <w:tcW w:w="7114" w:type="dxa"/>
            <w:shd w:val="clear" w:color="auto" w:fill="auto"/>
          </w:tcPr>
          <w:p w:rsidR="007568FB" w:rsidRPr="00AA3F7A" w:rsidRDefault="007568FB" w:rsidP="00AA3F7A">
            <w:pPr>
              <w:pStyle w:val="a3"/>
              <w:spacing w:line="360" w:lineRule="auto"/>
              <w:rPr>
                <w:rFonts w:ascii="Times New Roman" w:hAnsi="Times New Roman" w:cs="Times New Roman"/>
                <w:sz w:val="20"/>
                <w:szCs w:val="28"/>
              </w:rPr>
            </w:pPr>
            <w:r w:rsidRPr="00AA3F7A">
              <w:rPr>
                <w:rFonts w:ascii="Times New Roman" w:hAnsi="Times New Roman"/>
                <w:sz w:val="20"/>
                <w:szCs w:val="28"/>
              </w:rPr>
              <w:t>Не ранее чем за 12 дней и не позднее чем за 10 дней до дня голосования; в отчет включаются сведения по состоянию на дату, которая не более чем на пять дней предшествует дате сдачи отчета</w:t>
            </w:r>
          </w:p>
        </w:tc>
      </w:tr>
      <w:tr w:rsidR="008468C5" w:rsidRPr="00AA3F7A" w:rsidTr="00AA3F7A">
        <w:trPr>
          <w:trHeight w:val="143"/>
          <w:jc w:val="center"/>
        </w:trPr>
        <w:tc>
          <w:tcPr>
            <w:tcW w:w="587" w:type="dxa"/>
            <w:shd w:val="clear" w:color="auto" w:fill="auto"/>
          </w:tcPr>
          <w:p w:rsidR="008468C5" w:rsidRPr="00AA3F7A" w:rsidRDefault="00BF04F3" w:rsidP="00AA3F7A">
            <w:pPr>
              <w:overflowPunct w:val="0"/>
              <w:adjustRightInd w:val="0"/>
              <w:spacing w:line="360" w:lineRule="auto"/>
              <w:jc w:val="both"/>
              <w:rPr>
                <w:szCs w:val="28"/>
              </w:rPr>
            </w:pPr>
            <w:r w:rsidRPr="00AA3F7A">
              <w:rPr>
                <w:szCs w:val="28"/>
              </w:rPr>
              <w:t>2</w:t>
            </w:r>
          </w:p>
        </w:tc>
        <w:tc>
          <w:tcPr>
            <w:tcW w:w="1734" w:type="dxa"/>
            <w:shd w:val="clear" w:color="auto" w:fill="auto"/>
          </w:tcPr>
          <w:p w:rsidR="008468C5" w:rsidRPr="00AA3F7A" w:rsidRDefault="008468C5" w:rsidP="00AA3F7A">
            <w:pPr>
              <w:overflowPunct w:val="0"/>
              <w:adjustRightInd w:val="0"/>
              <w:spacing w:line="360" w:lineRule="auto"/>
              <w:jc w:val="both"/>
              <w:rPr>
                <w:szCs w:val="28"/>
              </w:rPr>
            </w:pPr>
            <w:r w:rsidRPr="00AA3F7A">
              <w:rPr>
                <w:szCs w:val="28"/>
              </w:rPr>
              <w:t>Избирательный</w:t>
            </w:r>
          </w:p>
          <w:p w:rsidR="008468C5" w:rsidRPr="00AA3F7A" w:rsidRDefault="008468C5" w:rsidP="00AA3F7A">
            <w:pPr>
              <w:overflowPunct w:val="0"/>
              <w:adjustRightInd w:val="0"/>
              <w:spacing w:line="360" w:lineRule="auto"/>
              <w:jc w:val="both"/>
              <w:rPr>
                <w:szCs w:val="28"/>
              </w:rPr>
            </w:pPr>
            <w:r w:rsidRPr="00AA3F7A">
              <w:rPr>
                <w:szCs w:val="28"/>
              </w:rPr>
              <w:t>фонд</w:t>
            </w:r>
          </w:p>
        </w:tc>
        <w:tc>
          <w:tcPr>
            <w:tcW w:w="7114" w:type="dxa"/>
            <w:shd w:val="clear" w:color="auto" w:fill="auto"/>
          </w:tcPr>
          <w:p w:rsidR="008468C5" w:rsidRPr="00AA3F7A" w:rsidRDefault="008468C5" w:rsidP="00AA3F7A">
            <w:pPr>
              <w:pStyle w:val="a3"/>
              <w:spacing w:line="360" w:lineRule="auto"/>
              <w:rPr>
                <w:rFonts w:ascii="Times New Roman" w:hAnsi="Times New Roman" w:cs="Times New Roman"/>
                <w:sz w:val="20"/>
                <w:szCs w:val="28"/>
              </w:rPr>
            </w:pPr>
            <w:r w:rsidRPr="00AA3F7A">
              <w:rPr>
                <w:rFonts w:ascii="Times New Roman" w:hAnsi="Times New Roman" w:cs="Times New Roman"/>
                <w:sz w:val="20"/>
                <w:szCs w:val="28"/>
              </w:rPr>
              <w:t>денежные средства на специальном избирательном счете кандидата, зарегистрированного кандидата, избирательного объединения (блока), которые аккумулируются и расходуются в установленном законодательством порядке.</w:t>
            </w:r>
          </w:p>
        </w:tc>
      </w:tr>
      <w:tr w:rsidR="008468C5" w:rsidRPr="00AA3F7A" w:rsidTr="00AA3F7A">
        <w:trPr>
          <w:trHeight w:val="143"/>
          <w:jc w:val="center"/>
        </w:trPr>
        <w:tc>
          <w:tcPr>
            <w:tcW w:w="587" w:type="dxa"/>
            <w:shd w:val="clear" w:color="auto" w:fill="auto"/>
          </w:tcPr>
          <w:p w:rsidR="008468C5" w:rsidRPr="00AA3F7A" w:rsidRDefault="00BF04F3" w:rsidP="00AA3F7A">
            <w:pPr>
              <w:overflowPunct w:val="0"/>
              <w:adjustRightInd w:val="0"/>
              <w:spacing w:line="360" w:lineRule="auto"/>
              <w:jc w:val="both"/>
              <w:rPr>
                <w:szCs w:val="28"/>
              </w:rPr>
            </w:pPr>
            <w:r w:rsidRPr="00AA3F7A">
              <w:rPr>
                <w:szCs w:val="28"/>
              </w:rPr>
              <w:t>3</w:t>
            </w:r>
          </w:p>
        </w:tc>
        <w:tc>
          <w:tcPr>
            <w:tcW w:w="1734" w:type="dxa"/>
            <w:shd w:val="clear" w:color="auto" w:fill="auto"/>
          </w:tcPr>
          <w:p w:rsidR="008468C5" w:rsidRPr="00AA3F7A" w:rsidRDefault="008468C5" w:rsidP="00AA3F7A">
            <w:pPr>
              <w:overflowPunct w:val="0"/>
              <w:adjustRightInd w:val="0"/>
              <w:spacing w:line="360" w:lineRule="auto"/>
              <w:jc w:val="both"/>
              <w:rPr>
                <w:szCs w:val="28"/>
              </w:rPr>
            </w:pPr>
            <w:r w:rsidRPr="00AA3F7A">
              <w:rPr>
                <w:szCs w:val="28"/>
              </w:rPr>
              <w:t>Избирательный</w:t>
            </w:r>
          </w:p>
          <w:p w:rsidR="008468C5" w:rsidRPr="00AA3F7A" w:rsidRDefault="008468C5" w:rsidP="00AA3F7A">
            <w:pPr>
              <w:overflowPunct w:val="0"/>
              <w:adjustRightInd w:val="0"/>
              <w:spacing w:line="360" w:lineRule="auto"/>
              <w:jc w:val="both"/>
              <w:rPr>
                <w:szCs w:val="28"/>
              </w:rPr>
            </w:pPr>
            <w:r w:rsidRPr="00AA3F7A">
              <w:rPr>
                <w:szCs w:val="28"/>
              </w:rPr>
              <w:t>фонд</w:t>
            </w:r>
          </w:p>
        </w:tc>
        <w:tc>
          <w:tcPr>
            <w:tcW w:w="7114" w:type="dxa"/>
            <w:shd w:val="clear" w:color="auto" w:fill="auto"/>
          </w:tcPr>
          <w:p w:rsidR="008468C5" w:rsidRPr="00AA3F7A" w:rsidRDefault="008468C5" w:rsidP="00AA3F7A">
            <w:pPr>
              <w:pStyle w:val="a3"/>
              <w:spacing w:line="360" w:lineRule="auto"/>
              <w:rPr>
                <w:rFonts w:ascii="Times New Roman" w:hAnsi="Times New Roman" w:cs="Times New Roman"/>
                <w:sz w:val="20"/>
                <w:szCs w:val="28"/>
              </w:rPr>
            </w:pPr>
            <w:r w:rsidRPr="00AA3F7A">
              <w:rPr>
                <w:rFonts w:ascii="Times New Roman" w:hAnsi="Times New Roman" w:cs="Times New Roman"/>
                <w:sz w:val="20"/>
                <w:szCs w:val="28"/>
              </w:rPr>
              <w:t>Публично-правовое образование, имеющее строго целевое назначение и временный характер.</w:t>
            </w:r>
          </w:p>
        </w:tc>
      </w:tr>
      <w:tr w:rsidR="00D840E9" w:rsidRPr="00AA3F7A" w:rsidTr="00AA3F7A">
        <w:trPr>
          <w:trHeight w:val="143"/>
          <w:jc w:val="center"/>
        </w:trPr>
        <w:tc>
          <w:tcPr>
            <w:tcW w:w="587" w:type="dxa"/>
            <w:shd w:val="clear" w:color="auto" w:fill="auto"/>
          </w:tcPr>
          <w:p w:rsidR="00D840E9" w:rsidRPr="00AA3F7A" w:rsidRDefault="00BF04F3" w:rsidP="00AA3F7A">
            <w:pPr>
              <w:overflowPunct w:val="0"/>
              <w:adjustRightInd w:val="0"/>
              <w:spacing w:line="360" w:lineRule="auto"/>
              <w:jc w:val="both"/>
              <w:rPr>
                <w:szCs w:val="28"/>
              </w:rPr>
            </w:pPr>
            <w:r w:rsidRPr="00AA3F7A">
              <w:rPr>
                <w:szCs w:val="28"/>
              </w:rPr>
              <w:t>4</w:t>
            </w:r>
          </w:p>
        </w:tc>
        <w:tc>
          <w:tcPr>
            <w:tcW w:w="1734" w:type="dxa"/>
            <w:shd w:val="clear" w:color="auto" w:fill="auto"/>
          </w:tcPr>
          <w:p w:rsidR="00D840E9" w:rsidRPr="00AA3F7A" w:rsidRDefault="00D840E9" w:rsidP="00AA3F7A">
            <w:pPr>
              <w:overflowPunct w:val="0"/>
              <w:adjustRightInd w:val="0"/>
              <w:spacing w:line="360" w:lineRule="auto"/>
              <w:jc w:val="both"/>
              <w:rPr>
                <w:szCs w:val="28"/>
              </w:rPr>
            </w:pPr>
            <w:r w:rsidRPr="00AA3F7A">
              <w:rPr>
                <w:szCs w:val="28"/>
              </w:rPr>
              <w:t>Информация о расходовании денежных средств</w:t>
            </w:r>
          </w:p>
        </w:tc>
        <w:tc>
          <w:tcPr>
            <w:tcW w:w="7114" w:type="dxa"/>
            <w:shd w:val="clear" w:color="auto" w:fill="auto"/>
          </w:tcPr>
          <w:p w:rsidR="00D840E9" w:rsidRPr="00AA3F7A" w:rsidRDefault="00C5669B" w:rsidP="00AA3F7A">
            <w:pPr>
              <w:pStyle w:val="a3"/>
              <w:spacing w:line="360" w:lineRule="auto"/>
              <w:rPr>
                <w:rFonts w:ascii="Times New Roman" w:hAnsi="Times New Roman" w:cs="Times New Roman"/>
                <w:sz w:val="20"/>
                <w:szCs w:val="28"/>
              </w:rPr>
            </w:pPr>
            <w:r w:rsidRPr="00AA3F7A">
              <w:rPr>
                <w:rFonts w:ascii="Times New Roman" w:hAnsi="Times New Roman" w:cs="Times New Roman"/>
                <w:sz w:val="20"/>
                <w:szCs w:val="28"/>
              </w:rPr>
              <w:t>Включает в себя сумму расхода, дату снятия средств со счета, адресат получения средств и направления расходования.</w:t>
            </w:r>
          </w:p>
        </w:tc>
      </w:tr>
      <w:tr w:rsidR="004260EF" w:rsidRPr="00AA3F7A" w:rsidTr="00AA3F7A">
        <w:trPr>
          <w:trHeight w:val="143"/>
          <w:jc w:val="center"/>
        </w:trPr>
        <w:tc>
          <w:tcPr>
            <w:tcW w:w="587" w:type="dxa"/>
            <w:shd w:val="clear" w:color="auto" w:fill="auto"/>
          </w:tcPr>
          <w:p w:rsidR="004260EF" w:rsidRPr="00AA3F7A" w:rsidRDefault="00BF04F3" w:rsidP="00AA3F7A">
            <w:pPr>
              <w:overflowPunct w:val="0"/>
              <w:adjustRightInd w:val="0"/>
              <w:spacing w:line="360" w:lineRule="auto"/>
              <w:jc w:val="both"/>
              <w:rPr>
                <w:szCs w:val="28"/>
              </w:rPr>
            </w:pPr>
            <w:r w:rsidRPr="00AA3F7A">
              <w:rPr>
                <w:szCs w:val="28"/>
              </w:rPr>
              <w:t>5</w:t>
            </w:r>
          </w:p>
        </w:tc>
        <w:tc>
          <w:tcPr>
            <w:tcW w:w="1734" w:type="dxa"/>
            <w:shd w:val="clear" w:color="auto" w:fill="auto"/>
          </w:tcPr>
          <w:p w:rsidR="004260EF" w:rsidRPr="00AA3F7A" w:rsidRDefault="004260EF" w:rsidP="00AA3F7A">
            <w:pPr>
              <w:overflowPunct w:val="0"/>
              <w:adjustRightInd w:val="0"/>
              <w:spacing w:line="360" w:lineRule="auto"/>
              <w:jc w:val="both"/>
              <w:rPr>
                <w:szCs w:val="28"/>
              </w:rPr>
            </w:pPr>
            <w:r w:rsidRPr="00AA3F7A">
              <w:rPr>
                <w:szCs w:val="28"/>
              </w:rPr>
              <w:t>Итоговый</w:t>
            </w:r>
          </w:p>
          <w:p w:rsidR="004260EF" w:rsidRPr="00AA3F7A" w:rsidRDefault="004260EF" w:rsidP="00AA3F7A">
            <w:pPr>
              <w:overflowPunct w:val="0"/>
              <w:adjustRightInd w:val="0"/>
              <w:spacing w:line="360" w:lineRule="auto"/>
              <w:jc w:val="both"/>
              <w:rPr>
                <w:szCs w:val="28"/>
              </w:rPr>
            </w:pPr>
            <w:r w:rsidRPr="00AA3F7A">
              <w:rPr>
                <w:szCs w:val="28"/>
              </w:rPr>
              <w:t>финансовый отчёт</w:t>
            </w:r>
          </w:p>
        </w:tc>
        <w:tc>
          <w:tcPr>
            <w:tcW w:w="7114" w:type="dxa"/>
            <w:shd w:val="clear" w:color="auto" w:fill="auto"/>
          </w:tcPr>
          <w:p w:rsidR="004260EF" w:rsidRPr="00AA3F7A" w:rsidRDefault="004260EF" w:rsidP="00AA3F7A">
            <w:pPr>
              <w:pStyle w:val="a3"/>
              <w:spacing w:line="360" w:lineRule="auto"/>
              <w:rPr>
                <w:rFonts w:ascii="Times New Roman" w:hAnsi="Times New Roman" w:cs="Times New Roman"/>
                <w:sz w:val="20"/>
                <w:szCs w:val="28"/>
              </w:rPr>
            </w:pPr>
            <w:r w:rsidRPr="00AA3F7A">
              <w:rPr>
                <w:rFonts w:ascii="Times New Roman" w:hAnsi="Times New Roman"/>
                <w:sz w:val="20"/>
                <w:szCs w:val="28"/>
              </w:rPr>
              <w:t>Не позднее чем через 30 дней после официального опубликования результатов выборов.</w:t>
            </w:r>
          </w:p>
        </w:tc>
      </w:tr>
      <w:tr w:rsidR="00E66A58" w:rsidRPr="00AA3F7A" w:rsidTr="00AA3F7A">
        <w:trPr>
          <w:trHeight w:val="143"/>
          <w:jc w:val="center"/>
        </w:trPr>
        <w:tc>
          <w:tcPr>
            <w:tcW w:w="587" w:type="dxa"/>
            <w:shd w:val="clear" w:color="auto" w:fill="auto"/>
          </w:tcPr>
          <w:p w:rsidR="00E66A58" w:rsidRPr="00AA3F7A" w:rsidRDefault="00BF04F3" w:rsidP="00AA3F7A">
            <w:pPr>
              <w:overflowPunct w:val="0"/>
              <w:adjustRightInd w:val="0"/>
              <w:spacing w:line="360" w:lineRule="auto"/>
              <w:jc w:val="both"/>
              <w:rPr>
                <w:szCs w:val="28"/>
              </w:rPr>
            </w:pPr>
            <w:r w:rsidRPr="00AA3F7A">
              <w:rPr>
                <w:szCs w:val="28"/>
              </w:rPr>
              <w:t>6</w:t>
            </w:r>
          </w:p>
        </w:tc>
        <w:tc>
          <w:tcPr>
            <w:tcW w:w="1734" w:type="dxa"/>
            <w:shd w:val="clear" w:color="auto" w:fill="auto"/>
          </w:tcPr>
          <w:p w:rsidR="00E66A58" w:rsidRPr="00AA3F7A" w:rsidRDefault="00E66A58" w:rsidP="00AA3F7A">
            <w:pPr>
              <w:overflowPunct w:val="0"/>
              <w:adjustRightInd w:val="0"/>
              <w:spacing w:line="360" w:lineRule="auto"/>
              <w:jc w:val="both"/>
              <w:rPr>
                <w:szCs w:val="28"/>
              </w:rPr>
            </w:pPr>
            <w:r w:rsidRPr="00AA3F7A">
              <w:rPr>
                <w:szCs w:val="28"/>
              </w:rPr>
              <w:t>Косвенное финансирование выборов</w:t>
            </w:r>
          </w:p>
        </w:tc>
        <w:tc>
          <w:tcPr>
            <w:tcW w:w="7114" w:type="dxa"/>
            <w:shd w:val="clear" w:color="auto" w:fill="auto"/>
          </w:tcPr>
          <w:p w:rsidR="00E66A58" w:rsidRPr="00AA3F7A" w:rsidRDefault="00E66A58" w:rsidP="00AA3F7A">
            <w:pPr>
              <w:pStyle w:val="a3"/>
              <w:spacing w:line="360" w:lineRule="auto"/>
              <w:rPr>
                <w:rFonts w:ascii="Times New Roman" w:hAnsi="Times New Roman"/>
                <w:sz w:val="20"/>
                <w:szCs w:val="28"/>
              </w:rPr>
            </w:pPr>
            <w:r w:rsidRPr="00AA3F7A">
              <w:rPr>
                <w:rFonts w:ascii="Times New Roman" w:hAnsi="Times New Roman"/>
                <w:sz w:val="20"/>
                <w:szCs w:val="28"/>
              </w:rPr>
              <w:t>Связано с оказанием материальной поддержки кандидатам, политическим партиям, предоставлением бесплатного эфирного времени для целей выборов, распространением бесплатной информации о кандидатах, предоставлением налоговых льгот, содержанием избирательных комиссий, информационных систем, направленных на обеспечение выборов.</w:t>
            </w:r>
          </w:p>
        </w:tc>
      </w:tr>
      <w:tr w:rsidR="00CE43AB" w:rsidRPr="00AA3F7A" w:rsidTr="00AA3F7A">
        <w:trPr>
          <w:trHeight w:val="143"/>
          <w:jc w:val="center"/>
        </w:trPr>
        <w:tc>
          <w:tcPr>
            <w:tcW w:w="587" w:type="dxa"/>
            <w:shd w:val="clear" w:color="auto" w:fill="auto"/>
          </w:tcPr>
          <w:p w:rsidR="00CE43AB" w:rsidRPr="00AA3F7A" w:rsidRDefault="00BF04F3" w:rsidP="00AA3F7A">
            <w:pPr>
              <w:overflowPunct w:val="0"/>
              <w:adjustRightInd w:val="0"/>
              <w:spacing w:line="360" w:lineRule="auto"/>
              <w:jc w:val="both"/>
              <w:rPr>
                <w:szCs w:val="28"/>
              </w:rPr>
            </w:pPr>
            <w:r w:rsidRPr="00AA3F7A">
              <w:rPr>
                <w:szCs w:val="28"/>
              </w:rPr>
              <w:t>7</w:t>
            </w:r>
          </w:p>
        </w:tc>
        <w:tc>
          <w:tcPr>
            <w:tcW w:w="1734" w:type="dxa"/>
            <w:shd w:val="clear" w:color="auto" w:fill="auto"/>
          </w:tcPr>
          <w:p w:rsidR="00CE43AB" w:rsidRPr="00AA3F7A" w:rsidRDefault="00966AA8" w:rsidP="00AA3F7A">
            <w:pPr>
              <w:overflowPunct w:val="0"/>
              <w:adjustRightInd w:val="0"/>
              <w:spacing w:line="360" w:lineRule="auto"/>
              <w:jc w:val="both"/>
              <w:rPr>
                <w:szCs w:val="28"/>
              </w:rPr>
            </w:pPr>
            <w:r w:rsidRPr="00AA3F7A">
              <w:rPr>
                <w:szCs w:val="28"/>
              </w:rPr>
              <w:t>Кредитная</w:t>
            </w:r>
          </w:p>
        </w:tc>
        <w:tc>
          <w:tcPr>
            <w:tcW w:w="7114" w:type="dxa"/>
            <w:shd w:val="clear" w:color="auto" w:fill="auto"/>
          </w:tcPr>
          <w:p w:rsidR="00CE43AB" w:rsidRPr="00AA3F7A" w:rsidRDefault="00966AA8" w:rsidP="00AA3F7A">
            <w:pPr>
              <w:pStyle w:val="a3"/>
              <w:spacing w:line="360" w:lineRule="auto"/>
              <w:rPr>
                <w:rFonts w:ascii="Times New Roman" w:hAnsi="Times New Roman" w:cs="Times New Roman"/>
                <w:sz w:val="20"/>
                <w:szCs w:val="28"/>
              </w:rPr>
            </w:pPr>
            <w:r w:rsidRPr="00AA3F7A">
              <w:rPr>
                <w:rFonts w:ascii="Times New Roman" w:hAnsi="Times New Roman" w:cs="Times New Roman"/>
                <w:sz w:val="20"/>
                <w:szCs w:val="28"/>
              </w:rPr>
              <w:t>Держатель специального избирательного счета, по</w:t>
            </w:r>
          </w:p>
        </w:tc>
      </w:tr>
      <w:tr w:rsidR="005F3227" w:rsidRPr="00AA3F7A" w:rsidTr="00AA3F7A">
        <w:trPr>
          <w:trHeight w:val="143"/>
          <w:jc w:val="center"/>
        </w:trPr>
        <w:tc>
          <w:tcPr>
            <w:tcW w:w="587" w:type="dxa"/>
            <w:shd w:val="clear" w:color="auto" w:fill="auto"/>
          </w:tcPr>
          <w:p w:rsidR="005F3227" w:rsidRPr="00AA3F7A" w:rsidRDefault="005F3227" w:rsidP="00AA3F7A">
            <w:pPr>
              <w:overflowPunct w:val="0"/>
              <w:adjustRightInd w:val="0"/>
              <w:spacing w:line="360" w:lineRule="auto"/>
              <w:jc w:val="both"/>
              <w:rPr>
                <w:szCs w:val="28"/>
              </w:rPr>
            </w:pPr>
            <w:r w:rsidRPr="00AA3F7A">
              <w:rPr>
                <w:szCs w:val="28"/>
              </w:rPr>
              <w:t>1</w:t>
            </w:r>
          </w:p>
        </w:tc>
        <w:tc>
          <w:tcPr>
            <w:tcW w:w="1734" w:type="dxa"/>
            <w:shd w:val="clear" w:color="auto" w:fill="auto"/>
          </w:tcPr>
          <w:p w:rsidR="005F3227" w:rsidRPr="00AA3F7A" w:rsidRDefault="005F3227" w:rsidP="00AA3F7A">
            <w:pPr>
              <w:overflowPunct w:val="0"/>
              <w:adjustRightInd w:val="0"/>
              <w:spacing w:line="360" w:lineRule="auto"/>
              <w:jc w:val="both"/>
              <w:rPr>
                <w:szCs w:val="28"/>
              </w:rPr>
            </w:pPr>
            <w:r w:rsidRPr="00AA3F7A">
              <w:rPr>
                <w:szCs w:val="28"/>
              </w:rPr>
              <w:t>2</w:t>
            </w:r>
          </w:p>
        </w:tc>
        <w:tc>
          <w:tcPr>
            <w:tcW w:w="7114" w:type="dxa"/>
            <w:shd w:val="clear" w:color="auto" w:fill="auto"/>
          </w:tcPr>
          <w:p w:rsidR="005F3227" w:rsidRPr="00AA3F7A" w:rsidRDefault="005F3227" w:rsidP="00AA3F7A">
            <w:pPr>
              <w:overflowPunct w:val="0"/>
              <w:adjustRightInd w:val="0"/>
              <w:spacing w:line="360" w:lineRule="auto"/>
              <w:jc w:val="both"/>
              <w:rPr>
                <w:szCs w:val="28"/>
              </w:rPr>
            </w:pPr>
            <w:r w:rsidRPr="00AA3F7A">
              <w:rPr>
                <w:szCs w:val="28"/>
              </w:rPr>
              <w:t>3</w:t>
            </w:r>
          </w:p>
        </w:tc>
      </w:tr>
      <w:tr w:rsidR="005F3227" w:rsidRPr="00AA3F7A" w:rsidTr="00AA3F7A">
        <w:trPr>
          <w:trHeight w:val="143"/>
          <w:jc w:val="center"/>
        </w:trPr>
        <w:tc>
          <w:tcPr>
            <w:tcW w:w="587" w:type="dxa"/>
            <w:shd w:val="clear" w:color="auto" w:fill="auto"/>
          </w:tcPr>
          <w:p w:rsidR="005F3227" w:rsidRPr="00AA3F7A" w:rsidRDefault="005F3227" w:rsidP="00AA3F7A">
            <w:pPr>
              <w:overflowPunct w:val="0"/>
              <w:adjustRightInd w:val="0"/>
              <w:spacing w:line="360" w:lineRule="auto"/>
              <w:jc w:val="both"/>
              <w:rPr>
                <w:szCs w:val="28"/>
              </w:rPr>
            </w:pPr>
          </w:p>
        </w:tc>
        <w:tc>
          <w:tcPr>
            <w:tcW w:w="1734" w:type="dxa"/>
            <w:shd w:val="clear" w:color="auto" w:fill="auto"/>
          </w:tcPr>
          <w:p w:rsidR="005F3227" w:rsidRPr="00AA3F7A" w:rsidRDefault="005F3227" w:rsidP="00AA3F7A">
            <w:pPr>
              <w:overflowPunct w:val="0"/>
              <w:adjustRightInd w:val="0"/>
              <w:spacing w:line="360" w:lineRule="auto"/>
              <w:jc w:val="both"/>
              <w:rPr>
                <w:szCs w:val="28"/>
              </w:rPr>
            </w:pPr>
            <w:r w:rsidRPr="00AA3F7A">
              <w:rPr>
                <w:szCs w:val="28"/>
              </w:rPr>
              <w:t>организация</w:t>
            </w:r>
          </w:p>
        </w:tc>
        <w:tc>
          <w:tcPr>
            <w:tcW w:w="7114" w:type="dxa"/>
            <w:shd w:val="clear" w:color="auto" w:fill="auto"/>
          </w:tcPr>
          <w:p w:rsidR="005F3227" w:rsidRPr="00AA3F7A" w:rsidRDefault="005F3227" w:rsidP="00AA3F7A">
            <w:pPr>
              <w:pStyle w:val="a3"/>
              <w:spacing w:line="360" w:lineRule="auto"/>
              <w:rPr>
                <w:rFonts w:ascii="Times New Roman" w:hAnsi="Times New Roman" w:cs="Times New Roman"/>
                <w:sz w:val="20"/>
                <w:szCs w:val="28"/>
              </w:rPr>
            </w:pPr>
            <w:r w:rsidRPr="00AA3F7A">
              <w:rPr>
                <w:rFonts w:ascii="Times New Roman" w:hAnsi="Times New Roman" w:cs="Times New Roman"/>
                <w:sz w:val="20"/>
                <w:szCs w:val="28"/>
              </w:rPr>
              <w:t>представлению соответствующей избирательной комиссии, а по соответствующему избирательному фонду, требованию кандидата, избирательного объединения, избирательного блока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tc>
      </w:tr>
      <w:tr w:rsidR="001860FE" w:rsidRPr="00AA3F7A" w:rsidTr="00AA3F7A">
        <w:trPr>
          <w:trHeight w:val="143"/>
          <w:jc w:val="center"/>
        </w:trPr>
        <w:tc>
          <w:tcPr>
            <w:tcW w:w="587" w:type="dxa"/>
            <w:shd w:val="clear" w:color="auto" w:fill="auto"/>
          </w:tcPr>
          <w:p w:rsidR="001860FE" w:rsidRPr="00AA3F7A" w:rsidRDefault="00BF04F3" w:rsidP="00AA3F7A">
            <w:pPr>
              <w:overflowPunct w:val="0"/>
              <w:adjustRightInd w:val="0"/>
              <w:spacing w:line="360" w:lineRule="auto"/>
              <w:jc w:val="both"/>
              <w:rPr>
                <w:szCs w:val="28"/>
              </w:rPr>
            </w:pPr>
            <w:r w:rsidRPr="00AA3F7A">
              <w:rPr>
                <w:szCs w:val="28"/>
              </w:rPr>
              <w:t>8</w:t>
            </w:r>
          </w:p>
        </w:tc>
        <w:tc>
          <w:tcPr>
            <w:tcW w:w="1734" w:type="dxa"/>
            <w:shd w:val="clear" w:color="auto" w:fill="auto"/>
          </w:tcPr>
          <w:p w:rsidR="001860FE" w:rsidRPr="00AA3F7A" w:rsidRDefault="001860FE" w:rsidP="00AA3F7A">
            <w:pPr>
              <w:overflowPunct w:val="0"/>
              <w:adjustRightInd w:val="0"/>
              <w:spacing w:line="360" w:lineRule="auto"/>
              <w:jc w:val="both"/>
              <w:rPr>
                <w:szCs w:val="28"/>
              </w:rPr>
            </w:pPr>
            <w:r w:rsidRPr="00AA3F7A">
              <w:rPr>
                <w:szCs w:val="28"/>
              </w:rPr>
              <w:t>Отчётность</w:t>
            </w:r>
          </w:p>
        </w:tc>
        <w:tc>
          <w:tcPr>
            <w:tcW w:w="7114" w:type="dxa"/>
            <w:shd w:val="clear" w:color="auto" w:fill="auto"/>
          </w:tcPr>
          <w:p w:rsidR="001860FE" w:rsidRPr="00AA3F7A" w:rsidRDefault="001860FE" w:rsidP="00AA3F7A">
            <w:pPr>
              <w:pStyle w:val="a3"/>
              <w:spacing w:line="360" w:lineRule="auto"/>
              <w:rPr>
                <w:rFonts w:ascii="Times New Roman" w:hAnsi="Times New Roman" w:cs="Times New Roman"/>
                <w:sz w:val="20"/>
                <w:szCs w:val="28"/>
              </w:rPr>
            </w:pPr>
            <w:r w:rsidRPr="00AA3F7A">
              <w:rPr>
                <w:rFonts w:ascii="Times New Roman" w:hAnsi="Times New Roman"/>
                <w:sz w:val="20"/>
                <w:szCs w:val="28"/>
              </w:rPr>
              <w:t>Один из основополагающих принципов финансирования выборов.</w:t>
            </w:r>
          </w:p>
        </w:tc>
      </w:tr>
      <w:tr w:rsidR="007568FB" w:rsidRPr="00AA3F7A" w:rsidTr="00AA3F7A">
        <w:trPr>
          <w:trHeight w:val="143"/>
          <w:jc w:val="center"/>
        </w:trPr>
        <w:tc>
          <w:tcPr>
            <w:tcW w:w="587" w:type="dxa"/>
            <w:shd w:val="clear" w:color="auto" w:fill="auto"/>
          </w:tcPr>
          <w:p w:rsidR="007568FB" w:rsidRPr="00AA3F7A" w:rsidRDefault="00BF04F3" w:rsidP="00AA3F7A">
            <w:pPr>
              <w:overflowPunct w:val="0"/>
              <w:adjustRightInd w:val="0"/>
              <w:spacing w:line="360" w:lineRule="auto"/>
              <w:jc w:val="both"/>
              <w:rPr>
                <w:szCs w:val="28"/>
              </w:rPr>
            </w:pPr>
            <w:r w:rsidRPr="00AA3F7A">
              <w:rPr>
                <w:szCs w:val="28"/>
              </w:rPr>
              <w:t>9</w:t>
            </w:r>
          </w:p>
        </w:tc>
        <w:tc>
          <w:tcPr>
            <w:tcW w:w="1734" w:type="dxa"/>
            <w:shd w:val="clear" w:color="auto" w:fill="auto"/>
          </w:tcPr>
          <w:p w:rsidR="007568FB" w:rsidRPr="00AA3F7A" w:rsidRDefault="007568FB" w:rsidP="00AA3F7A">
            <w:pPr>
              <w:overflowPunct w:val="0"/>
              <w:adjustRightInd w:val="0"/>
              <w:spacing w:line="360" w:lineRule="auto"/>
              <w:jc w:val="both"/>
              <w:rPr>
                <w:szCs w:val="28"/>
              </w:rPr>
            </w:pPr>
            <w:r w:rsidRPr="00AA3F7A">
              <w:rPr>
                <w:szCs w:val="28"/>
              </w:rPr>
              <w:t>Первый</w:t>
            </w:r>
          </w:p>
          <w:p w:rsidR="007568FB" w:rsidRPr="00AA3F7A" w:rsidRDefault="007568FB" w:rsidP="00AA3F7A">
            <w:pPr>
              <w:overflowPunct w:val="0"/>
              <w:adjustRightInd w:val="0"/>
              <w:spacing w:line="360" w:lineRule="auto"/>
              <w:jc w:val="both"/>
              <w:rPr>
                <w:szCs w:val="28"/>
              </w:rPr>
            </w:pPr>
            <w:r w:rsidRPr="00AA3F7A">
              <w:rPr>
                <w:szCs w:val="28"/>
              </w:rPr>
              <w:t>финансовый отчёт</w:t>
            </w:r>
          </w:p>
        </w:tc>
        <w:tc>
          <w:tcPr>
            <w:tcW w:w="7114" w:type="dxa"/>
            <w:shd w:val="clear" w:color="auto" w:fill="auto"/>
          </w:tcPr>
          <w:p w:rsidR="007568FB" w:rsidRPr="00AA3F7A" w:rsidRDefault="007568FB" w:rsidP="00AA3F7A">
            <w:pPr>
              <w:pStyle w:val="a3"/>
              <w:spacing w:line="360" w:lineRule="auto"/>
              <w:rPr>
                <w:rFonts w:ascii="Times New Roman" w:hAnsi="Times New Roman"/>
                <w:sz w:val="20"/>
                <w:szCs w:val="28"/>
              </w:rPr>
            </w:pPr>
            <w:r w:rsidRPr="00AA3F7A">
              <w:rPr>
                <w:rFonts w:ascii="Times New Roman" w:hAnsi="Times New Roman"/>
                <w:sz w:val="20"/>
                <w:szCs w:val="28"/>
              </w:rPr>
              <w:t>Одновременно с представлением документов, необходимых для регистрации, в соответствующую избирательную комиссию в установленном настоящим Федеральным законом порядке; в отчет включаются сведения по состоянию на дату, которая не более чем на пять дней предшествует дате сдачи отчета</w:t>
            </w:r>
          </w:p>
        </w:tc>
      </w:tr>
      <w:tr w:rsidR="00DF4329" w:rsidRPr="00AA3F7A" w:rsidTr="00AA3F7A">
        <w:trPr>
          <w:trHeight w:val="2395"/>
          <w:jc w:val="center"/>
        </w:trPr>
        <w:tc>
          <w:tcPr>
            <w:tcW w:w="587" w:type="dxa"/>
            <w:shd w:val="clear" w:color="auto" w:fill="auto"/>
          </w:tcPr>
          <w:p w:rsidR="00DF4329" w:rsidRPr="00AA3F7A" w:rsidRDefault="00BF04F3" w:rsidP="00AA3F7A">
            <w:pPr>
              <w:overflowPunct w:val="0"/>
              <w:adjustRightInd w:val="0"/>
              <w:spacing w:line="360" w:lineRule="auto"/>
              <w:jc w:val="both"/>
              <w:rPr>
                <w:szCs w:val="28"/>
              </w:rPr>
            </w:pPr>
            <w:r w:rsidRPr="00AA3F7A">
              <w:rPr>
                <w:szCs w:val="28"/>
              </w:rPr>
              <w:t>10</w:t>
            </w:r>
          </w:p>
        </w:tc>
        <w:tc>
          <w:tcPr>
            <w:tcW w:w="1734" w:type="dxa"/>
            <w:shd w:val="clear" w:color="auto" w:fill="auto"/>
          </w:tcPr>
          <w:p w:rsidR="00DF4329" w:rsidRPr="00AA3F7A" w:rsidRDefault="00DF4329" w:rsidP="00AA3F7A">
            <w:pPr>
              <w:overflowPunct w:val="0"/>
              <w:adjustRightInd w:val="0"/>
              <w:spacing w:line="360" w:lineRule="auto"/>
              <w:jc w:val="both"/>
              <w:rPr>
                <w:szCs w:val="28"/>
              </w:rPr>
            </w:pPr>
            <w:r w:rsidRPr="00AA3F7A">
              <w:rPr>
                <w:szCs w:val="28"/>
              </w:rPr>
              <w:t>Политическая</w:t>
            </w:r>
          </w:p>
          <w:p w:rsidR="00DF4329" w:rsidRPr="00AA3F7A" w:rsidRDefault="00DF4329" w:rsidP="00AA3F7A">
            <w:pPr>
              <w:overflowPunct w:val="0"/>
              <w:adjustRightInd w:val="0"/>
              <w:spacing w:line="360" w:lineRule="auto"/>
              <w:jc w:val="both"/>
              <w:rPr>
                <w:szCs w:val="28"/>
              </w:rPr>
            </w:pPr>
            <w:r w:rsidRPr="00AA3F7A">
              <w:rPr>
                <w:szCs w:val="28"/>
              </w:rPr>
              <w:t>партия</w:t>
            </w:r>
          </w:p>
        </w:tc>
        <w:tc>
          <w:tcPr>
            <w:tcW w:w="7114" w:type="dxa"/>
            <w:shd w:val="clear" w:color="auto" w:fill="auto"/>
          </w:tcPr>
          <w:p w:rsidR="00DF4329" w:rsidRPr="00AA3F7A" w:rsidRDefault="00592317" w:rsidP="00AA3F7A">
            <w:pPr>
              <w:pStyle w:val="a3"/>
              <w:spacing w:line="360" w:lineRule="auto"/>
              <w:rPr>
                <w:rFonts w:ascii="Times New Roman" w:hAnsi="Times New Roman"/>
                <w:sz w:val="20"/>
                <w:szCs w:val="28"/>
              </w:rPr>
            </w:pPr>
            <w:r w:rsidRPr="00AA3F7A">
              <w:rPr>
                <w:rFonts w:ascii="Times New Roman" w:hAnsi="Times New Roman"/>
                <w:sz w:val="20"/>
                <w:szCs w:val="28"/>
              </w:rPr>
              <w:t>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tc>
      </w:tr>
      <w:tr w:rsidR="007E30F2" w:rsidRPr="00AA3F7A" w:rsidTr="00AA3F7A">
        <w:trPr>
          <w:trHeight w:val="1026"/>
          <w:jc w:val="center"/>
        </w:trPr>
        <w:tc>
          <w:tcPr>
            <w:tcW w:w="587" w:type="dxa"/>
            <w:shd w:val="clear" w:color="auto" w:fill="auto"/>
          </w:tcPr>
          <w:p w:rsidR="007E30F2" w:rsidRPr="00AA3F7A" w:rsidRDefault="00BF04F3" w:rsidP="00AA3F7A">
            <w:pPr>
              <w:overflowPunct w:val="0"/>
              <w:adjustRightInd w:val="0"/>
              <w:spacing w:line="360" w:lineRule="auto"/>
              <w:jc w:val="both"/>
              <w:rPr>
                <w:szCs w:val="28"/>
              </w:rPr>
            </w:pPr>
            <w:r w:rsidRPr="00AA3F7A">
              <w:rPr>
                <w:szCs w:val="28"/>
              </w:rPr>
              <w:t>11</w:t>
            </w:r>
          </w:p>
        </w:tc>
        <w:tc>
          <w:tcPr>
            <w:tcW w:w="1734" w:type="dxa"/>
            <w:shd w:val="clear" w:color="auto" w:fill="auto"/>
          </w:tcPr>
          <w:p w:rsidR="007E30F2" w:rsidRPr="00AA3F7A" w:rsidRDefault="00E976DB" w:rsidP="00AA3F7A">
            <w:pPr>
              <w:overflowPunct w:val="0"/>
              <w:adjustRightInd w:val="0"/>
              <w:spacing w:line="360" w:lineRule="auto"/>
              <w:jc w:val="both"/>
              <w:rPr>
                <w:szCs w:val="28"/>
              </w:rPr>
            </w:pPr>
            <w:r w:rsidRPr="00AA3F7A">
              <w:rPr>
                <w:szCs w:val="28"/>
              </w:rPr>
              <w:t>Принципы финансирования выборов</w:t>
            </w:r>
          </w:p>
        </w:tc>
        <w:tc>
          <w:tcPr>
            <w:tcW w:w="7114" w:type="dxa"/>
            <w:shd w:val="clear" w:color="auto" w:fill="auto"/>
          </w:tcPr>
          <w:p w:rsidR="007E30F2" w:rsidRPr="00AA3F7A" w:rsidRDefault="00E976DB" w:rsidP="00AA3F7A">
            <w:pPr>
              <w:pStyle w:val="a3"/>
              <w:spacing w:line="360" w:lineRule="auto"/>
              <w:rPr>
                <w:rFonts w:ascii="Times New Roman" w:hAnsi="Times New Roman" w:cs="Times New Roman"/>
                <w:sz w:val="20"/>
                <w:szCs w:val="28"/>
              </w:rPr>
            </w:pPr>
            <w:r w:rsidRPr="00AA3F7A">
              <w:rPr>
                <w:rFonts w:ascii="Times New Roman" w:hAnsi="Times New Roman" w:cs="Times New Roman"/>
                <w:sz w:val="20"/>
                <w:szCs w:val="28"/>
              </w:rPr>
              <w:t>Гласность, отчетность, ответственность при финансировании и гарантированность финансового обеспечения подготовки и проведения выборов.</w:t>
            </w:r>
          </w:p>
        </w:tc>
      </w:tr>
      <w:tr w:rsidR="00E66A58" w:rsidRPr="00AA3F7A" w:rsidTr="00AA3F7A">
        <w:trPr>
          <w:trHeight w:val="669"/>
          <w:jc w:val="center"/>
        </w:trPr>
        <w:tc>
          <w:tcPr>
            <w:tcW w:w="587" w:type="dxa"/>
            <w:shd w:val="clear" w:color="auto" w:fill="auto"/>
          </w:tcPr>
          <w:p w:rsidR="00E66A58" w:rsidRPr="00AA3F7A" w:rsidRDefault="00BF04F3" w:rsidP="00AA3F7A">
            <w:pPr>
              <w:overflowPunct w:val="0"/>
              <w:adjustRightInd w:val="0"/>
              <w:spacing w:line="360" w:lineRule="auto"/>
              <w:jc w:val="both"/>
              <w:rPr>
                <w:szCs w:val="28"/>
              </w:rPr>
            </w:pPr>
            <w:r w:rsidRPr="00AA3F7A">
              <w:rPr>
                <w:szCs w:val="28"/>
              </w:rPr>
              <w:t>12</w:t>
            </w:r>
          </w:p>
        </w:tc>
        <w:tc>
          <w:tcPr>
            <w:tcW w:w="1734" w:type="dxa"/>
            <w:shd w:val="clear" w:color="auto" w:fill="auto"/>
          </w:tcPr>
          <w:p w:rsidR="00E66A58" w:rsidRPr="00AA3F7A" w:rsidRDefault="00E66A58" w:rsidP="00AA3F7A">
            <w:pPr>
              <w:overflowPunct w:val="0"/>
              <w:adjustRightInd w:val="0"/>
              <w:spacing w:line="360" w:lineRule="auto"/>
              <w:jc w:val="both"/>
              <w:rPr>
                <w:szCs w:val="28"/>
              </w:rPr>
            </w:pPr>
            <w:r w:rsidRPr="00AA3F7A">
              <w:rPr>
                <w:szCs w:val="28"/>
              </w:rPr>
              <w:t>Прямое финансирование выборов</w:t>
            </w:r>
          </w:p>
        </w:tc>
        <w:tc>
          <w:tcPr>
            <w:tcW w:w="7114" w:type="dxa"/>
            <w:shd w:val="clear" w:color="auto" w:fill="auto"/>
          </w:tcPr>
          <w:p w:rsidR="00E66A58" w:rsidRPr="00AA3F7A" w:rsidRDefault="00E66A58" w:rsidP="00AA3F7A">
            <w:pPr>
              <w:pStyle w:val="a3"/>
              <w:spacing w:line="360" w:lineRule="auto"/>
              <w:rPr>
                <w:rFonts w:ascii="Times New Roman" w:hAnsi="Times New Roman" w:cs="Times New Roman"/>
                <w:sz w:val="20"/>
                <w:szCs w:val="28"/>
              </w:rPr>
            </w:pPr>
            <w:r w:rsidRPr="00AA3F7A">
              <w:rPr>
                <w:rFonts w:ascii="Times New Roman" w:hAnsi="Times New Roman"/>
                <w:sz w:val="20"/>
                <w:szCs w:val="28"/>
              </w:rPr>
              <w:t>Обеспечивающие выборы финансовые действия: перечисление, поступление, расходование, учет денеж</w:t>
            </w:r>
            <w:r w:rsidR="00B9322E" w:rsidRPr="00AA3F7A">
              <w:rPr>
                <w:rFonts w:ascii="Times New Roman" w:hAnsi="Times New Roman"/>
                <w:sz w:val="20"/>
                <w:szCs w:val="28"/>
              </w:rPr>
              <w:t>-</w:t>
            </w:r>
          </w:p>
        </w:tc>
      </w:tr>
      <w:tr w:rsidR="00B9322E" w:rsidRPr="004C1FB0" w:rsidTr="00AA3F7A">
        <w:trPr>
          <w:trHeight w:val="342"/>
          <w:jc w:val="center"/>
        </w:trPr>
        <w:tc>
          <w:tcPr>
            <w:tcW w:w="587" w:type="dxa"/>
            <w:shd w:val="clear" w:color="auto" w:fill="auto"/>
          </w:tcPr>
          <w:p w:rsidR="00B9322E" w:rsidRPr="00AA3F7A" w:rsidRDefault="00B9322E" w:rsidP="00AA3F7A">
            <w:pPr>
              <w:overflowPunct w:val="0"/>
              <w:adjustRightInd w:val="0"/>
              <w:spacing w:line="360" w:lineRule="auto"/>
              <w:jc w:val="both"/>
              <w:rPr>
                <w:szCs w:val="28"/>
              </w:rPr>
            </w:pPr>
            <w:r w:rsidRPr="00AA3F7A">
              <w:rPr>
                <w:szCs w:val="28"/>
              </w:rPr>
              <w:t>1</w:t>
            </w:r>
          </w:p>
        </w:tc>
        <w:tc>
          <w:tcPr>
            <w:tcW w:w="1734" w:type="dxa"/>
            <w:shd w:val="clear" w:color="auto" w:fill="auto"/>
          </w:tcPr>
          <w:p w:rsidR="00B9322E" w:rsidRPr="00AA3F7A" w:rsidRDefault="00B9322E" w:rsidP="00AA3F7A">
            <w:pPr>
              <w:overflowPunct w:val="0"/>
              <w:adjustRightInd w:val="0"/>
              <w:spacing w:line="360" w:lineRule="auto"/>
              <w:jc w:val="both"/>
              <w:rPr>
                <w:szCs w:val="28"/>
              </w:rPr>
            </w:pPr>
            <w:r w:rsidRPr="00AA3F7A">
              <w:rPr>
                <w:szCs w:val="28"/>
              </w:rPr>
              <w:t>2</w:t>
            </w:r>
          </w:p>
        </w:tc>
        <w:tc>
          <w:tcPr>
            <w:tcW w:w="7114" w:type="dxa"/>
            <w:shd w:val="clear" w:color="auto" w:fill="auto"/>
          </w:tcPr>
          <w:p w:rsidR="00B9322E" w:rsidRPr="00AA3F7A" w:rsidRDefault="00B9322E" w:rsidP="00AA3F7A">
            <w:pPr>
              <w:overflowPunct w:val="0"/>
              <w:adjustRightInd w:val="0"/>
              <w:spacing w:line="360" w:lineRule="auto"/>
              <w:jc w:val="both"/>
              <w:rPr>
                <w:szCs w:val="28"/>
              </w:rPr>
            </w:pPr>
            <w:r w:rsidRPr="00AA3F7A">
              <w:rPr>
                <w:szCs w:val="28"/>
              </w:rPr>
              <w:t>3</w:t>
            </w:r>
          </w:p>
        </w:tc>
      </w:tr>
      <w:tr w:rsidR="00B9322E" w:rsidRPr="00AA3F7A" w:rsidTr="00AA3F7A">
        <w:trPr>
          <w:trHeight w:val="1026"/>
          <w:jc w:val="center"/>
        </w:trPr>
        <w:tc>
          <w:tcPr>
            <w:tcW w:w="587" w:type="dxa"/>
            <w:shd w:val="clear" w:color="auto" w:fill="auto"/>
          </w:tcPr>
          <w:p w:rsidR="00B9322E" w:rsidRPr="00AA3F7A" w:rsidRDefault="00B9322E" w:rsidP="00AA3F7A">
            <w:pPr>
              <w:overflowPunct w:val="0"/>
              <w:adjustRightInd w:val="0"/>
              <w:spacing w:line="360" w:lineRule="auto"/>
              <w:jc w:val="both"/>
              <w:rPr>
                <w:szCs w:val="28"/>
              </w:rPr>
            </w:pPr>
          </w:p>
        </w:tc>
        <w:tc>
          <w:tcPr>
            <w:tcW w:w="1734" w:type="dxa"/>
            <w:shd w:val="clear" w:color="auto" w:fill="auto"/>
          </w:tcPr>
          <w:p w:rsidR="00B9322E" w:rsidRPr="00AA3F7A" w:rsidRDefault="00B9322E" w:rsidP="00AA3F7A">
            <w:pPr>
              <w:overflowPunct w:val="0"/>
              <w:adjustRightInd w:val="0"/>
              <w:spacing w:line="360" w:lineRule="auto"/>
              <w:jc w:val="both"/>
              <w:rPr>
                <w:szCs w:val="28"/>
              </w:rPr>
            </w:pPr>
          </w:p>
        </w:tc>
        <w:tc>
          <w:tcPr>
            <w:tcW w:w="7114" w:type="dxa"/>
            <w:shd w:val="clear" w:color="auto" w:fill="auto"/>
          </w:tcPr>
          <w:p w:rsidR="00B9322E" w:rsidRPr="00AA3F7A" w:rsidRDefault="00B9322E" w:rsidP="00AA3F7A">
            <w:pPr>
              <w:pStyle w:val="a3"/>
              <w:spacing w:line="360" w:lineRule="auto"/>
              <w:rPr>
                <w:rFonts w:ascii="Times New Roman" w:hAnsi="Times New Roman"/>
                <w:sz w:val="20"/>
                <w:szCs w:val="28"/>
              </w:rPr>
            </w:pPr>
            <w:r w:rsidRPr="00AA3F7A">
              <w:rPr>
                <w:rFonts w:ascii="Times New Roman" w:hAnsi="Times New Roman"/>
                <w:sz w:val="20"/>
                <w:szCs w:val="28"/>
              </w:rPr>
              <w:t>ных средств, отчетность и другие действия, влекущие за собой движение бюджетных и иных финансовых ресурсов государства, организаций, граждан.</w:t>
            </w:r>
          </w:p>
        </w:tc>
      </w:tr>
      <w:tr w:rsidR="0074597E" w:rsidRPr="00AA3F7A" w:rsidTr="00AA3F7A">
        <w:trPr>
          <w:trHeight w:val="1012"/>
          <w:jc w:val="center"/>
        </w:trPr>
        <w:tc>
          <w:tcPr>
            <w:tcW w:w="587" w:type="dxa"/>
            <w:shd w:val="clear" w:color="auto" w:fill="auto"/>
          </w:tcPr>
          <w:p w:rsidR="0074597E" w:rsidRPr="00AA3F7A" w:rsidRDefault="00BF04F3" w:rsidP="00AA3F7A">
            <w:pPr>
              <w:overflowPunct w:val="0"/>
              <w:adjustRightInd w:val="0"/>
              <w:spacing w:line="360" w:lineRule="auto"/>
              <w:jc w:val="both"/>
              <w:rPr>
                <w:szCs w:val="28"/>
              </w:rPr>
            </w:pPr>
            <w:r w:rsidRPr="00AA3F7A">
              <w:rPr>
                <w:szCs w:val="28"/>
              </w:rPr>
              <w:t>13</w:t>
            </w:r>
          </w:p>
        </w:tc>
        <w:tc>
          <w:tcPr>
            <w:tcW w:w="1734" w:type="dxa"/>
            <w:shd w:val="clear" w:color="auto" w:fill="auto"/>
          </w:tcPr>
          <w:p w:rsidR="00C5524B" w:rsidRPr="00AA3F7A" w:rsidRDefault="00C5524B" w:rsidP="00AA3F7A">
            <w:pPr>
              <w:overflowPunct w:val="0"/>
              <w:adjustRightInd w:val="0"/>
              <w:spacing w:line="360" w:lineRule="auto"/>
              <w:jc w:val="both"/>
              <w:rPr>
                <w:bCs/>
                <w:iCs/>
                <w:szCs w:val="28"/>
              </w:rPr>
            </w:pPr>
            <w:r w:rsidRPr="00AA3F7A">
              <w:rPr>
                <w:bCs/>
                <w:iCs/>
                <w:szCs w:val="28"/>
              </w:rPr>
              <w:t>Финансирование</w:t>
            </w:r>
          </w:p>
          <w:p w:rsidR="0074597E" w:rsidRPr="00AA3F7A" w:rsidRDefault="00C5524B" w:rsidP="00AA3F7A">
            <w:pPr>
              <w:overflowPunct w:val="0"/>
              <w:adjustRightInd w:val="0"/>
              <w:spacing w:line="360" w:lineRule="auto"/>
              <w:jc w:val="both"/>
              <w:rPr>
                <w:szCs w:val="28"/>
              </w:rPr>
            </w:pPr>
            <w:r w:rsidRPr="00AA3F7A">
              <w:rPr>
                <w:bCs/>
                <w:iCs/>
                <w:szCs w:val="28"/>
              </w:rPr>
              <w:t>выборов</w:t>
            </w:r>
          </w:p>
        </w:tc>
        <w:tc>
          <w:tcPr>
            <w:tcW w:w="7114" w:type="dxa"/>
            <w:shd w:val="clear" w:color="auto" w:fill="auto"/>
          </w:tcPr>
          <w:p w:rsidR="0074597E" w:rsidRPr="00AA3F7A" w:rsidRDefault="003600E6" w:rsidP="00AA3F7A">
            <w:pPr>
              <w:autoSpaceDE w:val="0"/>
              <w:autoSpaceDN w:val="0"/>
              <w:adjustRightInd w:val="0"/>
              <w:spacing w:line="360" w:lineRule="auto"/>
              <w:jc w:val="both"/>
              <w:rPr>
                <w:szCs w:val="28"/>
              </w:rPr>
            </w:pPr>
            <w:r w:rsidRPr="00AA3F7A">
              <w:rPr>
                <w:szCs w:val="28"/>
              </w:rPr>
              <w:t>Действия, направленные на прямое и косвенное финансирование и поддающееся финансовой оценке материальное обеспечение подготовки и проведения выборов.</w:t>
            </w:r>
          </w:p>
        </w:tc>
      </w:tr>
      <w:tr w:rsidR="00E71062" w:rsidRPr="00AA3F7A" w:rsidTr="00AA3F7A">
        <w:trPr>
          <w:trHeight w:val="1384"/>
          <w:jc w:val="center"/>
        </w:trPr>
        <w:tc>
          <w:tcPr>
            <w:tcW w:w="587" w:type="dxa"/>
            <w:shd w:val="clear" w:color="auto" w:fill="auto"/>
          </w:tcPr>
          <w:p w:rsidR="00E71062" w:rsidRPr="00AA3F7A" w:rsidRDefault="00BF04F3" w:rsidP="00AA3F7A">
            <w:pPr>
              <w:overflowPunct w:val="0"/>
              <w:adjustRightInd w:val="0"/>
              <w:spacing w:line="360" w:lineRule="auto"/>
              <w:jc w:val="both"/>
              <w:rPr>
                <w:szCs w:val="28"/>
              </w:rPr>
            </w:pPr>
            <w:r w:rsidRPr="00AA3F7A">
              <w:rPr>
                <w:szCs w:val="28"/>
              </w:rPr>
              <w:t>14</w:t>
            </w:r>
          </w:p>
        </w:tc>
        <w:tc>
          <w:tcPr>
            <w:tcW w:w="1734" w:type="dxa"/>
            <w:shd w:val="clear" w:color="auto" w:fill="auto"/>
          </w:tcPr>
          <w:p w:rsidR="00E66A58" w:rsidRPr="00AA3F7A" w:rsidRDefault="00E66A58" w:rsidP="00AA3F7A">
            <w:pPr>
              <w:overflowPunct w:val="0"/>
              <w:adjustRightInd w:val="0"/>
              <w:spacing w:line="360" w:lineRule="auto"/>
              <w:jc w:val="both"/>
              <w:rPr>
                <w:szCs w:val="28"/>
              </w:rPr>
            </w:pPr>
            <w:r w:rsidRPr="00AA3F7A">
              <w:rPr>
                <w:szCs w:val="28"/>
              </w:rPr>
              <w:t>Финансирование</w:t>
            </w:r>
          </w:p>
          <w:p w:rsidR="00E71062" w:rsidRPr="00AA3F7A" w:rsidRDefault="00E66A58" w:rsidP="00AA3F7A">
            <w:pPr>
              <w:overflowPunct w:val="0"/>
              <w:adjustRightInd w:val="0"/>
              <w:spacing w:line="360" w:lineRule="auto"/>
              <w:jc w:val="both"/>
              <w:rPr>
                <w:bCs/>
                <w:iCs/>
                <w:szCs w:val="28"/>
              </w:rPr>
            </w:pPr>
            <w:r w:rsidRPr="00AA3F7A">
              <w:rPr>
                <w:szCs w:val="28"/>
              </w:rPr>
              <w:t>выборов</w:t>
            </w:r>
          </w:p>
        </w:tc>
        <w:tc>
          <w:tcPr>
            <w:tcW w:w="7114" w:type="dxa"/>
            <w:shd w:val="clear" w:color="auto" w:fill="auto"/>
          </w:tcPr>
          <w:p w:rsidR="00E71062" w:rsidRPr="00AA3F7A" w:rsidRDefault="00E66A58" w:rsidP="00AA3F7A">
            <w:pPr>
              <w:autoSpaceDE w:val="0"/>
              <w:autoSpaceDN w:val="0"/>
              <w:adjustRightInd w:val="0"/>
              <w:spacing w:line="360" w:lineRule="auto"/>
              <w:jc w:val="both"/>
              <w:rPr>
                <w:bCs/>
                <w:iCs/>
                <w:szCs w:val="28"/>
              </w:rPr>
            </w:pPr>
            <w:r w:rsidRPr="00AA3F7A">
              <w:rPr>
                <w:szCs w:val="28"/>
              </w:rPr>
              <w:t>Включает в себя прямое и косвенное финансирование избирательной кампании, а также иное поддающееся финансовой оценке материальное обеспечение подготовки и проведения выборов, не ограниченное рамками избирательной кампании.</w:t>
            </w:r>
          </w:p>
        </w:tc>
      </w:tr>
    </w:tbl>
    <w:p w:rsidR="0057219A" w:rsidRPr="004C1FB0" w:rsidRDefault="0074597E" w:rsidP="00F71566">
      <w:pPr>
        <w:pStyle w:val="1"/>
        <w:keepNext w:val="0"/>
        <w:spacing w:line="360" w:lineRule="auto"/>
        <w:ind w:right="0" w:firstLine="709"/>
        <w:jc w:val="both"/>
        <w:rPr>
          <w:caps w:val="0"/>
          <w:sz w:val="28"/>
          <w:szCs w:val="28"/>
        </w:rPr>
      </w:pPr>
      <w:r w:rsidRPr="00F71566">
        <w:rPr>
          <w:b w:val="0"/>
          <w:sz w:val="28"/>
          <w:szCs w:val="28"/>
        </w:rPr>
        <w:br w:type="page"/>
      </w:r>
      <w:r w:rsidR="00342277" w:rsidRPr="004C1FB0">
        <w:rPr>
          <w:caps w:val="0"/>
          <w:sz w:val="28"/>
          <w:szCs w:val="28"/>
        </w:rPr>
        <w:t>Список использованных источников</w:t>
      </w:r>
    </w:p>
    <w:p w:rsidR="0057219A" w:rsidRPr="00F71566" w:rsidRDefault="0057219A" w:rsidP="00F71566">
      <w:pPr>
        <w:spacing w:line="360" w:lineRule="auto"/>
        <w:ind w:firstLine="709"/>
        <w:jc w:val="both"/>
        <w:rPr>
          <w:bCs/>
          <w:sz w:val="28"/>
          <w:szCs w:val="28"/>
        </w:rPr>
      </w:pPr>
    </w:p>
    <w:p w:rsidR="001C0D2E" w:rsidRPr="00F71566" w:rsidRDefault="0006541E" w:rsidP="004C1FB0">
      <w:pPr>
        <w:pStyle w:val="a3"/>
        <w:spacing w:line="360" w:lineRule="auto"/>
        <w:rPr>
          <w:rFonts w:ascii="Times New Roman" w:hAnsi="Times New Roman" w:cs="Times New Roman"/>
          <w:sz w:val="28"/>
          <w:szCs w:val="28"/>
        </w:rPr>
      </w:pPr>
      <w:r w:rsidRPr="00F71566">
        <w:rPr>
          <w:rFonts w:ascii="Times New Roman" w:hAnsi="Times New Roman" w:cs="Times New Roman"/>
          <w:sz w:val="28"/>
          <w:szCs w:val="28"/>
        </w:rPr>
        <w:t xml:space="preserve">1. </w:t>
      </w:r>
      <w:r w:rsidR="001C0D2E" w:rsidRPr="00F71566">
        <w:rPr>
          <w:rFonts w:ascii="Times New Roman" w:hAnsi="Times New Roman" w:cs="Times New Roman"/>
          <w:sz w:val="28"/>
          <w:szCs w:val="28"/>
        </w:rPr>
        <w:t xml:space="preserve">Федеральный закон Российской Федерации от 12 июня </w:t>
      </w:r>
      <w:smartTag w:uri="urn:schemas-microsoft-com:office:smarttags" w:element="metricconverter">
        <w:smartTagPr>
          <w:attr w:name="ProductID" w:val="2005 г"/>
        </w:smartTagPr>
        <w:r w:rsidR="001C0D2E" w:rsidRPr="00F71566">
          <w:rPr>
            <w:rFonts w:ascii="Times New Roman" w:hAnsi="Times New Roman" w:cs="Times New Roman"/>
            <w:sz w:val="28"/>
            <w:szCs w:val="28"/>
          </w:rPr>
          <w:t>2002 г</w:t>
        </w:r>
      </w:smartTag>
      <w:r w:rsidR="001C0D2E" w:rsidRPr="00F71566">
        <w:rPr>
          <w:rFonts w:ascii="Times New Roman" w:hAnsi="Times New Roman" w:cs="Times New Roman"/>
          <w:sz w:val="28"/>
          <w:szCs w:val="28"/>
        </w:rPr>
        <w:t>. № 67-ФЗ «Об основных гарантиях избирательных прав и права на участие в референдуме граждан Российской Федерации» (в ред. ФЗ от 27.09.2002 № 119-ФЗ, от 23.06.2003 № 83-ФЗ, от 04.07.2003 № 97-ФЗ, от 04.07.2003 № 102-ФЗ, от 07.06.2004 № 46-ФЗ, от 12.08.2004 № 99-ФЗ, от 22.08.2004 № 122-ФЗ, от 11.12.2004 № 159-ФЗ, от 29.06.2005 № 69-ФЗ, от 21.07.2005 № 93-ФЗ, от 12.07.2006 № 106-ФЗ, от 12.07.2006 № 107-ФЗ, от 25.07.2006 № 128-ФЗ, от 05.12.2006 № 225-ФЗ, от 30.12.2006 № 274-ФЗ, от 30.01.2007 № 6-ФЗ, от 02.03.2007 № 24-ФЗ, от 20.04.2007 № 62-ФЗ, от 26.04.2007 № 64-ФЗ, от 24.07.2007 № 211-ФЗ, от 24.07.2007 № 214-ФЗ, с изм., внесенными ФЗ от 24.12.2002 № 176-ФЗ, Постановлением Конституционного Суда РФ от 30.10.2003 № 15-П, Федеральным законом от 23.12.2003 № 186-ФЗ, Постановлений Конституционного Суда РФ от 25.02.2004 № 4-П, от 14.11.2005 № 10-П).</w:t>
      </w:r>
    </w:p>
    <w:p w:rsidR="002D5947" w:rsidRPr="00F71566" w:rsidRDefault="0006541E" w:rsidP="004C1FB0">
      <w:pPr>
        <w:pStyle w:val="a3"/>
        <w:spacing w:line="360" w:lineRule="auto"/>
        <w:rPr>
          <w:rFonts w:ascii="Times New Roman" w:hAnsi="Times New Roman" w:cs="Times New Roman"/>
          <w:sz w:val="28"/>
          <w:szCs w:val="28"/>
        </w:rPr>
      </w:pPr>
      <w:r w:rsidRPr="00F71566">
        <w:rPr>
          <w:rFonts w:ascii="Times New Roman" w:hAnsi="Times New Roman" w:cs="Times New Roman"/>
          <w:sz w:val="28"/>
          <w:szCs w:val="28"/>
        </w:rPr>
        <w:t xml:space="preserve">2. </w:t>
      </w:r>
      <w:r w:rsidR="002D5947" w:rsidRPr="00F71566">
        <w:rPr>
          <w:rFonts w:ascii="Times New Roman" w:hAnsi="Times New Roman" w:cs="Times New Roman"/>
          <w:sz w:val="28"/>
          <w:szCs w:val="28"/>
        </w:rPr>
        <w:t xml:space="preserve">Федеральный закон Российской Федерации от 10.01.2003 № 19-ФЗ «О выборах Президента Российской Федерации» (в ред. </w:t>
      </w:r>
      <w:r w:rsidR="00005216" w:rsidRPr="00F71566">
        <w:rPr>
          <w:rFonts w:ascii="Times New Roman" w:hAnsi="Times New Roman" w:cs="Times New Roman"/>
          <w:sz w:val="28"/>
          <w:szCs w:val="28"/>
        </w:rPr>
        <w:t>ФЗ</w:t>
      </w:r>
      <w:r w:rsidR="002D5947" w:rsidRPr="00F71566">
        <w:rPr>
          <w:rFonts w:ascii="Times New Roman" w:hAnsi="Times New Roman" w:cs="Times New Roman"/>
          <w:sz w:val="28"/>
          <w:szCs w:val="28"/>
        </w:rPr>
        <w:t xml:space="preserve"> от 21.07.2005 № 93-ФЗ, от 12.07.2006 № 106-ФЗ, от 12.07.2006 № 107-ФЗ, от 25.07.2006 № 128-ФЗ, от 30.12.2006 № 274-ФЗ, от 26.04.2007 № 64-ФЗ, от 24.07.2007 № 211-ФЗ, от 24.07.2007 № 214-ФЗ, от 09.02.2009 № 3-ФЗ).</w:t>
      </w:r>
    </w:p>
    <w:p w:rsidR="000A2297" w:rsidRPr="00F71566" w:rsidRDefault="0006541E" w:rsidP="004C1FB0">
      <w:pPr>
        <w:pStyle w:val="a3"/>
        <w:spacing w:line="360" w:lineRule="auto"/>
        <w:rPr>
          <w:rFonts w:ascii="Times New Roman" w:hAnsi="Times New Roman" w:cs="Times New Roman"/>
          <w:sz w:val="28"/>
          <w:szCs w:val="28"/>
        </w:rPr>
      </w:pPr>
      <w:r w:rsidRPr="00F71566">
        <w:rPr>
          <w:rFonts w:ascii="Times New Roman" w:hAnsi="Times New Roman" w:cs="Times New Roman"/>
          <w:sz w:val="28"/>
          <w:szCs w:val="28"/>
        </w:rPr>
        <w:t xml:space="preserve">3. </w:t>
      </w:r>
      <w:r w:rsidR="000A2297" w:rsidRPr="00F71566">
        <w:rPr>
          <w:rFonts w:ascii="Times New Roman" w:hAnsi="Times New Roman" w:cs="Times New Roman"/>
          <w:sz w:val="28"/>
          <w:szCs w:val="28"/>
        </w:rPr>
        <w:t xml:space="preserve">Федеральный закон Российской Федерации от 18 мая </w:t>
      </w:r>
      <w:smartTag w:uri="urn:schemas-microsoft-com:office:smarttags" w:element="metricconverter">
        <w:smartTagPr>
          <w:attr w:name="ProductID" w:val="2005 г"/>
        </w:smartTagPr>
        <w:r w:rsidR="000A2297" w:rsidRPr="00F71566">
          <w:rPr>
            <w:rFonts w:ascii="Times New Roman" w:hAnsi="Times New Roman" w:cs="Times New Roman"/>
            <w:sz w:val="28"/>
            <w:szCs w:val="28"/>
          </w:rPr>
          <w:t>2005 г</w:t>
        </w:r>
      </w:smartTag>
      <w:r w:rsidR="000A2297" w:rsidRPr="00F71566">
        <w:rPr>
          <w:rFonts w:ascii="Times New Roman" w:hAnsi="Times New Roman" w:cs="Times New Roman"/>
          <w:sz w:val="28"/>
          <w:szCs w:val="28"/>
        </w:rPr>
        <w:t>. № 51-ФЗ «О выборах депутатов Государственной Думы Федерального Собрания Российской Федерации» (в ред. ФЗ от 12.07.2006 № 106-ФЗ, от 12.07.2006 № 107-ФЗ, от 25.07.2006 № 128-ФЗ, от 30.12.2006 № 274-ФЗ, от 26.04.2007 № 64-ФЗ, от 21.07.2007 № 188-ФЗ, от 24.07.2007 № 211-ФЗ).</w:t>
      </w:r>
    </w:p>
    <w:p w:rsidR="00D24E5A" w:rsidRPr="00F71566" w:rsidRDefault="0006541E" w:rsidP="004C1FB0">
      <w:pPr>
        <w:pStyle w:val="a3"/>
        <w:spacing w:line="360" w:lineRule="auto"/>
        <w:rPr>
          <w:rFonts w:ascii="Times New Roman" w:hAnsi="Times New Roman" w:cs="Times New Roman"/>
          <w:sz w:val="28"/>
          <w:szCs w:val="28"/>
        </w:rPr>
      </w:pPr>
      <w:r w:rsidRPr="00F71566">
        <w:rPr>
          <w:rFonts w:ascii="Times New Roman" w:hAnsi="Times New Roman" w:cs="Times New Roman"/>
          <w:sz w:val="28"/>
          <w:szCs w:val="28"/>
        </w:rPr>
        <w:t xml:space="preserve">4. </w:t>
      </w:r>
      <w:r w:rsidR="00D24E5A" w:rsidRPr="00F71566">
        <w:rPr>
          <w:rFonts w:ascii="Times New Roman" w:hAnsi="Times New Roman" w:cs="Times New Roman"/>
          <w:sz w:val="28"/>
          <w:szCs w:val="28"/>
        </w:rPr>
        <w:t>Федеральный закон Российской Федерации от 11.07.2001 № 95-ФЗ «О политических партиях» (в ред. ФЗ от 21.03.2002 № 31-ФЗ, от 25.07.2002 № 112-ФЗ, от 23.06.2003 № 85-ФЗ, от 08.12.2003 № 169-ФЗ, от 20.12.2004 № 168-ФЗ, от 28.12.2004 № 183-ФЗ, от 21.07.2005 № 93-ФЗ, от 31.12.2005 № 202-ФЗ, от 12.07.2006 № 106-ФЗ, от 30.12.2006 № 274-ФЗ, от 26.04.2007 № 64-ФЗ, от 22.07.2008 № 144-ФЗ, от 23.07.2008 № 160-ФЗ, от 08.11.2008 № 200-ФЗ, от 05.04.2009 № 41-ФЗ, от 05.04.2009 № 42-ФЗ, от 28.04.2009 № 75-ФЗ, от 12.05.2009 № 94-ФЗ).</w:t>
      </w:r>
    </w:p>
    <w:p w:rsidR="005055AA" w:rsidRPr="00F71566" w:rsidRDefault="0006541E" w:rsidP="004C1FB0">
      <w:pPr>
        <w:spacing w:line="360" w:lineRule="auto"/>
        <w:jc w:val="both"/>
        <w:rPr>
          <w:sz w:val="28"/>
          <w:szCs w:val="28"/>
        </w:rPr>
      </w:pPr>
      <w:r w:rsidRPr="00F71566">
        <w:rPr>
          <w:sz w:val="28"/>
          <w:szCs w:val="28"/>
        </w:rPr>
        <w:t>5</w:t>
      </w:r>
      <w:r w:rsidR="005055AA" w:rsidRPr="00F71566">
        <w:rPr>
          <w:sz w:val="28"/>
          <w:szCs w:val="28"/>
        </w:rPr>
        <w:t>. Абрамова М. Деньги счет любят // Наша власть: дела и лица. – 2007. – № 4. – С. 20.</w:t>
      </w:r>
      <w:r w:rsidR="009B67AB" w:rsidRPr="00F71566">
        <w:rPr>
          <w:sz w:val="28"/>
          <w:szCs w:val="28"/>
        </w:rPr>
        <w:t xml:space="preserve"> – </w:t>
      </w:r>
      <w:r w:rsidR="009B67AB" w:rsidRPr="00F71566">
        <w:rPr>
          <w:sz w:val="28"/>
          <w:szCs w:val="28"/>
          <w:lang w:val="en-US"/>
        </w:rPr>
        <w:t>ISSN</w:t>
      </w:r>
      <w:r w:rsidR="009B67AB" w:rsidRPr="00F71566">
        <w:rPr>
          <w:sz w:val="28"/>
          <w:szCs w:val="28"/>
        </w:rPr>
        <w:t xml:space="preserve"> 6128-3017.</w:t>
      </w:r>
    </w:p>
    <w:p w:rsidR="005055AA" w:rsidRPr="00F71566" w:rsidRDefault="0006541E" w:rsidP="004C1FB0">
      <w:pPr>
        <w:spacing w:line="360" w:lineRule="auto"/>
        <w:jc w:val="both"/>
        <w:rPr>
          <w:sz w:val="28"/>
          <w:szCs w:val="28"/>
        </w:rPr>
      </w:pPr>
      <w:r w:rsidRPr="00F71566">
        <w:rPr>
          <w:sz w:val="28"/>
          <w:szCs w:val="28"/>
        </w:rPr>
        <w:t>6</w:t>
      </w:r>
      <w:r w:rsidR="005055AA" w:rsidRPr="00F71566">
        <w:rPr>
          <w:sz w:val="28"/>
          <w:szCs w:val="28"/>
        </w:rPr>
        <w:t>. Ал</w:t>
      </w:r>
      <w:r w:rsidR="001B1AE7" w:rsidRPr="00F71566">
        <w:rPr>
          <w:sz w:val="28"/>
          <w:szCs w:val="28"/>
        </w:rPr>
        <w:t>ё</w:t>
      </w:r>
      <w:r w:rsidR="005055AA" w:rsidRPr="00F71566">
        <w:rPr>
          <w:sz w:val="28"/>
          <w:szCs w:val="28"/>
        </w:rPr>
        <w:t>шина О.Г., Вавилов С.</w:t>
      </w:r>
      <w:r w:rsidR="001B1AE7" w:rsidRPr="00F71566">
        <w:rPr>
          <w:sz w:val="28"/>
          <w:szCs w:val="28"/>
        </w:rPr>
        <w:t xml:space="preserve"> </w:t>
      </w:r>
      <w:r w:rsidR="005055AA" w:rsidRPr="00F71566">
        <w:rPr>
          <w:sz w:val="28"/>
          <w:szCs w:val="28"/>
        </w:rPr>
        <w:t>В., Егоров А.П., Ермакова Э.Л., Колюшин Е.И., Райков Г.И., Сенцова Т.А., Терехова М.А., Трофимов А.Г., Чуркин А.Н. Финансирование выборов // Выборы Президента Российской Федерации пятого созыва. 2008: Сб. инф.-аналит. матер</w:t>
      </w:r>
      <w:r w:rsidR="001B1AE7" w:rsidRPr="00F71566">
        <w:rPr>
          <w:sz w:val="28"/>
          <w:szCs w:val="28"/>
        </w:rPr>
        <w:t>.</w:t>
      </w:r>
    </w:p>
    <w:p w:rsidR="005055AA" w:rsidRPr="00F71566" w:rsidRDefault="0006541E" w:rsidP="004C1FB0">
      <w:pPr>
        <w:spacing w:line="360" w:lineRule="auto"/>
        <w:jc w:val="both"/>
        <w:rPr>
          <w:sz w:val="28"/>
          <w:szCs w:val="28"/>
        </w:rPr>
      </w:pPr>
      <w:r w:rsidRPr="00F71566">
        <w:rPr>
          <w:sz w:val="28"/>
          <w:szCs w:val="28"/>
        </w:rPr>
        <w:t>7</w:t>
      </w:r>
      <w:r w:rsidR="005055AA" w:rsidRPr="00F71566">
        <w:rPr>
          <w:sz w:val="28"/>
          <w:szCs w:val="28"/>
        </w:rPr>
        <w:t>. Алиев Т.Т., Макаревич Д.И. Роль контрольно-ревизионных служб избирательных комиссий в проведении контроля над формированием и расходованием фондов кандидатов, избирательных объединений, избирательных блоков // Современное право. – 2008. – № 3. – С.</w:t>
      </w:r>
      <w:r w:rsidR="003B5D8D" w:rsidRPr="00F71566">
        <w:rPr>
          <w:sz w:val="28"/>
          <w:szCs w:val="28"/>
        </w:rPr>
        <w:t xml:space="preserve"> 13-15.</w:t>
      </w:r>
      <w:r w:rsidR="009631FA" w:rsidRPr="00F71566">
        <w:rPr>
          <w:sz w:val="28"/>
          <w:szCs w:val="28"/>
        </w:rPr>
        <w:t xml:space="preserve"> – </w:t>
      </w:r>
      <w:r w:rsidR="009631FA" w:rsidRPr="00F71566">
        <w:rPr>
          <w:sz w:val="28"/>
          <w:szCs w:val="28"/>
          <w:lang w:val="en-US"/>
        </w:rPr>
        <w:t>ISSN</w:t>
      </w:r>
      <w:r w:rsidR="009631FA" w:rsidRPr="00F71566">
        <w:rPr>
          <w:sz w:val="28"/>
          <w:szCs w:val="28"/>
        </w:rPr>
        <w:t xml:space="preserve"> 9125-3078.</w:t>
      </w:r>
    </w:p>
    <w:p w:rsidR="00C03D9A" w:rsidRPr="00F71566" w:rsidRDefault="0006541E" w:rsidP="004C1FB0">
      <w:pPr>
        <w:tabs>
          <w:tab w:val="left" w:pos="14141"/>
        </w:tabs>
        <w:spacing w:line="360" w:lineRule="auto"/>
        <w:jc w:val="both"/>
        <w:rPr>
          <w:sz w:val="28"/>
          <w:szCs w:val="28"/>
        </w:rPr>
      </w:pPr>
      <w:r w:rsidRPr="00F71566">
        <w:rPr>
          <w:sz w:val="28"/>
          <w:szCs w:val="28"/>
        </w:rPr>
        <w:t xml:space="preserve">8. </w:t>
      </w:r>
      <w:r w:rsidR="004C1FB0">
        <w:rPr>
          <w:sz w:val="28"/>
          <w:szCs w:val="28"/>
        </w:rPr>
        <w:t>Большаков С.В., Ищенко Е.</w:t>
      </w:r>
      <w:r w:rsidR="00C03D9A" w:rsidRPr="00F71566">
        <w:rPr>
          <w:sz w:val="28"/>
          <w:szCs w:val="28"/>
        </w:rPr>
        <w:t>П. Предвыборная агитация: взгляд изнутри. – М.</w:t>
      </w:r>
      <w:r w:rsidR="001B1AE7" w:rsidRPr="00F71566">
        <w:rPr>
          <w:sz w:val="28"/>
          <w:szCs w:val="28"/>
        </w:rPr>
        <w:t>: ООО «Изд-во Астрель»</w:t>
      </w:r>
      <w:r w:rsidR="00C03D9A" w:rsidRPr="00F71566">
        <w:rPr>
          <w:sz w:val="28"/>
          <w:szCs w:val="28"/>
        </w:rPr>
        <w:t>, 2005.</w:t>
      </w:r>
      <w:r w:rsidR="000A7DAA" w:rsidRPr="00F71566">
        <w:rPr>
          <w:sz w:val="28"/>
          <w:szCs w:val="28"/>
        </w:rPr>
        <w:t xml:space="preserve"> – 183 с.</w:t>
      </w:r>
      <w:r w:rsidR="009631FA" w:rsidRPr="00F71566">
        <w:rPr>
          <w:sz w:val="28"/>
          <w:szCs w:val="28"/>
        </w:rPr>
        <w:t xml:space="preserve"> – </w:t>
      </w:r>
      <w:r w:rsidR="009631FA" w:rsidRPr="00F71566">
        <w:rPr>
          <w:sz w:val="28"/>
          <w:szCs w:val="28"/>
          <w:lang w:val="en-US"/>
        </w:rPr>
        <w:t>ISBN</w:t>
      </w:r>
      <w:r w:rsidR="009631FA" w:rsidRPr="00F71566">
        <w:rPr>
          <w:sz w:val="28"/>
          <w:szCs w:val="28"/>
        </w:rPr>
        <w:t xml:space="preserve"> 5-69-1205842-6.</w:t>
      </w:r>
    </w:p>
    <w:p w:rsidR="005055AA" w:rsidRPr="00F71566" w:rsidRDefault="0006541E" w:rsidP="004C1FB0">
      <w:pPr>
        <w:spacing w:line="360" w:lineRule="auto"/>
        <w:jc w:val="both"/>
        <w:rPr>
          <w:sz w:val="28"/>
          <w:szCs w:val="28"/>
        </w:rPr>
      </w:pPr>
      <w:r w:rsidRPr="00F71566">
        <w:rPr>
          <w:sz w:val="28"/>
          <w:szCs w:val="28"/>
        </w:rPr>
        <w:t xml:space="preserve">9. </w:t>
      </w:r>
      <w:r w:rsidR="005055AA" w:rsidRPr="00F71566">
        <w:rPr>
          <w:sz w:val="28"/>
          <w:szCs w:val="28"/>
        </w:rPr>
        <w:t>Вавилов С.</w:t>
      </w:r>
      <w:r w:rsidR="001B1AE7" w:rsidRPr="00F71566">
        <w:rPr>
          <w:sz w:val="28"/>
          <w:szCs w:val="28"/>
        </w:rPr>
        <w:t xml:space="preserve"> В. Выборы и финансы // Журнал</w:t>
      </w:r>
      <w:r w:rsidR="005055AA" w:rsidRPr="00F71566">
        <w:rPr>
          <w:sz w:val="28"/>
          <w:szCs w:val="28"/>
        </w:rPr>
        <w:t xml:space="preserve"> о </w:t>
      </w:r>
      <w:r w:rsidRPr="00F71566">
        <w:rPr>
          <w:sz w:val="28"/>
          <w:szCs w:val="28"/>
        </w:rPr>
        <w:t>выборах. – 2008. – № 2. – С. 11-</w:t>
      </w:r>
      <w:r w:rsidR="005055AA" w:rsidRPr="00F71566">
        <w:rPr>
          <w:sz w:val="28"/>
          <w:szCs w:val="28"/>
        </w:rPr>
        <w:t>16.</w:t>
      </w:r>
      <w:r w:rsidR="00C83719" w:rsidRPr="00F71566">
        <w:rPr>
          <w:sz w:val="28"/>
          <w:szCs w:val="28"/>
        </w:rPr>
        <w:t xml:space="preserve"> – </w:t>
      </w:r>
      <w:r w:rsidR="00C83719" w:rsidRPr="00F71566">
        <w:rPr>
          <w:sz w:val="28"/>
          <w:szCs w:val="28"/>
          <w:lang w:val="en-US"/>
        </w:rPr>
        <w:t>ISSN</w:t>
      </w:r>
      <w:r w:rsidR="00C83719" w:rsidRPr="00F71566">
        <w:rPr>
          <w:sz w:val="28"/>
          <w:szCs w:val="28"/>
        </w:rPr>
        <w:t xml:space="preserve"> 3701-5683.</w:t>
      </w:r>
    </w:p>
    <w:p w:rsidR="00C03D9A" w:rsidRPr="00F71566" w:rsidRDefault="0006541E" w:rsidP="004C1FB0">
      <w:pPr>
        <w:spacing w:line="360" w:lineRule="auto"/>
        <w:jc w:val="both"/>
        <w:rPr>
          <w:sz w:val="28"/>
          <w:szCs w:val="28"/>
        </w:rPr>
      </w:pPr>
      <w:r w:rsidRPr="00F71566">
        <w:rPr>
          <w:sz w:val="28"/>
          <w:szCs w:val="28"/>
        </w:rPr>
        <w:t xml:space="preserve">10. </w:t>
      </w:r>
      <w:r w:rsidR="004C1FB0">
        <w:rPr>
          <w:sz w:val="28"/>
          <w:szCs w:val="28"/>
        </w:rPr>
        <w:t>Веденеев Ю.А., Князев С.</w:t>
      </w:r>
      <w:r w:rsidR="00C03D9A" w:rsidRPr="00F71566">
        <w:rPr>
          <w:sz w:val="28"/>
          <w:szCs w:val="28"/>
        </w:rPr>
        <w:t xml:space="preserve">Д. Избирательные правоотношения: понятие, политико-правовое содержание и структура. // Журнал российского права. – 2004. – </w:t>
      </w:r>
      <w:r w:rsidR="00EC3653" w:rsidRPr="00F71566">
        <w:rPr>
          <w:sz w:val="28"/>
          <w:szCs w:val="28"/>
        </w:rPr>
        <w:t>№ 10</w:t>
      </w:r>
      <w:r w:rsidR="00C03D9A" w:rsidRPr="00F71566">
        <w:rPr>
          <w:sz w:val="28"/>
          <w:szCs w:val="28"/>
        </w:rPr>
        <w:t>.</w:t>
      </w:r>
      <w:r w:rsidR="00EC3653" w:rsidRPr="00F71566">
        <w:rPr>
          <w:sz w:val="28"/>
          <w:szCs w:val="28"/>
        </w:rPr>
        <w:t xml:space="preserve"> – С. </w:t>
      </w:r>
      <w:r w:rsidR="007A3B40" w:rsidRPr="00F71566">
        <w:rPr>
          <w:sz w:val="28"/>
          <w:szCs w:val="28"/>
        </w:rPr>
        <w:t>32-34;</w:t>
      </w:r>
      <w:r w:rsidR="00EC3653" w:rsidRPr="00F71566">
        <w:rPr>
          <w:sz w:val="28"/>
          <w:szCs w:val="28"/>
        </w:rPr>
        <w:t xml:space="preserve"> № 11. – С. 27-29.</w:t>
      </w:r>
      <w:r w:rsidR="00F610E6" w:rsidRPr="00F71566">
        <w:rPr>
          <w:sz w:val="28"/>
          <w:szCs w:val="28"/>
        </w:rPr>
        <w:t xml:space="preserve"> – </w:t>
      </w:r>
      <w:r w:rsidR="00F610E6" w:rsidRPr="00F71566">
        <w:rPr>
          <w:sz w:val="28"/>
          <w:szCs w:val="28"/>
          <w:lang w:val="en-US"/>
        </w:rPr>
        <w:t>ISSN</w:t>
      </w:r>
      <w:r w:rsidR="00F610E6" w:rsidRPr="00F71566">
        <w:rPr>
          <w:sz w:val="28"/>
          <w:szCs w:val="28"/>
        </w:rPr>
        <w:t xml:space="preserve"> 4961-5219.</w:t>
      </w:r>
    </w:p>
    <w:p w:rsidR="00C03D9A" w:rsidRPr="00F71566" w:rsidRDefault="0006541E" w:rsidP="004C1FB0">
      <w:pPr>
        <w:spacing w:line="360" w:lineRule="auto"/>
        <w:jc w:val="both"/>
        <w:rPr>
          <w:sz w:val="28"/>
          <w:szCs w:val="28"/>
        </w:rPr>
      </w:pPr>
      <w:r w:rsidRPr="00F71566">
        <w:rPr>
          <w:sz w:val="28"/>
          <w:szCs w:val="28"/>
        </w:rPr>
        <w:t xml:space="preserve">11. </w:t>
      </w:r>
      <w:r w:rsidR="004C1FB0">
        <w:rPr>
          <w:sz w:val="28"/>
          <w:szCs w:val="28"/>
        </w:rPr>
        <w:t>Веденеев Ю.А., Лысенков В.</w:t>
      </w:r>
      <w:r w:rsidR="00C03D9A" w:rsidRPr="00F71566">
        <w:rPr>
          <w:sz w:val="28"/>
          <w:szCs w:val="28"/>
        </w:rPr>
        <w:t>И. Избирательный процесс в Российской Федерации: политико-правовые и технологические аспекты // Государство и право. – 2006. – № 8.</w:t>
      </w:r>
      <w:r w:rsidR="00EC3653" w:rsidRPr="00F71566">
        <w:rPr>
          <w:sz w:val="28"/>
          <w:szCs w:val="28"/>
        </w:rPr>
        <w:t xml:space="preserve"> – С. 16-19.</w:t>
      </w:r>
      <w:r w:rsidR="00F610E6" w:rsidRPr="00F71566">
        <w:rPr>
          <w:sz w:val="28"/>
          <w:szCs w:val="28"/>
        </w:rPr>
        <w:t xml:space="preserve"> – </w:t>
      </w:r>
      <w:r w:rsidR="00F610E6" w:rsidRPr="00F71566">
        <w:rPr>
          <w:sz w:val="28"/>
          <w:szCs w:val="28"/>
          <w:lang w:val="en-US"/>
        </w:rPr>
        <w:t>ISSN</w:t>
      </w:r>
      <w:r w:rsidR="00F610E6" w:rsidRPr="00F71566">
        <w:rPr>
          <w:sz w:val="28"/>
          <w:szCs w:val="28"/>
        </w:rPr>
        <w:t xml:space="preserve"> 8129-4037.</w:t>
      </w:r>
    </w:p>
    <w:p w:rsidR="005055AA" w:rsidRPr="00F71566" w:rsidRDefault="0006541E" w:rsidP="004C1FB0">
      <w:pPr>
        <w:spacing w:line="360" w:lineRule="auto"/>
        <w:jc w:val="both"/>
        <w:rPr>
          <w:sz w:val="28"/>
          <w:szCs w:val="28"/>
        </w:rPr>
      </w:pPr>
      <w:r w:rsidRPr="00F71566">
        <w:rPr>
          <w:sz w:val="28"/>
          <w:szCs w:val="28"/>
        </w:rPr>
        <w:t xml:space="preserve">12. </w:t>
      </w:r>
      <w:r w:rsidR="005055AA" w:rsidRPr="00F71566">
        <w:rPr>
          <w:sz w:val="28"/>
          <w:szCs w:val="28"/>
        </w:rPr>
        <w:t>Вельяшев О.Ю. О контроле за финансовой деятельностью политических партий // Федеральный справочник: Полити</w:t>
      </w:r>
      <w:r w:rsidR="003B5D8D" w:rsidRPr="00F71566">
        <w:rPr>
          <w:sz w:val="28"/>
          <w:szCs w:val="28"/>
        </w:rPr>
        <w:t>ка, экономика, управление (июль-</w:t>
      </w:r>
      <w:r w:rsidR="005055AA" w:rsidRPr="00F71566">
        <w:rPr>
          <w:sz w:val="28"/>
          <w:szCs w:val="28"/>
        </w:rPr>
        <w:t xml:space="preserve">декабрь </w:t>
      </w:r>
      <w:smartTag w:uri="urn:schemas-microsoft-com:office:smarttags" w:element="metricconverter">
        <w:smartTagPr>
          <w:attr w:name="ProductID" w:val="2005 г"/>
        </w:smartTagPr>
        <w:r w:rsidR="005055AA" w:rsidRPr="00F71566">
          <w:rPr>
            <w:sz w:val="28"/>
            <w:szCs w:val="28"/>
          </w:rPr>
          <w:t>2005 г</w:t>
        </w:r>
      </w:smartTag>
      <w:r w:rsidR="005055AA" w:rsidRPr="00F71566">
        <w:rPr>
          <w:sz w:val="28"/>
          <w:szCs w:val="28"/>
        </w:rPr>
        <w:t>.). – М., 2006. –</w:t>
      </w:r>
      <w:r w:rsidR="003B5D8D" w:rsidRPr="00F71566">
        <w:rPr>
          <w:sz w:val="28"/>
          <w:szCs w:val="28"/>
        </w:rPr>
        <w:t xml:space="preserve"> С. 57-</w:t>
      </w:r>
      <w:r w:rsidR="005055AA" w:rsidRPr="00F71566">
        <w:rPr>
          <w:sz w:val="28"/>
          <w:szCs w:val="28"/>
        </w:rPr>
        <w:t>60.</w:t>
      </w:r>
    </w:p>
    <w:p w:rsidR="00C03D9A" w:rsidRPr="00F71566" w:rsidRDefault="0006541E" w:rsidP="004C1FB0">
      <w:pPr>
        <w:spacing w:line="360" w:lineRule="auto"/>
        <w:jc w:val="both"/>
        <w:rPr>
          <w:sz w:val="28"/>
          <w:szCs w:val="28"/>
        </w:rPr>
      </w:pPr>
      <w:r w:rsidRPr="00F71566">
        <w:rPr>
          <w:sz w:val="28"/>
          <w:szCs w:val="28"/>
        </w:rPr>
        <w:t xml:space="preserve">13. </w:t>
      </w:r>
      <w:r w:rsidR="00C03D9A" w:rsidRPr="00F71566">
        <w:rPr>
          <w:sz w:val="28"/>
          <w:szCs w:val="28"/>
        </w:rPr>
        <w:t>Вешняков А.А. Избирательные стандарты в международном праве и их реализация в законодательстве Российской Федерации. – М.</w:t>
      </w:r>
      <w:r w:rsidR="00EC3653" w:rsidRPr="00F71566">
        <w:rPr>
          <w:sz w:val="28"/>
          <w:szCs w:val="28"/>
        </w:rPr>
        <w:t xml:space="preserve">: </w:t>
      </w:r>
      <w:r w:rsidR="00B83D37" w:rsidRPr="00F71566">
        <w:rPr>
          <w:sz w:val="28"/>
          <w:szCs w:val="28"/>
        </w:rPr>
        <w:t>Статут</w:t>
      </w:r>
      <w:r w:rsidR="00C03D9A" w:rsidRPr="00F71566">
        <w:rPr>
          <w:sz w:val="28"/>
          <w:szCs w:val="28"/>
        </w:rPr>
        <w:t>, 2007.</w:t>
      </w:r>
      <w:r w:rsidR="00B83D37" w:rsidRPr="00F71566">
        <w:rPr>
          <w:sz w:val="28"/>
          <w:szCs w:val="28"/>
        </w:rPr>
        <w:t xml:space="preserve"> – 285 с.</w:t>
      </w:r>
      <w:r w:rsidR="00093EEC" w:rsidRPr="00F71566">
        <w:rPr>
          <w:sz w:val="28"/>
          <w:szCs w:val="28"/>
        </w:rPr>
        <w:t xml:space="preserve"> – </w:t>
      </w:r>
      <w:r w:rsidR="00093EEC" w:rsidRPr="00F71566">
        <w:rPr>
          <w:sz w:val="28"/>
          <w:szCs w:val="28"/>
          <w:lang w:val="en-US"/>
        </w:rPr>
        <w:t>ISBN</w:t>
      </w:r>
      <w:r w:rsidR="00093EEC" w:rsidRPr="00F71566">
        <w:rPr>
          <w:sz w:val="28"/>
          <w:szCs w:val="28"/>
        </w:rPr>
        <w:t xml:space="preserve"> 5-96-42581307-8.</w:t>
      </w:r>
    </w:p>
    <w:p w:rsidR="005055AA" w:rsidRPr="00F71566" w:rsidRDefault="0006541E" w:rsidP="004C1FB0">
      <w:pPr>
        <w:spacing w:line="360" w:lineRule="auto"/>
        <w:jc w:val="both"/>
        <w:rPr>
          <w:sz w:val="28"/>
          <w:szCs w:val="28"/>
        </w:rPr>
      </w:pPr>
      <w:r w:rsidRPr="00F71566">
        <w:rPr>
          <w:sz w:val="28"/>
          <w:szCs w:val="28"/>
        </w:rPr>
        <w:t xml:space="preserve">14. </w:t>
      </w:r>
      <w:r w:rsidR="005055AA" w:rsidRPr="00F71566">
        <w:rPr>
          <w:sz w:val="28"/>
          <w:szCs w:val="28"/>
        </w:rPr>
        <w:t>Вискулова В.В. О совершенствовании российского законодательства в сфере финансирования федеральных выборов // Политика и</w:t>
      </w:r>
      <w:r w:rsidR="008A7931" w:rsidRPr="00F71566">
        <w:rPr>
          <w:sz w:val="28"/>
          <w:szCs w:val="28"/>
        </w:rPr>
        <w:t xml:space="preserve"> право. –</w:t>
      </w:r>
      <w:r w:rsidR="005055AA" w:rsidRPr="00F71566">
        <w:rPr>
          <w:sz w:val="28"/>
          <w:szCs w:val="28"/>
        </w:rPr>
        <w:t xml:space="preserve"> Вып. 3. – Благовещенск, 2002. –</w:t>
      </w:r>
      <w:r w:rsidR="003B5D8D" w:rsidRPr="00F71566">
        <w:rPr>
          <w:sz w:val="28"/>
          <w:szCs w:val="28"/>
        </w:rPr>
        <w:t xml:space="preserve"> С. 97-</w:t>
      </w:r>
      <w:r w:rsidR="005055AA" w:rsidRPr="00F71566">
        <w:rPr>
          <w:sz w:val="28"/>
          <w:szCs w:val="28"/>
        </w:rPr>
        <w:t>108.</w:t>
      </w:r>
      <w:r w:rsidR="000779E4" w:rsidRPr="00F71566">
        <w:rPr>
          <w:sz w:val="28"/>
          <w:szCs w:val="28"/>
        </w:rPr>
        <w:t xml:space="preserve"> – </w:t>
      </w:r>
      <w:r w:rsidR="000779E4" w:rsidRPr="00F71566">
        <w:rPr>
          <w:sz w:val="28"/>
          <w:szCs w:val="28"/>
          <w:lang w:val="en-US"/>
        </w:rPr>
        <w:t>ISSN</w:t>
      </w:r>
      <w:r w:rsidR="000779E4" w:rsidRPr="00F71566">
        <w:rPr>
          <w:sz w:val="28"/>
          <w:szCs w:val="28"/>
        </w:rPr>
        <w:t xml:space="preserve"> 1957-2307.</w:t>
      </w:r>
    </w:p>
    <w:p w:rsidR="005055AA" w:rsidRPr="00F71566" w:rsidRDefault="0006541E" w:rsidP="004C1FB0">
      <w:pPr>
        <w:spacing w:line="360" w:lineRule="auto"/>
        <w:jc w:val="both"/>
        <w:rPr>
          <w:sz w:val="28"/>
          <w:szCs w:val="28"/>
        </w:rPr>
      </w:pPr>
      <w:r w:rsidRPr="00F71566">
        <w:rPr>
          <w:sz w:val="28"/>
          <w:szCs w:val="28"/>
        </w:rPr>
        <w:t xml:space="preserve">15. </w:t>
      </w:r>
      <w:r w:rsidR="005055AA" w:rsidRPr="00F71566">
        <w:rPr>
          <w:sz w:val="28"/>
          <w:szCs w:val="28"/>
        </w:rPr>
        <w:t>Дзюба О. Н. Административные нарушения при финансировании выборов // Чиновник. – 2004. – № 1 (29).</w:t>
      </w:r>
      <w:r w:rsidR="008A7931" w:rsidRPr="00F71566">
        <w:rPr>
          <w:sz w:val="28"/>
          <w:szCs w:val="28"/>
        </w:rPr>
        <w:t xml:space="preserve"> – С. 25-28.</w:t>
      </w:r>
      <w:r w:rsidR="00CA5104" w:rsidRPr="00F71566">
        <w:rPr>
          <w:sz w:val="28"/>
          <w:szCs w:val="28"/>
        </w:rPr>
        <w:t xml:space="preserve"> – </w:t>
      </w:r>
      <w:r w:rsidR="00CA5104" w:rsidRPr="00F71566">
        <w:rPr>
          <w:sz w:val="28"/>
          <w:szCs w:val="28"/>
          <w:lang w:val="en-US"/>
        </w:rPr>
        <w:t>ISSN</w:t>
      </w:r>
      <w:r w:rsidR="00CA5104" w:rsidRPr="00F71566">
        <w:rPr>
          <w:sz w:val="28"/>
          <w:szCs w:val="28"/>
        </w:rPr>
        <w:t xml:space="preserve"> 6720-8421.</w:t>
      </w:r>
    </w:p>
    <w:p w:rsidR="00C03D9A" w:rsidRPr="00F71566" w:rsidRDefault="0006541E" w:rsidP="004C1FB0">
      <w:pPr>
        <w:spacing w:line="360" w:lineRule="auto"/>
        <w:jc w:val="both"/>
        <w:rPr>
          <w:sz w:val="28"/>
          <w:szCs w:val="28"/>
        </w:rPr>
      </w:pPr>
      <w:r w:rsidRPr="00F71566">
        <w:rPr>
          <w:sz w:val="28"/>
          <w:szCs w:val="28"/>
        </w:rPr>
        <w:t xml:space="preserve">16. </w:t>
      </w:r>
      <w:r w:rsidR="00C03D9A" w:rsidRPr="00F71566">
        <w:rPr>
          <w:sz w:val="28"/>
          <w:szCs w:val="28"/>
        </w:rPr>
        <w:t>Дмитриев Ю.А., Комарова В.В. Референдум в системе народовластия. – М.</w:t>
      </w:r>
      <w:r w:rsidR="008A7931" w:rsidRPr="00F71566">
        <w:rPr>
          <w:sz w:val="28"/>
          <w:szCs w:val="28"/>
        </w:rPr>
        <w:t>: Ника</w:t>
      </w:r>
      <w:r w:rsidR="00C03D9A" w:rsidRPr="00F71566">
        <w:rPr>
          <w:sz w:val="28"/>
          <w:szCs w:val="28"/>
        </w:rPr>
        <w:t>, 2005.</w:t>
      </w:r>
      <w:r w:rsidR="000919BD" w:rsidRPr="00F71566">
        <w:rPr>
          <w:sz w:val="28"/>
          <w:szCs w:val="28"/>
        </w:rPr>
        <w:t xml:space="preserve"> – </w:t>
      </w:r>
      <w:r w:rsidR="000919BD" w:rsidRPr="00F71566">
        <w:rPr>
          <w:sz w:val="28"/>
          <w:szCs w:val="28"/>
          <w:lang w:val="en-US"/>
        </w:rPr>
        <w:t>ISBN</w:t>
      </w:r>
      <w:r w:rsidR="000919BD" w:rsidRPr="00F71566">
        <w:rPr>
          <w:sz w:val="28"/>
          <w:szCs w:val="28"/>
        </w:rPr>
        <w:t xml:space="preserve"> 5-82-4130284-2.</w:t>
      </w:r>
    </w:p>
    <w:p w:rsidR="00C03D9A" w:rsidRPr="00F71566" w:rsidRDefault="0006541E" w:rsidP="004C1FB0">
      <w:pPr>
        <w:spacing w:line="360" w:lineRule="auto"/>
        <w:jc w:val="both"/>
        <w:rPr>
          <w:sz w:val="28"/>
          <w:szCs w:val="28"/>
        </w:rPr>
      </w:pPr>
      <w:r w:rsidRPr="00F71566">
        <w:rPr>
          <w:sz w:val="28"/>
          <w:szCs w:val="28"/>
        </w:rPr>
        <w:t xml:space="preserve">17. </w:t>
      </w:r>
      <w:r w:rsidR="00C03D9A" w:rsidRPr="00F71566">
        <w:rPr>
          <w:sz w:val="28"/>
          <w:szCs w:val="28"/>
        </w:rPr>
        <w:t>Заботин В.П. Автореферат диссертации на соискание ученой степени кандидата юридических наук: Избирательные права граждан Российской Федерации и роль органов внутренних дел в их реализации. – М., 2001.</w:t>
      </w:r>
    </w:p>
    <w:p w:rsidR="005055AA" w:rsidRPr="00F71566" w:rsidRDefault="0006541E" w:rsidP="004C1FB0">
      <w:pPr>
        <w:spacing w:line="360" w:lineRule="auto"/>
        <w:jc w:val="both"/>
        <w:rPr>
          <w:sz w:val="28"/>
          <w:szCs w:val="28"/>
        </w:rPr>
      </w:pPr>
      <w:r w:rsidRPr="00F71566">
        <w:rPr>
          <w:sz w:val="28"/>
          <w:szCs w:val="28"/>
        </w:rPr>
        <w:t xml:space="preserve">18. </w:t>
      </w:r>
      <w:r w:rsidR="005055AA" w:rsidRPr="00F71566">
        <w:rPr>
          <w:sz w:val="28"/>
          <w:szCs w:val="28"/>
        </w:rPr>
        <w:t>Ермакова Э.Л., Карманов А.Б. Альтернативное финансирование участников избирательной кампании: законодательство и практика // Журн</w:t>
      </w:r>
      <w:r w:rsidR="00B323BE" w:rsidRPr="00F71566">
        <w:rPr>
          <w:sz w:val="28"/>
          <w:szCs w:val="28"/>
        </w:rPr>
        <w:t>ал</w:t>
      </w:r>
      <w:r w:rsidR="005055AA" w:rsidRPr="00F71566">
        <w:rPr>
          <w:sz w:val="28"/>
          <w:szCs w:val="28"/>
        </w:rPr>
        <w:t xml:space="preserve"> о выборах. – 2005. – № 5. –</w:t>
      </w:r>
      <w:r w:rsidR="00425AC5" w:rsidRPr="00F71566">
        <w:rPr>
          <w:sz w:val="28"/>
          <w:szCs w:val="28"/>
        </w:rPr>
        <w:t xml:space="preserve"> С. 16-</w:t>
      </w:r>
      <w:r w:rsidR="005055AA" w:rsidRPr="00F71566">
        <w:rPr>
          <w:sz w:val="28"/>
          <w:szCs w:val="28"/>
        </w:rPr>
        <w:t>20.</w:t>
      </w:r>
      <w:r w:rsidR="00C83719" w:rsidRPr="00F71566">
        <w:rPr>
          <w:sz w:val="28"/>
          <w:szCs w:val="28"/>
        </w:rPr>
        <w:t xml:space="preserve"> – </w:t>
      </w:r>
      <w:r w:rsidR="00C83719" w:rsidRPr="00F71566">
        <w:rPr>
          <w:sz w:val="28"/>
          <w:szCs w:val="28"/>
          <w:lang w:val="en-US"/>
        </w:rPr>
        <w:t>ISSN</w:t>
      </w:r>
      <w:r w:rsidR="00C83719" w:rsidRPr="00F71566">
        <w:rPr>
          <w:sz w:val="28"/>
          <w:szCs w:val="28"/>
        </w:rPr>
        <w:t xml:space="preserve"> 3701-5683.</w:t>
      </w:r>
    </w:p>
    <w:p w:rsidR="005055AA" w:rsidRPr="00F71566" w:rsidRDefault="0006541E" w:rsidP="004C1FB0">
      <w:pPr>
        <w:spacing w:line="360" w:lineRule="auto"/>
        <w:jc w:val="both"/>
        <w:rPr>
          <w:sz w:val="28"/>
          <w:szCs w:val="28"/>
        </w:rPr>
      </w:pPr>
      <w:r w:rsidRPr="00F71566">
        <w:rPr>
          <w:sz w:val="28"/>
          <w:szCs w:val="28"/>
        </w:rPr>
        <w:t xml:space="preserve">19. </w:t>
      </w:r>
      <w:r w:rsidR="005055AA" w:rsidRPr="00F71566">
        <w:rPr>
          <w:sz w:val="28"/>
          <w:szCs w:val="28"/>
        </w:rPr>
        <w:t>Карманов А.</w:t>
      </w:r>
      <w:r w:rsidR="00B323BE" w:rsidRPr="00F71566">
        <w:rPr>
          <w:sz w:val="28"/>
          <w:szCs w:val="28"/>
        </w:rPr>
        <w:t xml:space="preserve"> </w:t>
      </w:r>
      <w:r w:rsidR="005055AA" w:rsidRPr="00F71566">
        <w:rPr>
          <w:sz w:val="28"/>
          <w:szCs w:val="28"/>
        </w:rPr>
        <w:t>Б. Организационно-правовое обеспечение финансирования выборов в Российской Федерации. – М.</w:t>
      </w:r>
      <w:r w:rsidR="00B323BE" w:rsidRPr="00F71566">
        <w:rPr>
          <w:sz w:val="28"/>
          <w:szCs w:val="28"/>
        </w:rPr>
        <w:t>: ТЦ «Сфера»</w:t>
      </w:r>
      <w:r w:rsidR="005055AA" w:rsidRPr="00F71566">
        <w:rPr>
          <w:sz w:val="28"/>
          <w:szCs w:val="28"/>
        </w:rPr>
        <w:t>, 2005. – 21 с.</w:t>
      </w:r>
      <w:r w:rsidR="000919BD" w:rsidRPr="00F71566">
        <w:rPr>
          <w:sz w:val="28"/>
          <w:szCs w:val="28"/>
        </w:rPr>
        <w:t xml:space="preserve"> – </w:t>
      </w:r>
      <w:r w:rsidR="000919BD" w:rsidRPr="00F71566">
        <w:rPr>
          <w:sz w:val="28"/>
          <w:szCs w:val="28"/>
          <w:lang w:val="en-US"/>
        </w:rPr>
        <w:t>ISBN</w:t>
      </w:r>
      <w:r w:rsidR="000919BD" w:rsidRPr="00F71566">
        <w:rPr>
          <w:sz w:val="28"/>
          <w:szCs w:val="28"/>
        </w:rPr>
        <w:t xml:space="preserve"> 5-95-3028456-9.</w:t>
      </w:r>
    </w:p>
    <w:p w:rsidR="005055AA" w:rsidRPr="00F71566" w:rsidRDefault="0006541E" w:rsidP="004C1FB0">
      <w:pPr>
        <w:spacing w:line="360" w:lineRule="auto"/>
        <w:jc w:val="both"/>
        <w:rPr>
          <w:sz w:val="28"/>
          <w:szCs w:val="28"/>
        </w:rPr>
      </w:pPr>
      <w:r w:rsidRPr="00F71566">
        <w:rPr>
          <w:sz w:val="28"/>
          <w:szCs w:val="28"/>
        </w:rPr>
        <w:t xml:space="preserve">20. </w:t>
      </w:r>
      <w:r w:rsidR="005055AA" w:rsidRPr="00F71566">
        <w:rPr>
          <w:sz w:val="28"/>
          <w:szCs w:val="28"/>
        </w:rPr>
        <w:t>Карманов А.Б., Махорина Е.С. Банки и политические партии: актуальные вопросы организации взаимодействия // Журн</w:t>
      </w:r>
      <w:r w:rsidR="00B323BE" w:rsidRPr="00F71566">
        <w:rPr>
          <w:sz w:val="28"/>
          <w:szCs w:val="28"/>
        </w:rPr>
        <w:t>ал</w:t>
      </w:r>
      <w:r w:rsidR="005055AA" w:rsidRPr="00F71566">
        <w:rPr>
          <w:sz w:val="28"/>
          <w:szCs w:val="28"/>
        </w:rPr>
        <w:t xml:space="preserve"> о выборах. – 2004. – № 3. –</w:t>
      </w:r>
      <w:r w:rsidR="00425AC5" w:rsidRPr="00F71566">
        <w:rPr>
          <w:sz w:val="28"/>
          <w:szCs w:val="28"/>
        </w:rPr>
        <w:t xml:space="preserve"> С. 28-</w:t>
      </w:r>
      <w:r w:rsidR="005055AA" w:rsidRPr="00F71566">
        <w:rPr>
          <w:sz w:val="28"/>
          <w:szCs w:val="28"/>
        </w:rPr>
        <w:t>29.</w:t>
      </w:r>
      <w:r w:rsidR="00C83719" w:rsidRPr="00F71566">
        <w:rPr>
          <w:sz w:val="28"/>
          <w:szCs w:val="28"/>
        </w:rPr>
        <w:t xml:space="preserve"> – </w:t>
      </w:r>
      <w:r w:rsidR="00C83719" w:rsidRPr="00F71566">
        <w:rPr>
          <w:sz w:val="28"/>
          <w:szCs w:val="28"/>
          <w:lang w:val="en-US"/>
        </w:rPr>
        <w:t>ISSN</w:t>
      </w:r>
      <w:r w:rsidR="00C83719" w:rsidRPr="00F71566">
        <w:rPr>
          <w:sz w:val="28"/>
          <w:szCs w:val="28"/>
        </w:rPr>
        <w:t xml:space="preserve"> 3701-5683.</w:t>
      </w:r>
    </w:p>
    <w:p w:rsidR="005055AA" w:rsidRPr="00F71566" w:rsidRDefault="0006541E" w:rsidP="004C1FB0">
      <w:pPr>
        <w:spacing w:line="360" w:lineRule="auto"/>
        <w:jc w:val="both"/>
        <w:rPr>
          <w:sz w:val="28"/>
          <w:szCs w:val="28"/>
        </w:rPr>
      </w:pPr>
      <w:r w:rsidRPr="00F71566">
        <w:rPr>
          <w:sz w:val="28"/>
          <w:szCs w:val="28"/>
        </w:rPr>
        <w:t xml:space="preserve">21. </w:t>
      </w:r>
      <w:r w:rsidR="005055AA" w:rsidRPr="00F71566">
        <w:rPr>
          <w:sz w:val="28"/>
          <w:szCs w:val="28"/>
        </w:rPr>
        <w:t>Николаев А.С. Законодательное регулирование финансовой деятельности политических партий в Российской Федерации // Конституц</w:t>
      </w:r>
      <w:r w:rsidR="00B323BE" w:rsidRPr="00F71566">
        <w:rPr>
          <w:sz w:val="28"/>
          <w:szCs w:val="28"/>
        </w:rPr>
        <w:t>ионное</w:t>
      </w:r>
      <w:r w:rsidR="005055AA" w:rsidRPr="00F71566">
        <w:rPr>
          <w:sz w:val="28"/>
          <w:szCs w:val="28"/>
        </w:rPr>
        <w:t xml:space="preserve"> и муниципальное право. – 2004. – № 5. –</w:t>
      </w:r>
      <w:r w:rsidR="00425AC5" w:rsidRPr="00F71566">
        <w:rPr>
          <w:sz w:val="28"/>
          <w:szCs w:val="28"/>
        </w:rPr>
        <w:t xml:space="preserve"> С. 23-</w:t>
      </w:r>
      <w:r w:rsidR="005055AA" w:rsidRPr="00F71566">
        <w:rPr>
          <w:sz w:val="28"/>
          <w:szCs w:val="28"/>
        </w:rPr>
        <w:t>26.</w:t>
      </w:r>
      <w:r w:rsidR="003D6332" w:rsidRPr="00F71566">
        <w:rPr>
          <w:sz w:val="28"/>
          <w:szCs w:val="28"/>
        </w:rPr>
        <w:t xml:space="preserve"> – </w:t>
      </w:r>
      <w:r w:rsidR="003D6332" w:rsidRPr="00F71566">
        <w:rPr>
          <w:sz w:val="28"/>
          <w:szCs w:val="28"/>
          <w:lang w:val="en-US"/>
        </w:rPr>
        <w:t>ISSN</w:t>
      </w:r>
      <w:r w:rsidR="003D6332" w:rsidRPr="00F71566">
        <w:rPr>
          <w:sz w:val="28"/>
          <w:szCs w:val="28"/>
        </w:rPr>
        <w:t xml:space="preserve"> 8315-5049.</w:t>
      </w:r>
    </w:p>
    <w:p w:rsidR="005055AA" w:rsidRPr="00F71566" w:rsidRDefault="0006541E" w:rsidP="004C1FB0">
      <w:pPr>
        <w:spacing w:line="360" w:lineRule="auto"/>
        <w:jc w:val="both"/>
        <w:rPr>
          <w:sz w:val="28"/>
          <w:szCs w:val="28"/>
        </w:rPr>
      </w:pPr>
      <w:r w:rsidRPr="00F71566">
        <w:rPr>
          <w:sz w:val="28"/>
          <w:szCs w:val="28"/>
        </w:rPr>
        <w:t xml:space="preserve">22. </w:t>
      </w:r>
      <w:r w:rsidR="005055AA" w:rsidRPr="00F71566">
        <w:rPr>
          <w:sz w:val="28"/>
          <w:szCs w:val="28"/>
        </w:rPr>
        <w:t>Пшизова С.Н. Финансирование политического рынка: теоретические аспекты практических проблем // ПОЛИС (Политич</w:t>
      </w:r>
      <w:r w:rsidR="001B1AE7" w:rsidRPr="00F71566">
        <w:rPr>
          <w:sz w:val="28"/>
          <w:szCs w:val="28"/>
        </w:rPr>
        <w:t>еские</w:t>
      </w:r>
      <w:r w:rsidR="005055AA" w:rsidRPr="00F71566">
        <w:rPr>
          <w:sz w:val="28"/>
          <w:szCs w:val="28"/>
        </w:rPr>
        <w:t xml:space="preserve"> исслед</w:t>
      </w:r>
      <w:r w:rsidR="001B1AE7" w:rsidRPr="00F71566">
        <w:rPr>
          <w:sz w:val="28"/>
          <w:szCs w:val="28"/>
        </w:rPr>
        <w:t>ования</w:t>
      </w:r>
      <w:r w:rsidR="005055AA" w:rsidRPr="00F71566">
        <w:rPr>
          <w:sz w:val="28"/>
          <w:szCs w:val="28"/>
        </w:rPr>
        <w:t>). – 2002. – № 1. –</w:t>
      </w:r>
      <w:r w:rsidR="00B323BE" w:rsidRPr="00F71566">
        <w:rPr>
          <w:sz w:val="28"/>
          <w:szCs w:val="28"/>
        </w:rPr>
        <w:t xml:space="preserve"> С. 18-29;</w:t>
      </w:r>
      <w:r w:rsidR="005055AA" w:rsidRPr="00F71566">
        <w:rPr>
          <w:sz w:val="28"/>
          <w:szCs w:val="28"/>
        </w:rPr>
        <w:t xml:space="preserve"> № 2. –</w:t>
      </w:r>
      <w:r w:rsidR="00425AC5" w:rsidRPr="00F71566">
        <w:rPr>
          <w:sz w:val="28"/>
          <w:szCs w:val="28"/>
        </w:rPr>
        <w:t xml:space="preserve"> С. 31-</w:t>
      </w:r>
      <w:r w:rsidR="005055AA" w:rsidRPr="00F71566">
        <w:rPr>
          <w:sz w:val="28"/>
          <w:szCs w:val="28"/>
        </w:rPr>
        <w:t>43.</w:t>
      </w:r>
      <w:r w:rsidR="003D6332" w:rsidRPr="00F71566">
        <w:rPr>
          <w:sz w:val="28"/>
          <w:szCs w:val="28"/>
        </w:rPr>
        <w:t xml:space="preserve"> – </w:t>
      </w:r>
      <w:r w:rsidR="003D6332" w:rsidRPr="00F71566">
        <w:rPr>
          <w:sz w:val="28"/>
          <w:szCs w:val="28"/>
          <w:lang w:val="en-US"/>
        </w:rPr>
        <w:t>ISSN</w:t>
      </w:r>
      <w:r w:rsidR="003D6332" w:rsidRPr="00F71566">
        <w:rPr>
          <w:sz w:val="28"/>
          <w:szCs w:val="28"/>
        </w:rPr>
        <w:t xml:space="preserve"> 4531-8421.</w:t>
      </w:r>
    </w:p>
    <w:p w:rsidR="005055AA" w:rsidRPr="00F71566" w:rsidRDefault="0006541E" w:rsidP="004C1FB0">
      <w:pPr>
        <w:spacing w:line="360" w:lineRule="auto"/>
        <w:jc w:val="both"/>
        <w:rPr>
          <w:sz w:val="28"/>
          <w:szCs w:val="28"/>
        </w:rPr>
      </w:pPr>
      <w:r w:rsidRPr="00F71566">
        <w:rPr>
          <w:sz w:val="28"/>
          <w:szCs w:val="28"/>
        </w:rPr>
        <w:t xml:space="preserve">23. </w:t>
      </w:r>
      <w:r w:rsidR="005055AA" w:rsidRPr="00F71566">
        <w:rPr>
          <w:sz w:val="28"/>
          <w:szCs w:val="28"/>
        </w:rPr>
        <w:t>Чуркин А.Н., Тучина Ж.А. Некоторые аспекты международной практики финансирования политических партий // Журн</w:t>
      </w:r>
      <w:r w:rsidR="007A3B40" w:rsidRPr="00F71566">
        <w:rPr>
          <w:sz w:val="28"/>
          <w:szCs w:val="28"/>
        </w:rPr>
        <w:t>ал</w:t>
      </w:r>
      <w:r w:rsidR="005055AA" w:rsidRPr="00F71566">
        <w:rPr>
          <w:sz w:val="28"/>
          <w:szCs w:val="28"/>
        </w:rPr>
        <w:t xml:space="preserve"> о выборах. – 2006. – № 5. –</w:t>
      </w:r>
      <w:r w:rsidR="00425AC5" w:rsidRPr="00F71566">
        <w:rPr>
          <w:sz w:val="28"/>
          <w:szCs w:val="28"/>
        </w:rPr>
        <w:t xml:space="preserve"> С. 53-</w:t>
      </w:r>
      <w:r w:rsidR="005055AA" w:rsidRPr="00F71566">
        <w:rPr>
          <w:sz w:val="28"/>
          <w:szCs w:val="28"/>
        </w:rPr>
        <w:t>55.</w:t>
      </w:r>
      <w:r w:rsidR="00C83719" w:rsidRPr="00F71566">
        <w:rPr>
          <w:sz w:val="28"/>
          <w:szCs w:val="28"/>
        </w:rPr>
        <w:t xml:space="preserve"> – </w:t>
      </w:r>
      <w:r w:rsidR="00C83719" w:rsidRPr="00F71566">
        <w:rPr>
          <w:sz w:val="28"/>
          <w:szCs w:val="28"/>
          <w:lang w:val="en-US"/>
        </w:rPr>
        <w:t>ISSN</w:t>
      </w:r>
      <w:r w:rsidR="00C83719" w:rsidRPr="00F71566">
        <w:rPr>
          <w:sz w:val="28"/>
          <w:szCs w:val="28"/>
        </w:rPr>
        <w:t xml:space="preserve"> 3701-5683.</w:t>
      </w:r>
    </w:p>
    <w:p w:rsidR="009E1FD5" w:rsidRPr="00F71566" w:rsidRDefault="0006541E" w:rsidP="004C1FB0">
      <w:pPr>
        <w:spacing w:line="360" w:lineRule="auto"/>
        <w:jc w:val="both"/>
        <w:rPr>
          <w:sz w:val="28"/>
          <w:szCs w:val="28"/>
        </w:rPr>
      </w:pPr>
      <w:r w:rsidRPr="00F71566">
        <w:rPr>
          <w:sz w:val="28"/>
          <w:szCs w:val="28"/>
        </w:rPr>
        <w:t xml:space="preserve">24. </w:t>
      </w:r>
      <w:r w:rsidR="005055AA" w:rsidRPr="00F71566">
        <w:rPr>
          <w:sz w:val="28"/>
          <w:szCs w:val="28"/>
        </w:rPr>
        <w:t>Чучелина Н.Н. Основы финансирования избирательных кампаний в Российской Федерации // Право и власть. – 2002. – № 3. –</w:t>
      </w:r>
      <w:r w:rsidR="00425AC5" w:rsidRPr="00F71566">
        <w:rPr>
          <w:sz w:val="28"/>
          <w:szCs w:val="28"/>
        </w:rPr>
        <w:t xml:space="preserve"> С. 50-</w:t>
      </w:r>
      <w:r w:rsidR="005055AA" w:rsidRPr="00F71566">
        <w:rPr>
          <w:sz w:val="28"/>
          <w:szCs w:val="28"/>
        </w:rPr>
        <w:t>59.</w:t>
      </w:r>
      <w:r w:rsidR="003D6332" w:rsidRPr="00F71566">
        <w:rPr>
          <w:sz w:val="28"/>
          <w:szCs w:val="28"/>
        </w:rPr>
        <w:t xml:space="preserve"> – </w:t>
      </w:r>
      <w:r w:rsidR="003D6332" w:rsidRPr="00F71566">
        <w:rPr>
          <w:sz w:val="28"/>
          <w:szCs w:val="28"/>
          <w:lang w:val="en-US"/>
        </w:rPr>
        <w:t>ISSN</w:t>
      </w:r>
      <w:r w:rsidR="003D6332" w:rsidRPr="00F71566">
        <w:rPr>
          <w:sz w:val="28"/>
          <w:szCs w:val="28"/>
        </w:rPr>
        <w:t xml:space="preserve"> 6307-1854.</w:t>
      </w:r>
    </w:p>
    <w:p w:rsidR="005055AA" w:rsidRPr="00F97E75" w:rsidRDefault="009E1FD5" w:rsidP="00F71566">
      <w:pPr>
        <w:pStyle w:val="af3"/>
        <w:spacing w:after="0" w:line="360" w:lineRule="auto"/>
        <w:ind w:left="0" w:firstLine="709"/>
        <w:jc w:val="both"/>
        <w:rPr>
          <w:b/>
          <w:sz w:val="28"/>
          <w:szCs w:val="28"/>
        </w:rPr>
      </w:pPr>
      <w:r w:rsidRPr="00F71566">
        <w:rPr>
          <w:sz w:val="28"/>
        </w:rPr>
        <w:br w:type="page"/>
      </w:r>
      <w:r w:rsidRPr="00F97E75">
        <w:rPr>
          <w:b/>
          <w:sz w:val="28"/>
          <w:szCs w:val="28"/>
        </w:rPr>
        <w:t>Приложение А</w:t>
      </w:r>
    </w:p>
    <w:p w:rsidR="009E1FD5" w:rsidRPr="00F71566" w:rsidRDefault="009E1FD5" w:rsidP="00F71566">
      <w:pPr>
        <w:pStyle w:val="af3"/>
        <w:spacing w:after="0" w:line="360" w:lineRule="auto"/>
        <w:ind w:left="0" w:firstLine="709"/>
        <w:jc w:val="both"/>
        <w:rPr>
          <w:sz w:val="28"/>
          <w:szCs w:val="28"/>
        </w:rPr>
      </w:pPr>
    </w:p>
    <w:p w:rsidR="009E1FD5" w:rsidRPr="00F71566" w:rsidRDefault="007B03FD" w:rsidP="00F71566">
      <w:pPr>
        <w:pStyle w:val="af3"/>
        <w:spacing w:after="0" w:line="360" w:lineRule="auto"/>
        <w:ind w:left="0" w:firstLine="709"/>
        <w:jc w:val="both"/>
        <w:rPr>
          <w:sz w:val="28"/>
          <w:szCs w:val="28"/>
        </w:rPr>
      </w:pPr>
      <w:r w:rsidRPr="00F71566">
        <w:rPr>
          <w:sz w:val="28"/>
          <w:szCs w:val="28"/>
        </w:rPr>
        <w:t>Таблица А.1. Виды отчётов депутатов</w:t>
      </w:r>
      <w:r w:rsidR="00F97E75">
        <w:rPr>
          <w:sz w:val="28"/>
          <w:szCs w:val="28"/>
        </w:rPr>
        <w:t xml:space="preserve"> </w:t>
      </w:r>
      <w:r w:rsidRPr="00F71566">
        <w:rPr>
          <w:sz w:val="28"/>
          <w:szCs w:val="28"/>
        </w:rPr>
        <w:t>Государственной Думы Федерального Собрания РФ</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644"/>
        <w:gridCol w:w="7099"/>
      </w:tblGrid>
      <w:tr w:rsidR="00694DE4" w:rsidRPr="00AA3F7A" w:rsidTr="00AA3F7A">
        <w:trPr>
          <w:jc w:val="center"/>
        </w:trPr>
        <w:tc>
          <w:tcPr>
            <w:tcW w:w="567" w:type="dxa"/>
            <w:shd w:val="clear" w:color="auto" w:fill="auto"/>
            <w:vAlign w:val="center"/>
          </w:tcPr>
          <w:p w:rsidR="00694DE4" w:rsidRPr="00AA3F7A" w:rsidRDefault="00694DE4" w:rsidP="00AA3F7A">
            <w:pPr>
              <w:pStyle w:val="af3"/>
              <w:spacing w:after="0" w:line="360" w:lineRule="auto"/>
              <w:ind w:left="0"/>
              <w:jc w:val="both"/>
              <w:rPr>
                <w:szCs w:val="28"/>
              </w:rPr>
            </w:pPr>
            <w:r w:rsidRPr="00AA3F7A">
              <w:rPr>
                <w:szCs w:val="28"/>
              </w:rPr>
              <w:t>№ п/п</w:t>
            </w:r>
          </w:p>
        </w:tc>
        <w:tc>
          <w:tcPr>
            <w:tcW w:w="1701" w:type="dxa"/>
            <w:shd w:val="clear" w:color="auto" w:fill="auto"/>
            <w:vAlign w:val="center"/>
          </w:tcPr>
          <w:p w:rsidR="00694DE4" w:rsidRPr="00AA3F7A" w:rsidRDefault="00694DE4" w:rsidP="00AA3F7A">
            <w:pPr>
              <w:pStyle w:val="af3"/>
              <w:spacing w:after="0" w:line="360" w:lineRule="auto"/>
              <w:ind w:left="0"/>
              <w:jc w:val="both"/>
              <w:rPr>
                <w:szCs w:val="28"/>
              </w:rPr>
            </w:pPr>
            <w:r w:rsidRPr="00AA3F7A">
              <w:rPr>
                <w:szCs w:val="28"/>
              </w:rPr>
              <w:t>Отчёт</w:t>
            </w:r>
          </w:p>
        </w:tc>
        <w:tc>
          <w:tcPr>
            <w:tcW w:w="7938" w:type="dxa"/>
            <w:shd w:val="clear" w:color="auto" w:fill="auto"/>
            <w:vAlign w:val="center"/>
          </w:tcPr>
          <w:p w:rsidR="00694DE4" w:rsidRPr="00AA3F7A" w:rsidRDefault="00694DE4" w:rsidP="00AA3F7A">
            <w:pPr>
              <w:pStyle w:val="af3"/>
              <w:spacing w:after="0" w:line="360" w:lineRule="auto"/>
              <w:ind w:left="0"/>
              <w:jc w:val="both"/>
              <w:rPr>
                <w:szCs w:val="28"/>
              </w:rPr>
            </w:pPr>
            <w:r w:rsidRPr="00AA3F7A">
              <w:rPr>
                <w:szCs w:val="28"/>
              </w:rPr>
              <w:t>Сущность отчёта</w:t>
            </w:r>
          </w:p>
        </w:tc>
      </w:tr>
      <w:tr w:rsidR="00694DE4" w:rsidRPr="00AA3F7A" w:rsidTr="00AA3F7A">
        <w:trPr>
          <w:jc w:val="center"/>
        </w:trPr>
        <w:tc>
          <w:tcPr>
            <w:tcW w:w="567" w:type="dxa"/>
            <w:shd w:val="clear" w:color="auto" w:fill="auto"/>
          </w:tcPr>
          <w:p w:rsidR="00694DE4" w:rsidRPr="00AA3F7A" w:rsidRDefault="00694DE4" w:rsidP="00AA3F7A">
            <w:pPr>
              <w:pStyle w:val="af3"/>
              <w:spacing w:after="0" w:line="360" w:lineRule="auto"/>
              <w:ind w:left="0"/>
              <w:jc w:val="both"/>
              <w:rPr>
                <w:szCs w:val="28"/>
              </w:rPr>
            </w:pPr>
            <w:r w:rsidRPr="00AA3F7A">
              <w:rPr>
                <w:szCs w:val="28"/>
              </w:rPr>
              <w:t>1</w:t>
            </w:r>
          </w:p>
        </w:tc>
        <w:tc>
          <w:tcPr>
            <w:tcW w:w="1701" w:type="dxa"/>
            <w:shd w:val="clear" w:color="auto" w:fill="auto"/>
          </w:tcPr>
          <w:p w:rsidR="00694DE4" w:rsidRPr="00AA3F7A" w:rsidRDefault="00066A5F" w:rsidP="00AA3F7A">
            <w:pPr>
              <w:pStyle w:val="af3"/>
              <w:spacing w:after="0" w:line="360" w:lineRule="auto"/>
              <w:ind w:left="0"/>
              <w:jc w:val="both"/>
              <w:rPr>
                <w:szCs w:val="28"/>
              </w:rPr>
            </w:pPr>
            <w:r w:rsidRPr="00AA3F7A">
              <w:rPr>
                <w:szCs w:val="28"/>
              </w:rPr>
              <w:t>П</w:t>
            </w:r>
            <w:r w:rsidR="00694DE4" w:rsidRPr="00AA3F7A">
              <w:rPr>
                <w:szCs w:val="28"/>
              </w:rPr>
              <w:t>ервый финансовый отчёт</w:t>
            </w:r>
          </w:p>
        </w:tc>
        <w:tc>
          <w:tcPr>
            <w:tcW w:w="7938" w:type="dxa"/>
            <w:shd w:val="clear" w:color="auto" w:fill="auto"/>
          </w:tcPr>
          <w:p w:rsidR="00694DE4" w:rsidRPr="00AA3F7A" w:rsidRDefault="00066A5F" w:rsidP="00AA3F7A">
            <w:pPr>
              <w:pStyle w:val="af3"/>
              <w:spacing w:after="0" w:line="360" w:lineRule="auto"/>
              <w:ind w:left="0"/>
              <w:jc w:val="both"/>
              <w:rPr>
                <w:szCs w:val="28"/>
              </w:rPr>
            </w:pPr>
            <w:r w:rsidRPr="00AA3F7A">
              <w:rPr>
                <w:szCs w:val="28"/>
              </w:rPr>
              <w:t>О</w:t>
            </w:r>
            <w:r w:rsidR="00694DE4" w:rsidRPr="00AA3F7A">
              <w:rPr>
                <w:szCs w:val="28"/>
              </w:rPr>
              <w:t>дновременно с представлением документов, необходимых для регистрации, в соответствующую избирательную комиссию в установленном настоящим Федеральным законом порядке; в отчет включаются сведения по состоянию на дату, которая не более чем на пять дней предшествует дате сдачи отчета</w:t>
            </w:r>
            <w:r w:rsidRPr="00AA3F7A">
              <w:rPr>
                <w:szCs w:val="28"/>
              </w:rPr>
              <w:t>.</w:t>
            </w:r>
          </w:p>
        </w:tc>
      </w:tr>
      <w:tr w:rsidR="00694DE4" w:rsidRPr="00AA3F7A" w:rsidTr="00AA3F7A">
        <w:trPr>
          <w:jc w:val="center"/>
        </w:trPr>
        <w:tc>
          <w:tcPr>
            <w:tcW w:w="567" w:type="dxa"/>
            <w:shd w:val="clear" w:color="auto" w:fill="auto"/>
          </w:tcPr>
          <w:p w:rsidR="00694DE4" w:rsidRPr="00AA3F7A" w:rsidRDefault="00694DE4" w:rsidP="00AA3F7A">
            <w:pPr>
              <w:pStyle w:val="af3"/>
              <w:spacing w:after="0" w:line="360" w:lineRule="auto"/>
              <w:ind w:left="0"/>
              <w:jc w:val="both"/>
              <w:rPr>
                <w:szCs w:val="28"/>
              </w:rPr>
            </w:pPr>
            <w:r w:rsidRPr="00AA3F7A">
              <w:rPr>
                <w:szCs w:val="28"/>
              </w:rPr>
              <w:t>2</w:t>
            </w:r>
          </w:p>
        </w:tc>
        <w:tc>
          <w:tcPr>
            <w:tcW w:w="1701" w:type="dxa"/>
            <w:shd w:val="clear" w:color="auto" w:fill="auto"/>
          </w:tcPr>
          <w:p w:rsidR="00694DE4" w:rsidRPr="00AA3F7A" w:rsidRDefault="00066A5F" w:rsidP="00AA3F7A">
            <w:pPr>
              <w:pStyle w:val="af3"/>
              <w:spacing w:after="0" w:line="360" w:lineRule="auto"/>
              <w:ind w:left="0"/>
              <w:jc w:val="both"/>
              <w:rPr>
                <w:szCs w:val="28"/>
              </w:rPr>
            </w:pPr>
            <w:r w:rsidRPr="00AA3F7A">
              <w:rPr>
                <w:szCs w:val="28"/>
              </w:rPr>
              <w:t>В</w:t>
            </w:r>
            <w:r w:rsidR="00694DE4" w:rsidRPr="00AA3F7A">
              <w:rPr>
                <w:szCs w:val="28"/>
              </w:rPr>
              <w:t>торой финансовый отчёт</w:t>
            </w:r>
          </w:p>
        </w:tc>
        <w:tc>
          <w:tcPr>
            <w:tcW w:w="7938" w:type="dxa"/>
            <w:shd w:val="clear" w:color="auto" w:fill="auto"/>
          </w:tcPr>
          <w:p w:rsidR="00694DE4" w:rsidRPr="00AA3F7A" w:rsidRDefault="00066A5F" w:rsidP="00AA3F7A">
            <w:pPr>
              <w:pStyle w:val="af3"/>
              <w:spacing w:after="0" w:line="360" w:lineRule="auto"/>
              <w:ind w:left="0"/>
              <w:jc w:val="both"/>
              <w:rPr>
                <w:szCs w:val="28"/>
              </w:rPr>
            </w:pPr>
            <w:r w:rsidRPr="00AA3F7A">
              <w:rPr>
                <w:szCs w:val="28"/>
              </w:rPr>
              <w:t>Н</w:t>
            </w:r>
            <w:r w:rsidR="00694DE4" w:rsidRPr="00AA3F7A">
              <w:rPr>
                <w:szCs w:val="28"/>
              </w:rPr>
              <w:t>е ранее чем за 12 дней и не позднее чем за 10 дней до дня голосования; в отчет включаются сведения по состоянию на дату, которая не более чем на пять дней предшествует дате сдачи отчета</w:t>
            </w:r>
            <w:r w:rsidRPr="00AA3F7A">
              <w:rPr>
                <w:szCs w:val="28"/>
              </w:rPr>
              <w:t>.</w:t>
            </w:r>
          </w:p>
        </w:tc>
      </w:tr>
      <w:tr w:rsidR="00694DE4" w:rsidRPr="00AA3F7A" w:rsidTr="00AA3F7A">
        <w:trPr>
          <w:jc w:val="center"/>
        </w:trPr>
        <w:tc>
          <w:tcPr>
            <w:tcW w:w="567" w:type="dxa"/>
            <w:shd w:val="clear" w:color="auto" w:fill="auto"/>
          </w:tcPr>
          <w:p w:rsidR="00694DE4" w:rsidRPr="00AA3F7A" w:rsidRDefault="00694DE4" w:rsidP="00AA3F7A">
            <w:pPr>
              <w:pStyle w:val="af3"/>
              <w:spacing w:after="0" w:line="360" w:lineRule="auto"/>
              <w:ind w:left="0"/>
              <w:jc w:val="both"/>
              <w:rPr>
                <w:szCs w:val="28"/>
              </w:rPr>
            </w:pPr>
            <w:r w:rsidRPr="00AA3F7A">
              <w:rPr>
                <w:szCs w:val="28"/>
              </w:rPr>
              <w:t>3</w:t>
            </w:r>
          </w:p>
        </w:tc>
        <w:tc>
          <w:tcPr>
            <w:tcW w:w="1701" w:type="dxa"/>
            <w:shd w:val="clear" w:color="auto" w:fill="auto"/>
          </w:tcPr>
          <w:p w:rsidR="00694DE4" w:rsidRPr="00AA3F7A" w:rsidRDefault="00066A5F" w:rsidP="00AA3F7A">
            <w:pPr>
              <w:pStyle w:val="af3"/>
              <w:spacing w:after="0" w:line="360" w:lineRule="auto"/>
              <w:ind w:left="0"/>
              <w:jc w:val="both"/>
              <w:rPr>
                <w:szCs w:val="28"/>
              </w:rPr>
            </w:pPr>
            <w:r w:rsidRPr="00AA3F7A">
              <w:rPr>
                <w:szCs w:val="28"/>
              </w:rPr>
              <w:t>И</w:t>
            </w:r>
            <w:r w:rsidR="00694DE4" w:rsidRPr="00AA3F7A">
              <w:rPr>
                <w:szCs w:val="28"/>
              </w:rPr>
              <w:t>тоговый финансовый отчёт</w:t>
            </w:r>
          </w:p>
        </w:tc>
        <w:tc>
          <w:tcPr>
            <w:tcW w:w="7938" w:type="dxa"/>
            <w:shd w:val="clear" w:color="auto" w:fill="auto"/>
          </w:tcPr>
          <w:p w:rsidR="00694DE4" w:rsidRPr="00AA3F7A" w:rsidRDefault="00066A5F" w:rsidP="00AA3F7A">
            <w:pPr>
              <w:pStyle w:val="af3"/>
              <w:spacing w:after="0" w:line="360" w:lineRule="auto"/>
              <w:ind w:left="0"/>
              <w:jc w:val="both"/>
              <w:rPr>
                <w:szCs w:val="28"/>
              </w:rPr>
            </w:pPr>
            <w:r w:rsidRPr="00AA3F7A">
              <w:rPr>
                <w:szCs w:val="28"/>
              </w:rPr>
              <w:t>Н</w:t>
            </w:r>
            <w:r w:rsidR="00694DE4" w:rsidRPr="00AA3F7A">
              <w:rPr>
                <w:szCs w:val="28"/>
              </w:rPr>
              <w:t>е позднее чем через 30 дней после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 а также материалы, указанные в пункте 5 статьи 63 настоящего Федерального закона</w:t>
            </w:r>
            <w:r w:rsidRPr="00AA3F7A">
              <w:rPr>
                <w:szCs w:val="28"/>
              </w:rPr>
              <w:t>.</w:t>
            </w:r>
          </w:p>
        </w:tc>
      </w:tr>
    </w:tbl>
    <w:p w:rsidR="007B03FD" w:rsidRPr="00F71566" w:rsidRDefault="007B03FD" w:rsidP="00F97E75">
      <w:pPr>
        <w:pStyle w:val="af3"/>
        <w:spacing w:after="0" w:line="360" w:lineRule="auto"/>
        <w:ind w:left="0" w:firstLine="709"/>
        <w:jc w:val="both"/>
      </w:pPr>
      <w:bookmarkStart w:id="0" w:name="_GoBack"/>
      <w:bookmarkEnd w:id="0"/>
    </w:p>
    <w:sectPr w:rsidR="007B03FD" w:rsidRPr="00F71566" w:rsidSect="00F71566">
      <w:pgSz w:w="11906" w:h="16838" w:code="9"/>
      <w:pgMar w:top="1134" w:right="851" w:bottom="1134" w:left="1701" w:header="567" w:footer="567"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F7A" w:rsidRDefault="00AA3F7A">
      <w:r>
        <w:separator/>
      </w:r>
    </w:p>
  </w:endnote>
  <w:endnote w:type="continuationSeparator" w:id="0">
    <w:p w:rsidR="00AA3F7A" w:rsidRDefault="00AA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F7A" w:rsidRDefault="00AA3F7A">
      <w:r>
        <w:separator/>
      </w:r>
    </w:p>
  </w:footnote>
  <w:footnote w:type="continuationSeparator" w:id="0">
    <w:p w:rsidR="00AA3F7A" w:rsidRDefault="00AA3F7A">
      <w:r>
        <w:continuationSeparator/>
      </w:r>
    </w:p>
  </w:footnote>
  <w:footnote w:id="1">
    <w:p w:rsidR="00AA3F7A" w:rsidRDefault="00474A9F" w:rsidP="00A311B8">
      <w:pPr>
        <w:pStyle w:val="a7"/>
        <w:keepLines/>
        <w:jc w:val="both"/>
      </w:pPr>
      <w:r w:rsidRPr="00A311B8">
        <w:rPr>
          <w:rStyle w:val="a5"/>
        </w:rPr>
        <w:footnoteRef/>
      </w:r>
      <w:r w:rsidRPr="00A311B8">
        <w:t xml:space="preserve"> Веденеев Ю.А., Князев С.Д. Избирательные правоотношения: понятие, политико-правовое содержание и структура. // Журнал российского права. – 2004. – № 10. – С. 32-34; № 11. – С. 27-29.</w:t>
      </w:r>
    </w:p>
  </w:footnote>
  <w:footnote w:id="2">
    <w:p w:rsidR="00AA3F7A" w:rsidRDefault="00474A9F" w:rsidP="00A311B8">
      <w:pPr>
        <w:pStyle w:val="a7"/>
        <w:keepLines/>
        <w:jc w:val="both"/>
      </w:pPr>
      <w:r w:rsidRPr="00A311B8">
        <w:rPr>
          <w:rStyle w:val="a5"/>
        </w:rPr>
        <w:footnoteRef/>
      </w:r>
      <w:r w:rsidRPr="00A311B8">
        <w:t xml:space="preserve"> Чучелина Н.Н. Основы финансирования избирательных кампаний в Российской Федерации // Право и власть. – 2002. – № 3. – С. 50-59.</w:t>
      </w:r>
    </w:p>
  </w:footnote>
  <w:footnote w:id="3">
    <w:p w:rsidR="00AA3F7A" w:rsidRDefault="00474A9F" w:rsidP="00A311B8">
      <w:pPr>
        <w:pStyle w:val="a7"/>
        <w:keepLines/>
        <w:jc w:val="both"/>
      </w:pPr>
      <w:r w:rsidRPr="00A311B8">
        <w:rPr>
          <w:rStyle w:val="a5"/>
        </w:rPr>
        <w:footnoteRef/>
      </w:r>
      <w:r>
        <w:t xml:space="preserve"> Заботин В.</w:t>
      </w:r>
      <w:r w:rsidRPr="00A311B8">
        <w:t>П. Автореферат диссертации на соискание ученой степени кандидата юридических наук: Избирательные права граждан Российской Федерации и роль органов внутренних дел в их реализации. – М., 2001.</w:t>
      </w:r>
    </w:p>
  </w:footnote>
  <w:footnote w:id="4">
    <w:p w:rsidR="00AA3F7A" w:rsidRDefault="00474A9F" w:rsidP="00A311B8">
      <w:pPr>
        <w:pStyle w:val="a7"/>
        <w:keepLines/>
        <w:jc w:val="both"/>
      </w:pPr>
      <w:r w:rsidRPr="00A311B8">
        <w:rPr>
          <w:rStyle w:val="a5"/>
        </w:rPr>
        <w:footnoteRef/>
      </w:r>
      <w:r>
        <w:t xml:space="preserve"> Вискулова В.</w:t>
      </w:r>
      <w:r w:rsidRPr="00A311B8">
        <w:t>В. О совершенствовании российского законодательства в сфере финансирования федеральных выборов // Политика и право. – Вып. 3. – Благовещенск, 2002. – С. 97-108.</w:t>
      </w:r>
    </w:p>
  </w:footnote>
  <w:footnote w:id="5">
    <w:p w:rsidR="00AA3F7A" w:rsidRDefault="00474A9F" w:rsidP="00A311B8">
      <w:pPr>
        <w:pStyle w:val="a7"/>
        <w:keepLines/>
        <w:jc w:val="both"/>
      </w:pPr>
      <w:r w:rsidRPr="00A311B8">
        <w:rPr>
          <w:rStyle w:val="a5"/>
        </w:rPr>
        <w:footnoteRef/>
      </w:r>
      <w:r>
        <w:t xml:space="preserve"> Николаев А.</w:t>
      </w:r>
      <w:r w:rsidRPr="00A311B8">
        <w:t>С. Законодательное регулирование финансовой деятельности политических партий в Российской Федерации // Конституционное и муниципальное право. – 2004. – № 5. – С. 23-26.</w:t>
      </w:r>
    </w:p>
  </w:footnote>
  <w:footnote w:id="6">
    <w:p w:rsidR="00AA3F7A" w:rsidRDefault="00474A9F" w:rsidP="00A311B8">
      <w:pPr>
        <w:pStyle w:val="a7"/>
        <w:keepLines/>
        <w:jc w:val="both"/>
      </w:pPr>
      <w:r w:rsidRPr="00A311B8">
        <w:rPr>
          <w:rStyle w:val="a5"/>
        </w:rPr>
        <w:footnoteRef/>
      </w:r>
      <w:r w:rsidRPr="00A311B8">
        <w:t xml:space="preserve"> Там же.</w:t>
      </w:r>
    </w:p>
  </w:footnote>
  <w:footnote w:id="7">
    <w:p w:rsidR="00AA3F7A" w:rsidRDefault="00474A9F" w:rsidP="00A311B8">
      <w:pPr>
        <w:pStyle w:val="a7"/>
        <w:keepLines/>
        <w:jc w:val="both"/>
      </w:pPr>
      <w:r w:rsidRPr="00A311B8">
        <w:rPr>
          <w:rStyle w:val="a5"/>
        </w:rPr>
        <w:footnoteRef/>
      </w:r>
      <w:r>
        <w:t xml:space="preserve"> Пшизова С.</w:t>
      </w:r>
      <w:r w:rsidRPr="00A311B8">
        <w:t>Н. Финансирование политического рынка: теоретические аспекты практических проблем // ПОЛИС (Политические исследования). – 2002. – № 1. – С. 18-29; № 2. – С. 31-43.</w:t>
      </w:r>
    </w:p>
  </w:footnote>
  <w:footnote w:id="8">
    <w:p w:rsidR="00AA3F7A" w:rsidRDefault="00474A9F" w:rsidP="00A311B8">
      <w:pPr>
        <w:pStyle w:val="a7"/>
        <w:keepLines/>
        <w:jc w:val="both"/>
      </w:pPr>
      <w:r w:rsidRPr="00A311B8">
        <w:rPr>
          <w:rStyle w:val="a5"/>
        </w:rPr>
        <w:footnoteRef/>
      </w:r>
      <w:r>
        <w:t xml:space="preserve"> Ермакова Э.Л., Карманов А.</w:t>
      </w:r>
      <w:r w:rsidRPr="00A311B8">
        <w:t>Б. Альтернативное финансирование участников избирательной кампании: законодательство и практика // Журнал о выборах. – 2005. – № 5. – С. 16-20.</w:t>
      </w:r>
    </w:p>
  </w:footnote>
  <w:footnote w:id="9">
    <w:p w:rsidR="00AA3F7A" w:rsidRDefault="00474A9F" w:rsidP="00A311B8">
      <w:pPr>
        <w:pStyle w:val="a7"/>
        <w:keepLines/>
        <w:jc w:val="both"/>
      </w:pPr>
      <w:r w:rsidRPr="00A311B8">
        <w:rPr>
          <w:rStyle w:val="a5"/>
        </w:rPr>
        <w:footnoteRef/>
      </w:r>
      <w:r>
        <w:t xml:space="preserve"> Заботин В.</w:t>
      </w:r>
      <w:r w:rsidRPr="00A311B8">
        <w:t>П. Автореферат диссертации на соискание ученой степени кандидата юридических наук: Избирательные права граждан Российской Федерации и роль органов внутренних дел в их реализации. – М., 2001.</w:t>
      </w:r>
    </w:p>
  </w:footnote>
  <w:footnote w:id="10">
    <w:p w:rsidR="00AA3F7A" w:rsidRDefault="00474A9F" w:rsidP="00A311B8">
      <w:pPr>
        <w:pStyle w:val="a7"/>
        <w:keepLines/>
        <w:jc w:val="both"/>
      </w:pPr>
      <w:r w:rsidRPr="00A311B8">
        <w:rPr>
          <w:rStyle w:val="a5"/>
        </w:rPr>
        <w:footnoteRef/>
      </w:r>
      <w:r w:rsidRPr="00A311B8">
        <w:t xml:space="preserve"> Ермакова Э.</w:t>
      </w:r>
      <w:r>
        <w:t>Л., Карманов А.</w:t>
      </w:r>
      <w:r w:rsidRPr="00A311B8">
        <w:t>Б. Альтернативное финансирование участников избирательной кампании: законодательство и практика // Журнал о выборах. – 2005. – № 5. – С. 16-20.</w:t>
      </w:r>
    </w:p>
  </w:footnote>
  <w:footnote w:id="11">
    <w:p w:rsidR="00AA3F7A" w:rsidRDefault="00474A9F" w:rsidP="00A311B8">
      <w:pPr>
        <w:pStyle w:val="a7"/>
        <w:keepLines/>
        <w:jc w:val="both"/>
      </w:pPr>
      <w:r w:rsidRPr="00A311B8">
        <w:rPr>
          <w:rStyle w:val="a5"/>
        </w:rPr>
        <w:footnoteRef/>
      </w:r>
      <w:r>
        <w:t xml:space="preserve"> Дзюба О.</w:t>
      </w:r>
      <w:r w:rsidRPr="00A311B8">
        <w:t>Н. Административные нарушения при финансировании выборов // Чиновник. – 2004. – № 1 (29). – С. 25-28.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1C0A5C"/>
    <w:lvl w:ilvl="0">
      <w:numFmt w:val="decimal"/>
      <w:lvlText w:val="*"/>
      <w:lvlJc w:val="left"/>
      <w:rPr>
        <w:rFonts w:cs="Times New Roman"/>
      </w:rPr>
    </w:lvl>
  </w:abstractNum>
  <w:abstractNum w:abstractNumId="1">
    <w:nsid w:val="02923BA3"/>
    <w:multiLevelType w:val="hybridMultilevel"/>
    <w:tmpl w:val="03902E3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5E4AF2"/>
    <w:multiLevelType w:val="hybridMultilevel"/>
    <w:tmpl w:val="D07CC8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02400C"/>
    <w:multiLevelType w:val="hybridMultilevel"/>
    <w:tmpl w:val="32E004A6"/>
    <w:lvl w:ilvl="0" w:tplc="04190011">
      <w:start w:val="1"/>
      <w:numFmt w:val="decimal"/>
      <w:lvlText w:val="%1)"/>
      <w:lvlJc w:val="left"/>
      <w:pPr>
        <w:tabs>
          <w:tab w:val="num" w:pos="720"/>
        </w:tabs>
        <w:ind w:left="720" w:hanging="360"/>
      </w:pPr>
      <w:rPr>
        <w:rFonts w:cs="Times New Roman" w:hint="default"/>
      </w:rPr>
    </w:lvl>
    <w:lvl w:ilvl="1" w:tplc="90A0EA1E">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5B55D6"/>
    <w:multiLevelType w:val="singleLevel"/>
    <w:tmpl w:val="95F6A90C"/>
    <w:lvl w:ilvl="0">
      <w:numFmt w:val="none"/>
      <w:lvlText w:val=""/>
      <w:lvlJc w:val="left"/>
      <w:pPr>
        <w:tabs>
          <w:tab w:val="num" w:pos="360"/>
        </w:tabs>
      </w:pPr>
      <w:rPr>
        <w:rFonts w:cs="Times New Roman"/>
      </w:rPr>
    </w:lvl>
  </w:abstractNum>
  <w:abstractNum w:abstractNumId="5">
    <w:nsid w:val="13A37A41"/>
    <w:multiLevelType w:val="hybridMultilevel"/>
    <w:tmpl w:val="8C5C0A0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2E54C4"/>
    <w:multiLevelType w:val="singleLevel"/>
    <w:tmpl w:val="E19E2F04"/>
    <w:lvl w:ilvl="0">
      <w:start w:val="5"/>
      <w:numFmt w:val="decimal"/>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7">
    <w:nsid w:val="1B4A0DFA"/>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8">
    <w:nsid w:val="1F287EF8"/>
    <w:multiLevelType w:val="hybridMultilevel"/>
    <w:tmpl w:val="FFA4D1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1FE3E14"/>
    <w:multiLevelType w:val="hybridMultilevel"/>
    <w:tmpl w:val="D1B6F058"/>
    <w:lvl w:ilvl="0" w:tplc="8644533E">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1965EF"/>
    <w:multiLevelType w:val="hybridMultilevel"/>
    <w:tmpl w:val="8FBE0B92"/>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BD001AB"/>
    <w:multiLevelType w:val="multilevel"/>
    <w:tmpl w:val="61E0532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31C17912"/>
    <w:multiLevelType w:val="singleLevel"/>
    <w:tmpl w:val="DF64A8DC"/>
    <w:lvl w:ilvl="0">
      <w:start w:val="1"/>
      <w:numFmt w:val="decimal"/>
      <w:lvlText w:val="%1."/>
      <w:lvlJc w:val="left"/>
      <w:pPr>
        <w:tabs>
          <w:tab w:val="num" w:pos="375"/>
        </w:tabs>
        <w:ind w:left="375" w:hanging="375"/>
      </w:pPr>
      <w:rPr>
        <w:rFonts w:cs="Times New Roman" w:hint="default"/>
      </w:rPr>
    </w:lvl>
  </w:abstractNum>
  <w:abstractNum w:abstractNumId="13">
    <w:nsid w:val="34107D42"/>
    <w:multiLevelType w:val="singleLevel"/>
    <w:tmpl w:val="637278B6"/>
    <w:lvl w:ilvl="0">
      <w:start w:val="7"/>
      <w:numFmt w:val="decimal"/>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14">
    <w:nsid w:val="34DB7E22"/>
    <w:multiLevelType w:val="hybridMultilevel"/>
    <w:tmpl w:val="4E7EC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662C88"/>
    <w:multiLevelType w:val="hybridMultilevel"/>
    <w:tmpl w:val="020E1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27083D"/>
    <w:multiLevelType w:val="singleLevel"/>
    <w:tmpl w:val="791CAE34"/>
    <w:lvl w:ilvl="0">
      <w:start w:val="1"/>
      <w:numFmt w:val="decimal"/>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17">
    <w:nsid w:val="3CBB1A8A"/>
    <w:multiLevelType w:val="hybridMultilevel"/>
    <w:tmpl w:val="97762592"/>
    <w:lvl w:ilvl="0" w:tplc="9676CBD8">
      <w:start w:val="1"/>
      <w:numFmt w:val="decimal"/>
      <w:lvlText w:val="%1."/>
      <w:lvlJc w:val="left"/>
      <w:pPr>
        <w:tabs>
          <w:tab w:val="num" w:pos="1035"/>
        </w:tabs>
        <w:ind w:left="1035" w:hanging="435"/>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8">
    <w:nsid w:val="44F9580C"/>
    <w:multiLevelType w:val="singleLevel"/>
    <w:tmpl w:val="F83CD34C"/>
    <w:lvl w:ilvl="0">
      <w:start w:val="1"/>
      <w:numFmt w:val="decimal"/>
      <w:lvlText w:val="%1."/>
      <w:lvlJc w:val="left"/>
      <w:pPr>
        <w:tabs>
          <w:tab w:val="num" w:pos="900"/>
        </w:tabs>
        <w:ind w:left="900" w:hanging="360"/>
      </w:pPr>
      <w:rPr>
        <w:rFonts w:cs="Times New Roman" w:hint="default"/>
      </w:rPr>
    </w:lvl>
  </w:abstractNum>
  <w:abstractNum w:abstractNumId="19">
    <w:nsid w:val="4BBF34EC"/>
    <w:multiLevelType w:val="singleLevel"/>
    <w:tmpl w:val="E22C6DC8"/>
    <w:lvl w:ilvl="0">
      <w:start w:val="9"/>
      <w:numFmt w:val="decimal"/>
      <w:lvlText w:val="%1. "/>
      <w:legacy w:legacy="1" w:legacySpace="0" w:legacyIndent="283"/>
      <w:lvlJc w:val="left"/>
      <w:pPr>
        <w:ind w:left="1985" w:hanging="283"/>
      </w:pPr>
      <w:rPr>
        <w:rFonts w:ascii="Courier New" w:hAnsi="Courier New" w:cs="Courier New" w:hint="default"/>
        <w:b w:val="0"/>
        <w:bCs w:val="0"/>
        <w:i w:val="0"/>
        <w:iCs w:val="0"/>
        <w:sz w:val="20"/>
        <w:szCs w:val="20"/>
        <w:u w:val="none"/>
      </w:rPr>
    </w:lvl>
  </w:abstractNum>
  <w:abstractNum w:abstractNumId="20">
    <w:nsid w:val="52401603"/>
    <w:multiLevelType w:val="singleLevel"/>
    <w:tmpl w:val="489292C0"/>
    <w:lvl w:ilvl="0">
      <w:start w:val="4"/>
      <w:numFmt w:val="decimal"/>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21">
    <w:nsid w:val="52CD4EF5"/>
    <w:multiLevelType w:val="multilevel"/>
    <w:tmpl w:val="A4B40F6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43E2349"/>
    <w:multiLevelType w:val="singleLevel"/>
    <w:tmpl w:val="D7DEE426"/>
    <w:lvl w:ilvl="0">
      <w:numFmt w:val="bullet"/>
      <w:lvlText w:val="-"/>
      <w:lvlJc w:val="left"/>
      <w:pPr>
        <w:tabs>
          <w:tab w:val="num" w:pos="1080"/>
        </w:tabs>
        <w:ind w:left="1080" w:hanging="360"/>
      </w:pPr>
      <w:rPr>
        <w:rFonts w:hint="default"/>
      </w:rPr>
    </w:lvl>
  </w:abstractNum>
  <w:abstractNum w:abstractNumId="23">
    <w:nsid w:val="56332661"/>
    <w:multiLevelType w:val="hybridMultilevel"/>
    <w:tmpl w:val="D99851C0"/>
    <w:lvl w:ilvl="0" w:tplc="82F2190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2310A2"/>
    <w:multiLevelType w:val="hybridMultilevel"/>
    <w:tmpl w:val="D9587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8201DF9"/>
    <w:multiLevelType w:val="hybridMultilevel"/>
    <w:tmpl w:val="0D5616D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59BA7F1E"/>
    <w:multiLevelType w:val="hybridMultilevel"/>
    <w:tmpl w:val="200A970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E3C5EA6"/>
    <w:multiLevelType w:val="hybridMultilevel"/>
    <w:tmpl w:val="A4829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616142D"/>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29">
    <w:nsid w:val="665F0C62"/>
    <w:multiLevelType w:val="hybridMultilevel"/>
    <w:tmpl w:val="F9C226A4"/>
    <w:lvl w:ilvl="0" w:tplc="1B1EAE5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30">
    <w:nsid w:val="6C750505"/>
    <w:multiLevelType w:val="hybridMultilevel"/>
    <w:tmpl w:val="69E4BA5E"/>
    <w:lvl w:ilvl="0" w:tplc="9676CBD8">
      <w:start w:val="1"/>
      <w:numFmt w:val="decimal"/>
      <w:lvlText w:val="%1."/>
      <w:lvlJc w:val="left"/>
      <w:pPr>
        <w:tabs>
          <w:tab w:val="num" w:pos="1035"/>
        </w:tabs>
        <w:ind w:left="103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D8C60FF"/>
    <w:multiLevelType w:val="hybridMultilevel"/>
    <w:tmpl w:val="1E34FF80"/>
    <w:lvl w:ilvl="0" w:tplc="73FADBAE">
      <w:start w:val="1"/>
      <w:numFmt w:val="decimal"/>
      <w:lvlText w:val="%1."/>
      <w:lvlJc w:val="left"/>
      <w:pPr>
        <w:tabs>
          <w:tab w:val="num" w:pos="720"/>
        </w:tabs>
        <w:ind w:left="720" w:hanging="360"/>
      </w:pPr>
      <w:rPr>
        <w:rFonts w:cs="Times New Roman" w:hint="default"/>
      </w:rPr>
    </w:lvl>
    <w:lvl w:ilvl="1" w:tplc="26B8A2DA">
      <w:numFmt w:val="none"/>
      <w:lvlText w:val=""/>
      <w:lvlJc w:val="left"/>
      <w:pPr>
        <w:tabs>
          <w:tab w:val="num" w:pos="360"/>
        </w:tabs>
      </w:pPr>
      <w:rPr>
        <w:rFonts w:cs="Times New Roman"/>
      </w:rPr>
    </w:lvl>
    <w:lvl w:ilvl="2" w:tplc="121038A4">
      <w:numFmt w:val="none"/>
      <w:lvlText w:val=""/>
      <w:lvlJc w:val="left"/>
      <w:pPr>
        <w:tabs>
          <w:tab w:val="num" w:pos="360"/>
        </w:tabs>
      </w:pPr>
      <w:rPr>
        <w:rFonts w:cs="Times New Roman"/>
      </w:rPr>
    </w:lvl>
    <w:lvl w:ilvl="3" w:tplc="67B02D52">
      <w:numFmt w:val="none"/>
      <w:lvlText w:val=""/>
      <w:lvlJc w:val="left"/>
      <w:pPr>
        <w:tabs>
          <w:tab w:val="num" w:pos="360"/>
        </w:tabs>
      </w:pPr>
      <w:rPr>
        <w:rFonts w:cs="Times New Roman"/>
      </w:rPr>
    </w:lvl>
    <w:lvl w:ilvl="4" w:tplc="F38E3D3E">
      <w:numFmt w:val="none"/>
      <w:lvlText w:val=""/>
      <w:lvlJc w:val="left"/>
      <w:pPr>
        <w:tabs>
          <w:tab w:val="num" w:pos="360"/>
        </w:tabs>
      </w:pPr>
      <w:rPr>
        <w:rFonts w:cs="Times New Roman"/>
      </w:rPr>
    </w:lvl>
    <w:lvl w:ilvl="5" w:tplc="05FAC6F0">
      <w:numFmt w:val="none"/>
      <w:lvlText w:val=""/>
      <w:lvlJc w:val="left"/>
      <w:pPr>
        <w:tabs>
          <w:tab w:val="num" w:pos="360"/>
        </w:tabs>
      </w:pPr>
      <w:rPr>
        <w:rFonts w:cs="Times New Roman"/>
      </w:rPr>
    </w:lvl>
    <w:lvl w:ilvl="6" w:tplc="9FFAB12E">
      <w:numFmt w:val="none"/>
      <w:lvlText w:val=""/>
      <w:lvlJc w:val="left"/>
      <w:pPr>
        <w:tabs>
          <w:tab w:val="num" w:pos="360"/>
        </w:tabs>
      </w:pPr>
      <w:rPr>
        <w:rFonts w:cs="Times New Roman"/>
      </w:rPr>
    </w:lvl>
    <w:lvl w:ilvl="7" w:tplc="D5862AD0">
      <w:numFmt w:val="none"/>
      <w:lvlText w:val=""/>
      <w:lvlJc w:val="left"/>
      <w:pPr>
        <w:tabs>
          <w:tab w:val="num" w:pos="360"/>
        </w:tabs>
      </w:pPr>
      <w:rPr>
        <w:rFonts w:cs="Times New Roman"/>
      </w:rPr>
    </w:lvl>
    <w:lvl w:ilvl="8" w:tplc="EEAE44EE">
      <w:numFmt w:val="none"/>
      <w:lvlText w:val=""/>
      <w:lvlJc w:val="left"/>
      <w:pPr>
        <w:tabs>
          <w:tab w:val="num" w:pos="360"/>
        </w:tabs>
      </w:pPr>
      <w:rPr>
        <w:rFonts w:cs="Times New Roman"/>
      </w:rPr>
    </w:lvl>
  </w:abstractNum>
  <w:abstractNum w:abstractNumId="32">
    <w:nsid w:val="6E2B3756"/>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33">
    <w:nsid w:val="73F1447F"/>
    <w:multiLevelType w:val="hybridMultilevel"/>
    <w:tmpl w:val="1E9EFFDE"/>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4">
    <w:nsid w:val="7430225C"/>
    <w:multiLevelType w:val="hybridMultilevel"/>
    <w:tmpl w:val="0DDE58C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89715C3"/>
    <w:multiLevelType w:val="hybridMultilevel"/>
    <w:tmpl w:val="B5921CEA"/>
    <w:lvl w:ilvl="0" w:tplc="8102B156">
      <w:numFmt w:val="bullet"/>
      <w:lvlText w:val="-"/>
      <w:lvlJc w:val="left"/>
      <w:pPr>
        <w:tabs>
          <w:tab w:val="num" w:pos="1185"/>
        </w:tabs>
        <w:ind w:left="1185" w:hanging="360"/>
      </w:pPr>
      <w:rPr>
        <w:rFonts w:ascii="Times New Roman" w:eastAsia="Times New Roman" w:hAnsi="Times New Roman" w:hint="default"/>
      </w:rPr>
    </w:lvl>
    <w:lvl w:ilvl="1" w:tplc="04190003">
      <w:start w:val="1"/>
      <w:numFmt w:val="bullet"/>
      <w:lvlText w:val="o"/>
      <w:lvlJc w:val="left"/>
      <w:pPr>
        <w:tabs>
          <w:tab w:val="num" w:pos="1905"/>
        </w:tabs>
        <w:ind w:left="1905" w:hanging="360"/>
      </w:pPr>
      <w:rPr>
        <w:rFonts w:ascii="Courier New" w:hAnsi="Courier New" w:hint="default"/>
      </w:rPr>
    </w:lvl>
    <w:lvl w:ilvl="2" w:tplc="04190005">
      <w:start w:val="1"/>
      <w:numFmt w:val="bullet"/>
      <w:lvlText w:val=""/>
      <w:lvlJc w:val="left"/>
      <w:pPr>
        <w:tabs>
          <w:tab w:val="num" w:pos="2625"/>
        </w:tabs>
        <w:ind w:left="2625" w:hanging="360"/>
      </w:pPr>
      <w:rPr>
        <w:rFonts w:ascii="Wingdings" w:hAnsi="Wingdings" w:hint="default"/>
      </w:rPr>
    </w:lvl>
    <w:lvl w:ilvl="3" w:tplc="04190001">
      <w:start w:val="1"/>
      <w:numFmt w:val="bullet"/>
      <w:lvlText w:val=""/>
      <w:lvlJc w:val="left"/>
      <w:pPr>
        <w:tabs>
          <w:tab w:val="num" w:pos="3345"/>
        </w:tabs>
        <w:ind w:left="3345" w:hanging="360"/>
      </w:pPr>
      <w:rPr>
        <w:rFonts w:ascii="Symbol" w:hAnsi="Symbol" w:hint="default"/>
      </w:rPr>
    </w:lvl>
    <w:lvl w:ilvl="4" w:tplc="04190003">
      <w:start w:val="1"/>
      <w:numFmt w:val="bullet"/>
      <w:lvlText w:val="o"/>
      <w:lvlJc w:val="left"/>
      <w:pPr>
        <w:tabs>
          <w:tab w:val="num" w:pos="4065"/>
        </w:tabs>
        <w:ind w:left="4065" w:hanging="360"/>
      </w:pPr>
      <w:rPr>
        <w:rFonts w:ascii="Courier New" w:hAnsi="Courier New" w:hint="default"/>
      </w:rPr>
    </w:lvl>
    <w:lvl w:ilvl="5" w:tplc="04190005">
      <w:start w:val="1"/>
      <w:numFmt w:val="bullet"/>
      <w:lvlText w:val=""/>
      <w:lvlJc w:val="left"/>
      <w:pPr>
        <w:tabs>
          <w:tab w:val="num" w:pos="4785"/>
        </w:tabs>
        <w:ind w:left="4785" w:hanging="360"/>
      </w:pPr>
      <w:rPr>
        <w:rFonts w:ascii="Wingdings" w:hAnsi="Wingdings" w:hint="default"/>
      </w:rPr>
    </w:lvl>
    <w:lvl w:ilvl="6" w:tplc="04190001">
      <w:start w:val="1"/>
      <w:numFmt w:val="bullet"/>
      <w:lvlText w:val=""/>
      <w:lvlJc w:val="left"/>
      <w:pPr>
        <w:tabs>
          <w:tab w:val="num" w:pos="5505"/>
        </w:tabs>
        <w:ind w:left="5505" w:hanging="360"/>
      </w:pPr>
      <w:rPr>
        <w:rFonts w:ascii="Symbol" w:hAnsi="Symbol" w:hint="default"/>
      </w:rPr>
    </w:lvl>
    <w:lvl w:ilvl="7" w:tplc="04190003">
      <w:start w:val="1"/>
      <w:numFmt w:val="bullet"/>
      <w:lvlText w:val="o"/>
      <w:lvlJc w:val="left"/>
      <w:pPr>
        <w:tabs>
          <w:tab w:val="num" w:pos="6225"/>
        </w:tabs>
        <w:ind w:left="6225" w:hanging="360"/>
      </w:pPr>
      <w:rPr>
        <w:rFonts w:ascii="Courier New" w:hAnsi="Courier New" w:hint="default"/>
      </w:rPr>
    </w:lvl>
    <w:lvl w:ilvl="8" w:tplc="04190005">
      <w:start w:val="1"/>
      <w:numFmt w:val="bullet"/>
      <w:lvlText w:val=""/>
      <w:lvlJc w:val="left"/>
      <w:pPr>
        <w:tabs>
          <w:tab w:val="num" w:pos="6945"/>
        </w:tabs>
        <w:ind w:left="6945" w:hanging="360"/>
      </w:pPr>
      <w:rPr>
        <w:rFonts w:ascii="Wingdings" w:hAnsi="Wingdings" w:hint="default"/>
      </w:rPr>
    </w:lvl>
  </w:abstractNum>
  <w:abstractNum w:abstractNumId="36">
    <w:nsid w:val="797267DA"/>
    <w:multiLevelType w:val="hybridMultilevel"/>
    <w:tmpl w:val="A4249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1F4255"/>
    <w:multiLevelType w:val="hybridMultilevel"/>
    <w:tmpl w:val="E682A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5C677E"/>
    <w:multiLevelType w:val="multilevel"/>
    <w:tmpl w:val="12EEBA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EED14C9"/>
    <w:multiLevelType w:val="hybridMultilevel"/>
    <w:tmpl w:val="24367A94"/>
    <w:lvl w:ilvl="0" w:tplc="D3A2A12E">
      <w:start w:val="1"/>
      <w:numFmt w:val="bullet"/>
      <w:lvlText w:val=""/>
      <w:lvlJc w:val="left"/>
      <w:pPr>
        <w:tabs>
          <w:tab w:val="num" w:pos="845"/>
        </w:tabs>
        <w:ind w:left="485"/>
      </w:pPr>
      <w:rPr>
        <w:rFonts w:ascii="Wingdings" w:hAnsi="Wingdings"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num w:numId="1">
    <w:abstractNumId w:val="4"/>
  </w:num>
  <w:num w:numId="2">
    <w:abstractNumId w:val="28"/>
  </w:num>
  <w:num w:numId="3">
    <w:abstractNumId w:val="32"/>
  </w:num>
  <w:num w:numId="4">
    <w:abstractNumId w:val="7"/>
  </w:num>
  <w:num w:numId="5">
    <w:abstractNumId w:val="39"/>
  </w:num>
  <w:num w:numId="6">
    <w:abstractNumId w:val="38"/>
  </w:num>
  <w:num w:numId="7">
    <w:abstractNumId w:val="27"/>
  </w:num>
  <w:num w:numId="8">
    <w:abstractNumId w:val="9"/>
  </w:num>
  <w:num w:numId="9">
    <w:abstractNumId w:val="3"/>
  </w:num>
  <w:num w:numId="10">
    <w:abstractNumId w:val="31"/>
  </w:num>
  <w:num w:numId="11">
    <w:abstractNumId w:val="36"/>
  </w:num>
  <w:num w:numId="12">
    <w:abstractNumId w:val="14"/>
  </w:num>
  <w:num w:numId="13">
    <w:abstractNumId w:val="37"/>
  </w:num>
  <w:num w:numId="14">
    <w:abstractNumId w:val="5"/>
  </w:num>
  <w:num w:numId="15">
    <w:abstractNumId w:val="1"/>
  </w:num>
  <w:num w:numId="16">
    <w:abstractNumId w:val="15"/>
  </w:num>
  <w:num w:numId="17">
    <w:abstractNumId w:val="24"/>
  </w:num>
  <w:num w:numId="18">
    <w:abstractNumId w:val="11"/>
  </w:num>
  <w:num w:numId="19">
    <w:abstractNumId w:val="26"/>
  </w:num>
  <w:num w:numId="20">
    <w:abstractNumId w:val="33"/>
  </w:num>
  <w:num w:numId="21">
    <w:abstractNumId w:val="0"/>
  </w:num>
  <w:num w:numId="22">
    <w:abstractNumId w:val="8"/>
  </w:num>
  <w:num w:numId="23">
    <w:abstractNumId w:val="29"/>
  </w:num>
  <w:num w:numId="24">
    <w:abstractNumId w:val="34"/>
  </w:num>
  <w:num w:numId="25">
    <w:abstractNumId w:val="35"/>
  </w:num>
  <w:num w:numId="26">
    <w:abstractNumId w:val="17"/>
  </w:num>
  <w:num w:numId="27">
    <w:abstractNumId w:val="30"/>
  </w:num>
  <w:num w:numId="28">
    <w:abstractNumId w:val="21"/>
  </w:num>
  <w:num w:numId="29">
    <w:abstractNumId w:val="25"/>
  </w:num>
  <w:num w:numId="30">
    <w:abstractNumId w:val="10"/>
  </w:num>
  <w:num w:numId="31">
    <w:abstractNumId w:val="19"/>
  </w:num>
  <w:num w:numId="32">
    <w:abstractNumId w:val="16"/>
  </w:num>
  <w:num w:numId="33">
    <w:abstractNumId w:val="20"/>
  </w:num>
  <w:num w:numId="34">
    <w:abstractNumId w:val="6"/>
  </w:num>
  <w:num w:numId="35">
    <w:abstractNumId w:val="13"/>
  </w:num>
  <w:num w:numId="36">
    <w:abstractNumId w:val="12"/>
  </w:num>
  <w:num w:numId="37">
    <w:abstractNumId w:val="2"/>
  </w:num>
  <w:num w:numId="38">
    <w:abstractNumId w:val="22"/>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19A"/>
    <w:rsid w:val="00005216"/>
    <w:rsid w:val="00006F5F"/>
    <w:rsid w:val="00012834"/>
    <w:rsid w:val="00014A58"/>
    <w:rsid w:val="000168FD"/>
    <w:rsid w:val="000432CF"/>
    <w:rsid w:val="000553D8"/>
    <w:rsid w:val="00063BA8"/>
    <w:rsid w:val="0006541E"/>
    <w:rsid w:val="00066A5F"/>
    <w:rsid w:val="000779E4"/>
    <w:rsid w:val="00090298"/>
    <w:rsid w:val="00090542"/>
    <w:rsid w:val="000919BD"/>
    <w:rsid w:val="00092865"/>
    <w:rsid w:val="00093EEC"/>
    <w:rsid w:val="00095F1A"/>
    <w:rsid w:val="000A185D"/>
    <w:rsid w:val="000A2297"/>
    <w:rsid w:val="000A7DAA"/>
    <w:rsid w:val="000B2A52"/>
    <w:rsid w:val="000B310F"/>
    <w:rsid w:val="000B44DE"/>
    <w:rsid w:val="000B6BDE"/>
    <w:rsid w:val="000B6E9F"/>
    <w:rsid w:val="000D5365"/>
    <w:rsid w:val="000D6E3F"/>
    <w:rsid w:val="000E07BC"/>
    <w:rsid w:val="000F12EB"/>
    <w:rsid w:val="00107C41"/>
    <w:rsid w:val="001174FA"/>
    <w:rsid w:val="00120624"/>
    <w:rsid w:val="00122BA7"/>
    <w:rsid w:val="00125926"/>
    <w:rsid w:val="00126AD2"/>
    <w:rsid w:val="00127CF2"/>
    <w:rsid w:val="00132B6C"/>
    <w:rsid w:val="00135E57"/>
    <w:rsid w:val="001467B9"/>
    <w:rsid w:val="00153B38"/>
    <w:rsid w:val="00155E74"/>
    <w:rsid w:val="00160915"/>
    <w:rsid w:val="001860FE"/>
    <w:rsid w:val="001A5D26"/>
    <w:rsid w:val="001B1338"/>
    <w:rsid w:val="001B1750"/>
    <w:rsid w:val="001B1AE7"/>
    <w:rsid w:val="001B3B92"/>
    <w:rsid w:val="001B4AD1"/>
    <w:rsid w:val="001B52D2"/>
    <w:rsid w:val="001C0D2E"/>
    <w:rsid w:val="001C3B79"/>
    <w:rsid w:val="001C51BD"/>
    <w:rsid w:val="001D4207"/>
    <w:rsid w:val="001F4A27"/>
    <w:rsid w:val="0020123A"/>
    <w:rsid w:val="002033AF"/>
    <w:rsid w:val="00205787"/>
    <w:rsid w:val="002079A8"/>
    <w:rsid w:val="002146A7"/>
    <w:rsid w:val="00220412"/>
    <w:rsid w:val="0022386C"/>
    <w:rsid w:val="00242065"/>
    <w:rsid w:val="002426E7"/>
    <w:rsid w:val="00243B62"/>
    <w:rsid w:val="00244027"/>
    <w:rsid w:val="00245A8D"/>
    <w:rsid w:val="00245DD3"/>
    <w:rsid w:val="00253516"/>
    <w:rsid w:val="00254827"/>
    <w:rsid w:val="00262D86"/>
    <w:rsid w:val="0028751E"/>
    <w:rsid w:val="002909A1"/>
    <w:rsid w:val="0029373F"/>
    <w:rsid w:val="0029791A"/>
    <w:rsid w:val="002A106B"/>
    <w:rsid w:val="002A2DE3"/>
    <w:rsid w:val="002C3271"/>
    <w:rsid w:val="002C5E9D"/>
    <w:rsid w:val="002D4506"/>
    <w:rsid w:val="002D5947"/>
    <w:rsid w:val="002F0CFD"/>
    <w:rsid w:val="002F4083"/>
    <w:rsid w:val="003028AC"/>
    <w:rsid w:val="00310999"/>
    <w:rsid w:val="00311FE7"/>
    <w:rsid w:val="0031311B"/>
    <w:rsid w:val="00320F7C"/>
    <w:rsid w:val="00327376"/>
    <w:rsid w:val="0032795D"/>
    <w:rsid w:val="00342277"/>
    <w:rsid w:val="003574D4"/>
    <w:rsid w:val="003600E6"/>
    <w:rsid w:val="00363415"/>
    <w:rsid w:val="00366E5F"/>
    <w:rsid w:val="00367B7E"/>
    <w:rsid w:val="00374E24"/>
    <w:rsid w:val="00376119"/>
    <w:rsid w:val="00385AB3"/>
    <w:rsid w:val="003908D4"/>
    <w:rsid w:val="003B5D8D"/>
    <w:rsid w:val="003C4F4D"/>
    <w:rsid w:val="003C7EB4"/>
    <w:rsid w:val="003D4BE1"/>
    <w:rsid w:val="003D5FD1"/>
    <w:rsid w:val="003D6332"/>
    <w:rsid w:val="003E08AA"/>
    <w:rsid w:val="003E5C93"/>
    <w:rsid w:val="003F6A90"/>
    <w:rsid w:val="0040330D"/>
    <w:rsid w:val="00405570"/>
    <w:rsid w:val="00411679"/>
    <w:rsid w:val="004128DA"/>
    <w:rsid w:val="00417F04"/>
    <w:rsid w:val="00422967"/>
    <w:rsid w:val="00425AC5"/>
    <w:rsid w:val="004260EF"/>
    <w:rsid w:val="00431D20"/>
    <w:rsid w:val="00453B71"/>
    <w:rsid w:val="0046700D"/>
    <w:rsid w:val="00474A9F"/>
    <w:rsid w:val="0047619E"/>
    <w:rsid w:val="00491293"/>
    <w:rsid w:val="00492A63"/>
    <w:rsid w:val="00493373"/>
    <w:rsid w:val="004A3650"/>
    <w:rsid w:val="004A4060"/>
    <w:rsid w:val="004A4922"/>
    <w:rsid w:val="004C01AC"/>
    <w:rsid w:val="004C0BD8"/>
    <w:rsid w:val="004C1FB0"/>
    <w:rsid w:val="004D23CE"/>
    <w:rsid w:val="004D3ABC"/>
    <w:rsid w:val="004D65C5"/>
    <w:rsid w:val="004F707F"/>
    <w:rsid w:val="00501165"/>
    <w:rsid w:val="00503EFF"/>
    <w:rsid w:val="005055AA"/>
    <w:rsid w:val="00511540"/>
    <w:rsid w:val="0051475F"/>
    <w:rsid w:val="00514C66"/>
    <w:rsid w:val="00516CE4"/>
    <w:rsid w:val="00526A46"/>
    <w:rsid w:val="00530B8B"/>
    <w:rsid w:val="00544A3B"/>
    <w:rsid w:val="00561886"/>
    <w:rsid w:val="0057219A"/>
    <w:rsid w:val="005837AA"/>
    <w:rsid w:val="00583A1D"/>
    <w:rsid w:val="00586155"/>
    <w:rsid w:val="00592317"/>
    <w:rsid w:val="005A7135"/>
    <w:rsid w:val="005B4746"/>
    <w:rsid w:val="005B54D2"/>
    <w:rsid w:val="005C7783"/>
    <w:rsid w:val="005C7974"/>
    <w:rsid w:val="005D124A"/>
    <w:rsid w:val="005D1CAE"/>
    <w:rsid w:val="005F25F1"/>
    <w:rsid w:val="005F3227"/>
    <w:rsid w:val="006031BB"/>
    <w:rsid w:val="0061127F"/>
    <w:rsid w:val="00614049"/>
    <w:rsid w:val="006175D8"/>
    <w:rsid w:val="00641412"/>
    <w:rsid w:val="00642875"/>
    <w:rsid w:val="00643E89"/>
    <w:rsid w:val="006632A3"/>
    <w:rsid w:val="006731B1"/>
    <w:rsid w:val="00676DE9"/>
    <w:rsid w:val="00682DA1"/>
    <w:rsid w:val="00691163"/>
    <w:rsid w:val="0069410F"/>
    <w:rsid w:val="00694DE4"/>
    <w:rsid w:val="006951C2"/>
    <w:rsid w:val="006A2011"/>
    <w:rsid w:val="006B0A83"/>
    <w:rsid w:val="006B6C04"/>
    <w:rsid w:val="006C3A26"/>
    <w:rsid w:val="006D7C1B"/>
    <w:rsid w:val="006E3836"/>
    <w:rsid w:val="007011EF"/>
    <w:rsid w:val="007028FE"/>
    <w:rsid w:val="00706774"/>
    <w:rsid w:val="007270FB"/>
    <w:rsid w:val="0074033E"/>
    <w:rsid w:val="007457EA"/>
    <w:rsid w:val="0074597E"/>
    <w:rsid w:val="007509D6"/>
    <w:rsid w:val="007568FB"/>
    <w:rsid w:val="00776EA7"/>
    <w:rsid w:val="007831A4"/>
    <w:rsid w:val="007857FA"/>
    <w:rsid w:val="007861E0"/>
    <w:rsid w:val="007A3B40"/>
    <w:rsid w:val="007A3F3F"/>
    <w:rsid w:val="007A4E77"/>
    <w:rsid w:val="007A525E"/>
    <w:rsid w:val="007B03FD"/>
    <w:rsid w:val="007B18EE"/>
    <w:rsid w:val="007B63F5"/>
    <w:rsid w:val="007C186B"/>
    <w:rsid w:val="007C4403"/>
    <w:rsid w:val="007D27BE"/>
    <w:rsid w:val="007D7D7A"/>
    <w:rsid w:val="007E0EE2"/>
    <w:rsid w:val="007E30F2"/>
    <w:rsid w:val="007E7F13"/>
    <w:rsid w:val="00803F80"/>
    <w:rsid w:val="008162A9"/>
    <w:rsid w:val="00816FEF"/>
    <w:rsid w:val="0083273A"/>
    <w:rsid w:val="00833827"/>
    <w:rsid w:val="00835324"/>
    <w:rsid w:val="0084490C"/>
    <w:rsid w:val="008468C5"/>
    <w:rsid w:val="00852FC4"/>
    <w:rsid w:val="00863319"/>
    <w:rsid w:val="00876714"/>
    <w:rsid w:val="00876BA4"/>
    <w:rsid w:val="008907FF"/>
    <w:rsid w:val="008A7207"/>
    <w:rsid w:val="008A7931"/>
    <w:rsid w:val="008B38D0"/>
    <w:rsid w:val="008B7477"/>
    <w:rsid w:val="008C47C2"/>
    <w:rsid w:val="008D0523"/>
    <w:rsid w:val="008F693D"/>
    <w:rsid w:val="008F71FB"/>
    <w:rsid w:val="00914904"/>
    <w:rsid w:val="00916577"/>
    <w:rsid w:val="00921AE5"/>
    <w:rsid w:val="00926D2F"/>
    <w:rsid w:val="00933893"/>
    <w:rsid w:val="009359E8"/>
    <w:rsid w:val="00952F8B"/>
    <w:rsid w:val="009531AB"/>
    <w:rsid w:val="009631FA"/>
    <w:rsid w:val="00966AA8"/>
    <w:rsid w:val="00970C3B"/>
    <w:rsid w:val="00977EBE"/>
    <w:rsid w:val="00984A4A"/>
    <w:rsid w:val="00985BCE"/>
    <w:rsid w:val="009902A2"/>
    <w:rsid w:val="0099378D"/>
    <w:rsid w:val="009A51D4"/>
    <w:rsid w:val="009B67AB"/>
    <w:rsid w:val="009C098C"/>
    <w:rsid w:val="009C2F31"/>
    <w:rsid w:val="009D7981"/>
    <w:rsid w:val="009E012D"/>
    <w:rsid w:val="009E1FD5"/>
    <w:rsid w:val="009F3790"/>
    <w:rsid w:val="009F6481"/>
    <w:rsid w:val="009F6EE4"/>
    <w:rsid w:val="00A026C4"/>
    <w:rsid w:val="00A046BD"/>
    <w:rsid w:val="00A04BD5"/>
    <w:rsid w:val="00A06E6A"/>
    <w:rsid w:val="00A10447"/>
    <w:rsid w:val="00A177A6"/>
    <w:rsid w:val="00A311B8"/>
    <w:rsid w:val="00A31A2B"/>
    <w:rsid w:val="00A327C6"/>
    <w:rsid w:val="00A35823"/>
    <w:rsid w:val="00A35A17"/>
    <w:rsid w:val="00A51DB5"/>
    <w:rsid w:val="00A54CAB"/>
    <w:rsid w:val="00A55909"/>
    <w:rsid w:val="00A72426"/>
    <w:rsid w:val="00A841B1"/>
    <w:rsid w:val="00AA3F7A"/>
    <w:rsid w:val="00AB0F75"/>
    <w:rsid w:val="00AC7F51"/>
    <w:rsid w:val="00AD4889"/>
    <w:rsid w:val="00AE298F"/>
    <w:rsid w:val="00AF05A9"/>
    <w:rsid w:val="00AF0D31"/>
    <w:rsid w:val="00AF2430"/>
    <w:rsid w:val="00AF5251"/>
    <w:rsid w:val="00B07A63"/>
    <w:rsid w:val="00B15908"/>
    <w:rsid w:val="00B22828"/>
    <w:rsid w:val="00B30B03"/>
    <w:rsid w:val="00B32000"/>
    <w:rsid w:val="00B323BE"/>
    <w:rsid w:val="00B475C6"/>
    <w:rsid w:val="00B676A1"/>
    <w:rsid w:val="00B83D37"/>
    <w:rsid w:val="00B9078A"/>
    <w:rsid w:val="00B9322E"/>
    <w:rsid w:val="00B97380"/>
    <w:rsid w:val="00BA5956"/>
    <w:rsid w:val="00BD3697"/>
    <w:rsid w:val="00BF04F3"/>
    <w:rsid w:val="00BF1EE8"/>
    <w:rsid w:val="00BF5F51"/>
    <w:rsid w:val="00BF6303"/>
    <w:rsid w:val="00C0241D"/>
    <w:rsid w:val="00C029BB"/>
    <w:rsid w:val="00C03D9A"/>
    <w:rsid w:val="00C10020"/>
    <w:rsid w:val="00C14BFE"/>
    <w:rsid w:val="00C47986"/>
    <w:rsid w:val="00C5524B"/>
    <w:rsid w:val="00C5669B"/>
    <w:rsid w:val="00C66291"/>
    <w:rsid w:val="00C75812"/>
    <w:rsid w:val="00C764D5"/>
    <w:rsid w:val="00C76A2A"/>
    <w:rsid w:val="00C83719"/>
    <w:rsid w:val="00C9282D"/>
    <w:rsid w:val="00CA5104"/>
    <w:rsid w:val="00CA6674"/>
    <w:rsid w:val="00CB0D1C"/>
    <w:rsid w:val="00CC3211"/>
    <w:rsid w:val="00CD7EAD"/>
    <w:rsid w:val="00CE1D1F"/>
    <w:rsid w:val="00CE43AB"/>
    <w:rsid w:val="00CF5BE4"/>
    <w:rsid w:val="00CF69C8"/>
    <w:rsid w:val="00D0038B"/>
    <w:rsid w:val="00D036CE"/>
    <w:rsid w:val="00D171CF"/>
    <w:rsid w:val="00D22B88"/>
    <w:rsid w:val="00D230C3"/>
    <w:rsid w:val="00D23BA0"/>
    <w:rsid w:val="00D24C2A"/>
    <w:rsid w:val="00D24E49"/>
    <w:rsid w:val="00D24E5A"/>
    <w:rsid w:val="00D4003C"/>
    <w:rsid w:val="00D42371"/>
    <w:rsid w:val="00D4316B"/>
    <w:rsid w:val="00D45D40"/>
    <w:rsid w:val="00D46E98"/>
    <w:rsid w:val="00D577D0"/>
    <w:rsid w:val="00D578D5"/>
    <w:rsid w:val="00D70057"/>
    <w:rsid w:val="00D700BA"/>
    <w:rsid w:val="00D840E9"/>
    <w:rsid w:val="00D862A5"/>
    <w:rsid w:val="00D9779E"/>
    <w:rsid w:val="00DA09B3"/>
    <w:rsid w:val="00DB04BA"/>
    <w:rsid w:val="00DC36F5"/>
    <w:rsid w:val="00DD4D57"/>
    <w:rsid w:val="00DE7DD2"/>
    <w:rsid w:val="00DF0A21"/>
    <w:rsid w:val="00DF4329"/>
    <w:rsid w:val="00E01204"/>
    <w:rsid w:val="00E20F61"/>
    <w:rsid w:val="00E313CC"/>
    <w:rsid w:val="00E4002A"/>
    <w:rsid w:val="00E52904"/>
    <w:rsid w:val="00E65CF9"/>
    <w:rsid w:val="00E66727"/>
    <w:rsid w:val="00E66A58"/>
    <w:rsid w:val="00E71062"/>
    <w:rsid w:val="00E74A75"/>
    <w:rsid w:val="00E75B52"/>
    <w:rsid w:val="00E76DFF"/>
    <w:rsid w:val="00E976DB"/>
    <w:rsid w:val="00EA1E1B"/>
    <w:rsid w:val="00EA7A21"/>
    <w:rsid w:val="00EB2588"/>
    <w:rsid w:val="00EC3653"/>
    <w:rsid w:val="00EC550A"/>
    <w:rsid w:val="00ED36CB"/>
    <w:rsid w:val="00EE20C8"/>
    <w:rsid w:val="00EE6E24"/>
    <w:rsid w:val="00EF4BC4"/>
    <w:rsid w:val="00EF7066"/>
    <w:rsid w:val="00F029FF"/>
    <w:rsid w:val="00F05A8F"/>
    <w:rsid w:val="00F13C19"/>
    <w:rsid w:val="00F14C04"/>
    <w:rsid w:val="00F14F7C"/>
    <w:rsid w:val="00F15264"/>
    <w:rsid w:val="00F1612A"/>
    <w:rsid w:val="00F23E0A"/>
    <w:rsid w:val="00F262A1"/>
    <w:rsid w:val="00F27DA9"/>
    <w:rsid w:val="00F33307"/>
    <w:rsid w:val="00F46CFE"/>
    <w:rsid w:val="00F50474"/>
    <w:rsid w:val="00F610E6"/>
    <w:rsid w:val="00F67C27"/>
    <w:rsid w:val="00F71566"/>
    <w:rsid w:val="00F81CCE"/>
    <w:rsid w:val="00F83AFA"/>
    <w:rsid w:val="00F84D0D"/>
    <w:rsid w:val="00F852CD"/>
    <w:rsid w:val="00F9110D"/>
    <w:rsid w:val="00F917E1"/>
    <w:rsid w:val="00F9677E"/>
    <w:rsid w:val="00F97E75"/>
    <w:rsid w:val="00FA3B62"/>
    <w:rsid w:val="00FB309A"/>
    <w:rsid w:val="00FC2E0E"/>
    <w:rsid w:val="00FD09EF"/>
    <w:rsid w:val="00FD17A8"/>
    <w:rsid w:val="00FD3ADA"/>
    <w:rsid w:val="00FD495C"/>
    <w:rsid w:val="00FE6977"/>
    <w:rsid w:val="00FF2784"/>
    <w:rsid w:val="00FF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E541BD-C213-49A9-86DF-5831DE7D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227"/>
  </w:style>
  <w:style w:type="paragraph" w:styleId="1">
    <w:name w:val="heading 1"/>
    <w:basedOn w:val="a"/>
    <w:next w:val="a"/>
    <w:link w:val="10"/>
    <w:uiPriority w:val="99"/>
    <w:qFormat/>
    <w:pPr>
      <w:keepNext/>
      <w:spacing w:line="480" w:lineRule="auto"/>
      <w:ind w:right="-1"/>
      <w:jc w:val="center"/>
      <w:outlineLvl w:val="0"/>
    </w:pPr>
    <w:rPr>
      <w:b/>
      <w:bCs/>
      <w:caps/>
      <w:sz w:val="26"/>
      <w:szCs w:val="26"/>
    </w:rPr>
  </w:style>
  <w:style w:type="paragraph" w:styleId="2">
    <w:name w:val="heading 2"/>
    <w:basedOn w:val="a"/>
    <w:next w:val="a"/>
    <w:link w:val="20"/>
    <w:uiPriority w:val="99"/>
    <w:qFormat/>
    <w:pPr>
      <w:keepNext/>
      <w:spacing w:line="360" w:lineRule="auto"/>
      <w:ind w:firstLine="851"/>
      <w:jc w:val="center"/>
      <w:outlineLvl w:val="1"/>
    </w:pPr>
    <w:rPr>
      <w:b/>
      <w:bCs/>
      <w:sz w:val="28"/>
      <w:szCs w:val="28"/>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6">
    <w:name w:val="heading 6"/>
    <w:basedOn w:val="a"/>
    <w:next w:val="a"/>
    <w:link w:val="60"/>
    <w:uiPriority w:val="99"/>
    <w:qFormat/>
    <w:pPr>
      <w:keepNext/>
      <w:spacing w:line="360" w:lineRule="auto"/>
      <w:ind w:right="-1"/>
      <w:jc w:val="center"/>
      <w:outlineLvl w:val="5"/>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w:basedOn w:val="a"/>
    <w:link w:val="a4"/>
    <w:uiPriority w:val="99"/>
    <w:pPr>
      <w:spacing w:line="480" w:lineRule="auto"/>
      <w:jc w:val="both"/>
    </w:pPr>
    <w:rPr>
      <w:rFonts w:ascii="Courier New" w:hAnsi="Courier New" w:cs="Courier New"/>
      <w:sz w:val="26"/>
      <w:szCs w:val="26"/>
    </w:rPr>
  </w:style>
  <w:style w:type="character" w:customStyle="1" w:styleId="a4">
    <w:name w:val="Основной текст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21">
    <w:name w:val="Body Text Indent 2"/>
    <w:basedOn w:val="a"/>
    <w:link w:val="22"/>
    <w:uiPriority w:val="99"/>
    <w:pPr>
      <w:spacing w:line="480" w:lineRule="auto"/>
      <w:ind w:firstLine="851"/>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3"/>
    <w:basedOn w:val="a"/>
    <w:link w:val="30"/>
    <w:uiPriority w:val="99"/>
    <w:pPr>
      <w:spacing w:line="360" w:lineRule="auto"/>
      <w:jc w:val="center"/>
    </w:pPr>
    <w:rPr>
      <w:b/>
      <w:bCs/>
      <w:sz w:val="28"/>
      <w:szCs w:val="28"/>
    </w:rPr>
  </w:style>
  <w:style w:type="character" w:customStyle="1" w:styleId="30">
    <w:name w:val="Основной текст 3 Знак"/>
    <w:link w:val="3"/>
    <w:uiPriority w:val="99"/>
    <w:semiHidden/>
    <w:locked/>
    <w:rPr>
      <w:rFonts w:cs="Times New Roman"/>
      <w:sz w:val="16"/>
      <w:szCs w:val="16"/>
    </w:rPr>
  </w:style>
  <w:style w:type="paragraph" w:customStyle="1" w:styleId="a6">
    <w:name w:val="Îáû÷íûé"/>
    <w:uiPriority w:val="99"/>
    <w:rPr>
      <w:rFonts w:ascii="Times New Roman CYR" w:hAnsi="Times New Roman CYR" w:cs="Times New Roman CYR"/>
      <w:sz w:val="24"/>
      <w:szCs w:val="24"/>
    </w:rPr>
  </w:style>
  <w:style w:type="paragraph" w:styleId="a7">
    <w:name w:val="footnote text"/>
    <w:basedOn w:val="a"/>
    <w:link w:val="a8"/>
    <w:uiPriority w:val="99"/>
    <w:semiHidden/>
  </w:style>
  <w:style w:type="character" w:customStyle="1" w:styleId="a8">
    <w:name w:val="Текст сноски Знак"/>
    <w:link w:val="a7"/>
    <w:uiPriority w:val="99"/>
    <w:semiHidden/>
    <w:locked/>
    <w:rPr>
      <w:rFonts w:cs="Times New Roman"/>
      <w:sz w:val="20"/>
      <w:szCs w:val="20"/>
    </w:rPr>
  </w:style>
  <w:style w:type="character" w:styleId="a9">
    <w:name w:val="page number"/>
    <w:uiPriority w:val="99"/>
    <w:rPr>
      <w:rFonts w:cs="Times New Roma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locked/>
    <w:rPr>
      <w:rFonts w:cs="Times New Roman"/>
      <w:sz w:val="20"/>
      <w:szCs w:val="20"/>
    </w:rPr>
  </w:style>
  <w:style w:type="paragraph" w:styleId="ac">
    <w:name w:val="footer"/>
    <w:basedOn w:val="a"/>
    <w:link w:val="ad"/>
    <w:uiPriority w:val="99"/>
    <w:rsid w:val="00D036CE"/>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paragraph" w:customStyle="1" w:styleId="23">
    <w:name w:val="заголовок 2"/>
    <w:basedOn w:val="a"/>
    <w:next w:val="a"/>
    <w:uiPriority w:val="99"/>
    <w:rsid w:val="00530B8B"/>
    <w:pPr>
      <w:keepNext/>
      <w:autoSpaceDE w:val="0"/>
      <w:autoSpaceDN w:val="0"/>
      <w:jc w:val="center"/>
    </w:pPr>
    <w:rPr>
      <w:b/>
      <w:bCs/>
      <w:sz w:val="28"/>
      <w:szCs w:val="28"/>
    </w:rPr>
  </w:style>
  <w:style w:type="paragraph" w:styleId="24">
    <w:name w:val="Body Text 2"/>
    <w:basedOn w:val="a"/>
    <w:link w:val="25"/>
    <w:uiPriority w:val="99"/>
    <w:rsid w:val="00A04BD5"/>
    <w:pPr>
      <w:spacing w:after="120" w:line="480" w:lineRule="auto"/>
    </w:pPr>
  </w:style>
  <w:style w:type="character" w:customStyle="1" w:styleId="25">
    <w:name w:val="Основной текст 2 Знак"/>
    <w:link w:val="24"/>
    <w:uiPriority w:val="99"/>
    <w:semiHidden/>
    <w:locked/>
    <w:rPr>
      <w:rFonts w:cs="Times New Roman"/>
      <w:sz w:val="20"/>
      <w:szCs w:val="20"/>
    </w:rPr>
  </w:style>
  <w:style w:type="paragraph" w:styleId="ae">
    <w:name w:val="Normal (Web)"/>
    <w:basedOn w:val="a"/>
    <w:uiPriority w:val="99"/>
    <w:rsid w:val="00A04BD5"/>
    <w:rPr>
      <w:sz w:val="24"/>
      <w:szCs w:val="24"/>
    </w:rPr>
  </w:style>
  <w:style w:type="character" w:styleId="af">
    <w:name w:val="Emphasis"/>
    <w:uiPriority w:val="99"/>
    <w:qFormat/>
    <w:rsid w:val="00A04BD5"/>
    <w:rPr>
      <w:rFonts w:cs="Times New Roman"/>
      <w:i/>
      <w:iCs/>
    </w:rPr>
  </w:style>
  <w:style w:type="paragraph" w:styleId="31">
    <w:name w:val="Body Text Indent 3"/>
    <w:basedOn w:val="a"/>
    <w:link w:val="32"/>
    <w:uiPriority w:val="99"/>
    <w:rsid w:val="00B07A63"/>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PlusNormal">
    <w:name w:val="ConsPlusNormal"/>
    <w:uiPriority w:val="99"/>
    <w:rsid w:val="00492A63"/>
    <w:pPr>
      <w:widowControl w:val="0"/>
      <w:autoSpaceDE w:val="0"/>
      <w:autoSpaceDN w:val="0"/>
      <w:adjustRightInd w:val="0"/>
      <w:ind w:firstLine="720"/>
    </w:pPr>
    <w:rPr>
      <w:rFonts w:ascii="Arial" w:hAnsi="Arial" w:cs="Arial"/>
    </w:rPr>
  </w:style>
  <w:style w:type="paragraph" w:customStyle="1" w:styleId="published">
    <w:name w:val="published"/>
    <w:basedOn w:val="a"/>
    <w:uiPriority w:val="99"/>
    <w:rsid w:val="00FE6977"/>
    <w:pPr>
      <w:spacing w:before="100" w:beforeAutospacing="1" w:after="100" w:afterAutospacing="1"/>
      <w:jc w:val="both"/>
    </w:pPr>
    <w:rPr>
      <w:rFonts w:ascii="Arial" w:hAnsi="Arial" w:cs="Arial"/>
      <w:b/>
      <w:bCs/>
      <w:i/>
      <w:iCs/>
      <w:color w:val="000000"/>
      <w:sz w:val="24"/>
      <w:szCs w:val="24"/>
    </w:rPr>
  </w:style>
  <w:style w:type="paragraph" w:customStyle="1" w:styleId="serv">
    <w:name w:val="serv"/>
    <w:basedOn w:val="a"/>
    <w:uiPriority w:val="99"/>
    <w:rsid w:val="00FE6977"/>
    <w:pPr>
      <w:spacing w:before="100" w:beforeAutospacing="1" w:after="100"/>
      <w:jc w:val="center"/>
    </w:pPr>
    <w:rPr>
      <w:rFonts w:ascii="Verdana" w:hAnsi="Verdana" w:cs="Verdana"/>
      <w:color w:val="000000"/>
      <w:sz w:val="22"/>
      <w:szCs w:val="22"/>
    </w:rPr>
  </w:style>
  <w:style w:type="character" w:styleId="af0">
    <w:name w:val="Strong"/>
    <w:uiPriority w:val="99"/>
    <w:qFormat/>
    <w:rsid w:val="00FE6977"/>
    <w:rPr>
      <w:rFonts w:cs="Times New Roman"/>
      <w:b/>
      <w:bCs/>
    </w:rPr>
  </w:style>
  <w:style w:type="paragraph" w:customStyle="1" w:styleId="center">
    <w:name w:val="center"/>
    <w:basedOn w:val="a"/>
    <w:uiPriority w:val="99"/>
    <w:rsid w:val="00FE6977"/>
    <w:pPr>
      <w:spacing w:before="100" w:beforeAutospacing="1" w:after="100" w:afterAutospacing="1"/>
      <w:ind w:firstLine="480"/>
      <w:jc w:val="both"/>
    </w:pPr>
    <w:rPr>
      <w:rFonts w:ascii="Verdana" w:hAnsi="Verdana" w:cs="Verdana"/>
      <w:color w:val="000000"/>
      <w:sz w:val="26"/>
      <w:szCs w:val="26"/>
    </w:rPr>
  </w:style>
  <w:style w:type="table" w:styleId="af1">
    <w:name w:val="Table Grid"/>
    <w:basedOn w:val="a1"/>
    <w:uiPriority w:val="99"/>
    <w:rsid w:val="00FE6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F9677E"/>
    <w:rPr>
      <w:rFonts w:cs="Times New Roman"/>
      <w:color w:val="0000FF"/>
      <w:u w:val="single"/>
    </w:rPr>
  </w:style>
  <w:style w:type="paragraph" w:styleId="af3">
    <w:name w:val="Body Text Indent"/>
    <w:basedOn w:val="a"/>
    <w:link w:val="af4"/>
    <w:uiPriority w:val="99"/>
    <w:rsid w:val="0074597E"/>
    <w:pPr>
      <w:spacing w:after="120"/>
      <w:ind w:left="283"/>
    </w:pPr>
  </w:style>
  <w:style w:type="character" w:customStyle="1" w:styleId="af4">
    <w:name w:val="Основной текст с отступом Знак"/>
    <w:link w:val="af3"/>
    <w:uiPriority w:val="99"/>
    <w:semiHidden/>
    <w:locked/>
    <w:rPr>
      <w:rFonts w:cs="Times New Roman"/>
      <w:sz w:val="20"/>
      <w:szCs w:val="20"/>
    </w:rPr>
  </w:style>
  <w:style w:type="paragraph" w:styleId="af5">
    <w:name w:val="Plain Text"/>
    <w:basedOn w:val="a"/>
    <w:link w:val="af6"/>
    <w:uiPriority w:val="99"/>
    <w:rsid w:val="0074597E"/>
    <w:rPr>
      <w:rFonts w:ascii="Courier New" w:hAnsi="Courier New"/>
    </w:rPr>
  </w:style>
  <w:style w:type="character" w:customStyle="1" w:styleId="af6">
    <w:name w:val="Текст Знак"/>
    <w:link w:val="af5"/>
    <w:uiPriority w:val="99"/>
    <w:semiHidden/>
    <w:locked/>
    <w:rPr>
      <w:rFonts w:ascii="Courier New" w:hAnsi="Courier New" w:cs="Courier New"/>
      <w:sz w:val="20"/>
      <w:szCs w:val="20"/>
    </w:rPr>
  </w:style>
  <w:style w:type="paragraph" w:customStyle="1" w:styleId="ConsNormal">
    <w:name w:val="ConsNormal"/>
    <w:uiPriority w:val="99"/>
    <w:rsid w:val="00374E24"/>
    <w:pPr>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27076">
      <w:marLeft w:val="0"/>
      <w:marRight w:val="0"/>
      <w:marTop w:val="0"/>
      <w:marBottom w:val="0"/>
      <w:divBdr>
        <w:top w:val="none" w:sz="0" w:space="0" w:color="auto"/>
        <w:left w:val="none" w:sz="0" w:space="0" w:color="auto"/>
        <w:bottom w:val="none" w:sz="0" w:space="0" w:color="auto"/>
        <w:right w:val="none" w:sz="0" w:space="0" w:color="auto"/>
      </w:divBdr>
    </w:div>
    <w:div w:id="493227077">
      <w:marLeft w:val="0"/>
      <w:marRight w:val="0"/>
      <w:marTop w:val="0"/>
      <w:marBottom w:val="0"/>
      <w:divBdr>
        <w:top w:val="none" w:sz="0" w:space="0" w:color="auto"/>
        <w:left w:val="none" w:sz="0" w:space="0" w:color="auto"/>
        <w:bottom w:val="none" w:sz="0" w:space="0" w:color="auto"/>
        <w:right w:val="none" w:sz="0" w:space="0" w:color="auto"/>
      </w:divBdr>
    </w:div>
    <w:div w:id="493227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9929</Words>
  <Characters>56598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СОВРЕМЕННАЯ </vt:lpstr>
    </vt:vector>
  </TitlesOfParts>
  <Company>rsl</Company>
  <LinksUpToDate>false</LinksUpToDate>
  <CharactersWithSpaces>66395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dc:title>
  <dc:subject/>
  <dc:creator>18a116g</dc:creator>
  <cp:keywords/>
  <dc:description/>
  <cp:lastModifiedBy>admin</cp:lastModifiedBy>
  <cp:revision>2</cp:revision>
  <dcterms:created xsi:type="dcterms:W3CDTF">2014-03-06T14:10:00Z</dcterms:created>
  <dcterms:modified xsi:type="dcterms:W3CDTF">2014-03-06T14:10:00Z</dcterms:modified>
</cp:coreProperties>
</file>