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СОДЕРЖАНИЕ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ВВЕДЕНИЕ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ОТЕЧЕСТВЕННОЙ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ВОЙНЫ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ЗАКЛЮЧЕНИЕ</w:t>
      </w:r>
    </w:p>
    <w:p w:rsidR="00B364F1" w:rsidRPr="00A30A26" w:rsidRDefault="00B364F1" w:rsidP="00A30A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СПИСОК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ЛИТЕРАТУРЫ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0A26" w:rsidRDefault="00A30A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ВВЕДЕНИЕ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История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–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наука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историко-правовая,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изучает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государственно-правовой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надстройки.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курсе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исследуются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устройства,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структура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компетенция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отрасли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институты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изучения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конкретных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нормативных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Изучение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государственно-правовых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фактически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доводится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наших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соприкасается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проблемами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современного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государства.</w:t>
      </w:r>
    </w:p>
    <w:p w:rsidR="00B364F1" w:rsidRPr="00A30A26" w:rsidRDefault="00B364F1" w:rsidP="00A30A26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Так,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двадцатое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столетие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породило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огромный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интерес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стороны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историков,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научных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связи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насыщенными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бурными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событиями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известно,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одной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принявшей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себя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удар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войск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фашистской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Германии,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оккупировала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большую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часть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1945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1989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является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определяющим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преобразований,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касающихся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маловажное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сыграли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нормативно-правовые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степени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предопределили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дальнейшее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государства.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Особенности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развития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40-80-е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дальнейшее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преобразование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дополнение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отразили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себе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четко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закрепили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принципы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контроля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A30A26" w:rsidRDefault="00A30A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1927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произошли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важные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практически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жизни.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доминирующим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уклад.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Установилась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единая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марксистско-ленинская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идеология.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Коренные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произошли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ликвидированы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буржуазия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богатые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слои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крестьянства.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Учитывая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существенные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жизни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факт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1936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  <w:lang w:val="en-US"/>
        </w:rPr>
        <w:t>XII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Чрезвычайный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съезд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февраля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(Основной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состояла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разделов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122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статей.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четко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общества: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собственность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средства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производства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определено,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рабочих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крестьян,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диктатуры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пролетариата.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определила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структуру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компетенцию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намечался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переход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разделению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законодательную,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судебную.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степени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перестроены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Так,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деревнях,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крупных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местечковые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поселковые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соответственно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трудящимися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деревни,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культурно-политическим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строительством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устанавливали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бюджет,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охрану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усилению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обороноспособности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страны,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соблюдение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охрану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[2,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94].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принимали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распоряжения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пределах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предоставленных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Исполнительными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избираемые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составе: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заместителей,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секретаря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Исполнительными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деревнях,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местечках)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небольших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поселениях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председатель,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секретарь,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культурно-политическим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строительством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Окружные,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сессии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секретаря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ведения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сессии.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непосредственно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подотчетны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избравшему,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Окружные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нижеследующие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комитетов: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Земельный;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Здравоохранения;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Финансовый;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Коммунального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хозяйства;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Внутренней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торговли;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Дорожный;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Общий;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Плановую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комиссию;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Районные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нижеследующие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комитетов: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Земельный;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Финансовый;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Внутренней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торговли;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Здравоохранения;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Дорожный;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Общий;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Плановую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комиссию;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Городские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следующие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комитетов: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Финансовый;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Коммунального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хозяйства;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Внутренней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торговли;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Здравоохранения;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обеспечения;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Общий;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Плановую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комиссию;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Отделы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окружному,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непосредственно,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Комиссариату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истечении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местечковых,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сохраняли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вплоть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вновь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Таким</w:t>
      </w:r>
      <w:r w:rsidR="00A30A26">
        <w:rPr>
          <w:sz w:val="28"/>
          <w:szCs w:val="28"/>
        </w:rPr>
        <w:t xml:space="preserve"> </w:t>
      </w:r>
      <w:r w:rsidR="00A30A26" w:rsidRPr="00A30A26">
        <w:rPr>
          <w:sz w:val="28"/>
          <w:szCs w:val="28"/>
        </w:rPr>
        <w:t>образом,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вместо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рабочих,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крестьянских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красноармейских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обладающих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определённым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кругом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состояла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специальных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создаваемых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Постановлению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всеобщего,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прямого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избирательного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тайном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голосовании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феврале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возникают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[2,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c.96].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Рассмотрение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заседателей,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кроме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случаев,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специально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предусмотренных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возлагался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судопроизводство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лиц,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владеющих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ознакомления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материалами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через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переводчика,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выступать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родном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языке.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Разбирательство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открытым,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поскольку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предусмотрены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исключения,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обвиняемому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защиту.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независимы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16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августа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принимается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общесоюзный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автономных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республик».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создаётся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просуществовала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вплоть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распада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представлена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Основным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её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звеном,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прежде,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оставался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большую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часть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качестве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Областной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сессией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нём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функционировали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кассационном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жалобы,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протесты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отнесённым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подсудности.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упразднены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специальные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пленум.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кассационной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вступил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силу.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одновременно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контроль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конце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30-х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освобождены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относиться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компетенции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Наркома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юстиции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юстиции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[3,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</w:t>
      </w:r>
      <w:r w:rsidR="00A30A26">
        <w:rPr>
          <w:sz w:val="28"/>
          <w:szCs w:val="28"/>
          <w:lang w:val="en-US"/>
        </w:rPr>
        <w:t xml:space="preserve"> </w:t>
      </w:r>
      <w:r w:rsidRPr="00A30A26">
        <w:rPr>
          <w:sz w:val="28"/>
          <w:szCs w:val="28"/>
        </w:rPr>
        <w:t>234].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Отдельные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посвящены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прокуратуре.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точным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Комиссариатами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подведомственными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учреждениями,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равно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должностными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лицами,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непосредственно,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через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Прокурор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назначался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Окружные,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назначались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утверждением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независимо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подчиняясь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ОТЕЧЕСТВЕННОЙ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ВОЙНЫ</w:t>
      </w:r>
    </w:p>
    <w:p w:rsidR="002648CB" w:rsidRPr="005A5CAC" w:rsidRDefault="002648CB" w:rsidP="002648CB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A5CAC">
        <w:rPr>
          <w:color w:val="FFFFFF"/>
          <w:sz w:val="28"/>
          <w:szCs w:val="28"/>
        </w:rPr>
        <w:t>государственная власть прокуратура суд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22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июня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трагический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Гитлеровская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Германия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вероломно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Отечественная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держава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одна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себя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удар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гитлеровской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армии.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середине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июля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немецкая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армия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оккупировала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Прибалтику,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часть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Украины.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Война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потребовала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перестройки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лад.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Указ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июня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положении»,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обороны,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защиты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безопасности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возлагались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фронтов,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армий,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войсковых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соединений.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властям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предоставлялись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широкие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привлекать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повинности;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вводить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военно-квартирную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повинность;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конфисковывать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транспортные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средства;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регулировать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предприятий,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учреждений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организаций;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регулировать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торговлю;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запрещать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выезд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въезд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местности,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находящиеся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положении;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выселять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административном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положении;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трибуналам.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связи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оккупацией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приостанавливали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завоёванной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жёсткого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оккупационного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режима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развернулась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всенародная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борьба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против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фашизма.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постановлением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обороны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штаб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движения.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выполняли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(регистрировали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сделки,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состояния),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направленные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правопорядка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[3,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с.245].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Советское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способствовало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мобилизации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фронта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тыла,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борьбу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врагом.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другие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правоохранительные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применяя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поддерживали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стране.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разрешали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внутрипартизанской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жизни,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поддерживали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дисциплину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рассматриваемым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относились: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вступление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пререкания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самоуправство,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унижение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достоинства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другого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из-за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трофейного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имущества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т.п.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товарищеских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вступали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утверждения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бригады.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практике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позже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собраниях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личного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практиковалось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тогда,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когда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значимости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общепубличное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значение.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Процедура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слушания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следующий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Вначале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представитель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докладывал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собранию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личного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фабулу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Затем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собрание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выясняло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обстоятельства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задавая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подсудимому,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свидетелям.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выносился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путём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открытого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голосования.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Если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совершённое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характеру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признаки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административного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правонарушения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представляющего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большой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опасности,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учитывая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обстоятельства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характер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совершённого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личность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виновного,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последствия,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наступившие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результате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совершения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разрешал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материал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виновного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расследования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(дознания)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товарищеский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ограничивался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дисциплинарным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взысканием.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Решение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могло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опротестовано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лишь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подпольными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(райкомами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КП(б)Б,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райисполкомами,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обкомами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КП(б)Б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т.д.).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Контроль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путём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утверждения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рассмотрения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жалоб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путём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санкционированного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ареста.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многих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расследование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проводилось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особыми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партизанами-дознавателями,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расследование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приказу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Лица,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проводившие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расследования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острой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необходимости,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целью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выяснения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некоторых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обстоятельств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совершённых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привлекали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специалистов,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т.е.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экспертов.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Особенностью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процессов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подполья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является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осмотре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происшествия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протоколы,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правило,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велись.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Поэтому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необходимых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допрашивались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лица,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расследовавшие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обстоятельства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1943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многих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создаются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действовавшие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«правах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судов».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когда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находились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отдыхе,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пополнялись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боеприпасами,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продовольствием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зонах.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Когда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находились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рейде,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осваивали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зоны,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Второй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инстанцией,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некоторой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категории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–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первой,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военно-полевые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трибуналы.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зонах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крупных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бригадах.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Военно-полевые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созданы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1943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оккупационного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режима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числе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Иногда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обкомы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кассационные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жалобы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военно-полевого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разрешали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заявления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осуждённых,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ходатайства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помиловании.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Анализ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практики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приравнивались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показывает,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нередко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подсудные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военно-полевым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трибуналам.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практика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если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находился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рейде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оторван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соединения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выполнял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самостоятельную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боевую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задачу,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оказывался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окружения,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блокады,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когда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боевой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обстановки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возможности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материалы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доставить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виновного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военно-полевой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здесь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налицо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совмещение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Жалобы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рейдовых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полков,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бригад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частей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соединений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(соответственно).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Партизанские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уголовно-процессуальным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кодексом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указами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поскольку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включены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кодексы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качестве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самостоятельных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небольших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образовывались.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коллегиально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отрядов.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всякое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отступление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принципа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коллегиальности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эвакуации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Комиссаров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закончились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продолжил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проведения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выборов.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эвакуации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Комиссаров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Прокурорский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товарищеских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командирской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командования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партизанских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партийных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если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выступали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качестве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[1,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</w:t>
      </w:r>
      <w:r w:rsidR="00A30A26">
        <w:rPr>
          <w:sz w:val="28"/>
          <w:szCs w:val="28"/>
          <w:lang w:val="en-US"/>
        </w:rPr>
        <w:t xml:space="preserve"> </w:t>
      </w:r>
      <w:r w:rsidRPr="00A30A26">
        <w:rPr>
          <w:sz w:val="28"/>
          <w:szCs w:val="28"/>
        </w:rPr>
        <w:t>242].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После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победоносного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окончания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Великой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Отечественной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возникла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необходимость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разрешении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многих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реорганизации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следствия,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направлению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условиях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мирного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Нормы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процессуального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установленные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указом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июня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положении»,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отменены.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июле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«Об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дополнении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текста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БССР».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местечках,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деревнях,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прежде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культурно-политическим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строительством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устанавливали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бюджет,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охрану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усилению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обороноспособности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страны,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соблюдение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охрану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Организационно-массовая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находилась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[3,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260].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возобновлена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виде,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существовала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войны.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включала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себя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конце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1940-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1950-х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существующую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вносятся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определённые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указом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августа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появились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двух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протесту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вступили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кассационные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постановления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функционировать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качестве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1956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получили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функции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контроля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поскольку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ликвидированы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Министерства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юстиции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Высшим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прежнему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избираемый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входили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постоянные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марте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например,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постоянного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125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заседателей.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Структурными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звеньями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коллегии: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другие.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компетенция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расширяется.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возникла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дисциплинарным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начинает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двух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рассматривал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протестам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Генерального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вступили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кассационные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постановления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1953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компетенции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отнесены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наиболее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тяжких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раньше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подсудны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трибуналу.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приступил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пересмотру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контрреволюционных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рассмотренных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30-е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реабилитации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жертв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репрессий.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половине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пересмотрено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несколько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десятков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реабилитации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невинно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осуждённых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30-е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проведена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1955-1961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рассмотрено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свыше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50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000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отношении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110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000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человек.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часть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реабилитации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жертв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репрессий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1955-1961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военно-судебные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–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Собранные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свидетельствуют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1953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1961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трибуналом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округа,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реабилитировано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100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522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человека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–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17%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репрессированных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протяжении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20-40-х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пересмотрены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1937-1938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[3,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с.294].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послевоенный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по-прежнему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продолжают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принимает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активное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контроля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[2,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с.107].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происшедшие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экономической,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жизни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наличие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большого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количества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нормативно-правовых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обусловили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апреля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девятая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сессия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девятого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созыва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состояла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глав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10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разделов.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содержала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говорилось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системе,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собственности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средства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производства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двух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защите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отечества,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руководящей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направляющей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роли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КПСС.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закрепила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принципы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1936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трудящихся),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определила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избирательную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систему,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статус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Министров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[6].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поселках,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пунктах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исходя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интересов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интересов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проживающих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жизнь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обсуждении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республиканского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общесоюзного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вносили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предложения.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хозяйственным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социально-культурным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строительством;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утверждали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развития,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бюджет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отчеты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выполнении;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предприятиями,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учреждениями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организациями;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соблюдение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охрану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укреплению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обороноспособности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страны.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Работу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городского,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организовывали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президиумы,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возглавляемые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(городов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подчинения),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поселковых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сельских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Вышестоящие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отменять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несоответствия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законодательству.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тесной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связи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самоуправления,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трудовыми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коллективами,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выносили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наиболее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важные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вопросы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обсуждение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ставили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референдумы,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вовлекали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постоянных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комиссий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других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подотчетных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направляли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работу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добровольных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самодеятельность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населения.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Исполнительными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городского,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являются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избираемые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Исполнительные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отчитывались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избравшими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собраниях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коллективов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жительства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выполнение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решений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наказов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избирателей;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Отделы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образовывались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вышестоящим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Перечень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отделов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образования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устанавливались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включались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план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развития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бюджет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обозначалась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собственность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профсоюзных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восьмом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разделе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шла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речь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прокурорском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Судебная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состояла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(городских)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(городских)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соответствующими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областных,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десять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отчитывались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избравшими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избирателями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могли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отозваны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установленном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порядке.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деятельностью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структуру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входили: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председатель,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заместители,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члены,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заседатели.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Рассмотрение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коллегиально;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инстанции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заседателей.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правосудия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пользовались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судьи.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Неприкосновенность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заседателей,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гарантии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независимости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устанавливались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статусе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другими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Правосудие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равенства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Судопроизводство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русском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большинства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населения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местности.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Участвующим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лицам,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владеющим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ведется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судопроизводство,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обеспечивалось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ознакомления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материалами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действиях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через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переводчика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выступать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родном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языке.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Согласно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никто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мог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признан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виновным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совершении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преступления,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подвергнут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уголовному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наказанию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иначе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приговору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соответствии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Для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оказания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юридической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помощи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действовали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коллегии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адвокатов.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случаях,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предусмотренных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законодательством,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юридическая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помощь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гражданам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оказывалась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бесплатно.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адвокатуры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законодательством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Союза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Высший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надзор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точным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единообразным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исполнением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министерствами,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комитетами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ведомствами,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предприятиями,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учреждениями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исполнительными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распорядительными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колхозами,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кооперативными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организациями,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должностными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лицами,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гражданами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территории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Генеральным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нижестоящими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прокурорами.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областей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назначались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Генеральным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Районные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городские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назначались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утверждались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Генеральным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нижестоящих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составлял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пять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лет.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свои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полномочия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независимо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каких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подчиняясь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только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Генеральному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прокурору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[5].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После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осталась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прежней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конца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80-х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начала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90-х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годов.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развитии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этот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определились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тенденции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демократизации,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кодификации,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расширения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последние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связи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перестройкой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активизацией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демократических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процессов,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набирали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силу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апреля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внесены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1989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затрагивали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принципы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деятельности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расширена,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сделаны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уточнения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дополнения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относительно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статуса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продолжались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дальнейшем.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Деятельность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прекратилась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связи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принятием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15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марта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1994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13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сессии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12-ого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созыва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[3,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293].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0A26" w:rsidRDefault="00A30A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ЗАКЛЮЧЕНИЕ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Период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времени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1945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1989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истории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привнес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значительные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определения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статуса.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Данные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преобразования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нашли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яркое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отражение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ряде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законодательных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среди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наиболее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значимое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место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занимают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года.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Основные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особенности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заключались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следующих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положениях: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а)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политическую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трудящихся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снизу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доверху.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высшим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объявлялся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Верховный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съезд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Белоруссии;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б)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экономическую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составляли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хозяйствования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социалистическая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собственность;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закреплялась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руководящая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роль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Коммунистической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партии;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г)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выборы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уровни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осуществлялись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путем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всеобщего,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равного,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прямого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избирательного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тайном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голосовании.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Основные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особенности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заключались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следующем: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а)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имела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преамбулу;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б)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расширяла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управлении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делами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организаций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трудовых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коллективов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в)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были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переименованы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г)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включала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раздел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“Советы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порядок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избрания”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новую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главу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“Народный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депутат”;</w:t>
      </w:r>
    </w:p>
    <w:p w:rsidR="00B364F1" w:rsidRPr="00A30A26" w:rsidRDefault="00B364F1" w:rsidP="00A30A26">
      <w:pPr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д)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вводила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впервые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норму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суверенитете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Изменения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сфере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формирования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государственных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органов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прокуратуры,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также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судебной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системы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воплощённые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Законах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БССР,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повысили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значимость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актуальность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юридических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исследований,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основе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которых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той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либо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иной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степени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сформировался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статус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современного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ставшего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полноправным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участником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международного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общения.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0A26" w:rsidRDefault="00A30A2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СПИСОК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ЛИТЕРАТУРЫ</w:t>
      </w:r>
    </w:p>
    <w:p w:rsidR="00B364F1" w:rsidRPr="00A30A26" w:rsidRDefault="00B364F1" w:rsidP="00A30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И.Н.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Кузнецов,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учебное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пособие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«История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славянских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народов»: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«Новое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знание»,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2007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С.Ф.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Сокол,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В.А.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Владимиров,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«История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государства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Беларуси»: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Минск,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2007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30A26">
        <w:rPr>
          <w:sz w:val="28"/>
          <w:szCs w:val="28"/>
        </w:rPr>
        <w:t>Т.I.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Доунар,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«Гiсторыя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дзяржавы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i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права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Беларусi»: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Мiнск: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«Амалфея»,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2007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A5CAC">
        <w:rPr>
          <w:sz w:val="28"/>
          <w:szCs w:val="28"/>
          <w:lang w:val="en-US"/>
        </w:rPr>
        <w:t>http</w:t>
      </w:r>
      <w:r w:rsidRPr="005A5CAC">
        <w:rPr>
          <w:sz w:val="28"/>
          <w:szCs w:val="28"/>
        </w:rPr>
        <w:t>://</w:t>
      </w:r>
      <w:r w:rsidRPr="005A5CAC">
        <w:rPr>
          <w:sz w:val="28"/>
          <w:szCs w:val="28"/>
          <w:lang w:val="en-US"/>
        </w:rPr>
        <w:t>www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pravo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by</w:t>
      </w:r>
      <w:r w:rsidRPr="005A5CAC">
        <w:rPr>
          <w:sz w:val="28"/>
          <w:szCs w:val="28"/>
        </w:rPr>
        <w:t>/</w:t>
      </w:r>
      <w:r w:rsidRPr="005A5CAC">
        <w:rPr>
          <w:sz w:val="28"/>
          <w:szCs w:val="28"/>
          <w:lang w:val="en-US"/>
        </w:rPr>
        <w:t>konst</w:t>
      </w:r>
      <w:r w:rsidRPr="005A5CAC">
        <w:rPr>
          <w:sz w:val="28"/>
          <w:szCs w:val="28"/>
        </w:rPr>
        <w:t>_1937.</w:t>
      </w:r>
      <w:r w:rsidRPr="005A5CAC">
        <w:rPr>
          <w:sz w:val="28"/>
          <w:szCs w:val="28"/>
          <w:lang w:val="en-US"/>
        </w:rPr>
        <w:t>htm</w:t>
      </w:r>
      <w:r w:rsidRPr="00A30A26">
        <w:rPr>
          <w:sz w:val="28"/>
          <w:szCs w:val="28"/>
        </w:rPr>
        <w:t>/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Национальный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портал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Беларусь//Конституция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1937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A5CAC">
        <w:rPr>
          <w:sz w:val="28"/>
          <w:szCs w:val="28"/>
          <w:lang w:val="en-US"/>
        </w:rPr>
        <w:t>http</w:t>
      </w:r>
      <w:r w:rsidRPr="005A5CAC">
        <w:rPr>
          <w:sz w:val="28"/>
          <w:szCs w:val="28"/>
        </w:rPr>
        <w:t>://</w:t>
      </w:r>
      <w:r w:rsidRPr="005A5CAC">
        <w:rPr>
          <w:sz w:val="28"/>
          <w:szCs w:val="28"/>
          <w:lang w:val="en-US"/>
        </w:rPr>
        <w:t>www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pravo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by</w:t>
      </w:r>
      <w:r w:rsidRPr="005A5CAC">
        <w:rPr>
          <w:sz w:val="28"/>
          <w:szCs w:val="28"/>
        </w:rPr>
        <w:t>/</w:t>
      </w:r>
      <w:r w:rsidRPr="005A5CAC">
        <w:rPr>
          <w:sz w:val="28"/>
          <w:szCs w:val="28"/>
          <w:lang w:val="en-US"/>
        </w:rPr>
        <w:t>konst</w:t>
      </w:r>
      <w:r w:rsidRPr="005A5CAC">
        <w:rPr>
          <w:sz w:val="28"/>
          <w:szCs w:val="28"/>
        </w:rPr>
        <w:t>_1978.</w:t>
      </w:r>
      <w:r w:rsidRPr="005A5CAC">
        <w:rPr>
          <w:sz w:val="28"/>
          <w:szCs w:val="28"/>
          <w:lang w:val="en-US"/>
        </w:rPr>
        <w:t>htm</w:t>
      </w:r>
      <w:r w:rsidRPr="00A30A26">
        <w:rPr>
          <w:sz w:val="28"/>
          <w:szCs w:val="28"/>
        </w:rPr>
        <w:t>/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Национальный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правовой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портал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Республики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Беларусь//Конституция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1978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г.</w:t>
      </w:r>
    </w:p>
    <w:p w:rsidR="00B364F1" w:rsidRPr="00A30A26" w:rsidRDefault="00B364F1" w:rsidP="00A30A2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A5CAC">
        <w:rPr>
          <w:sz w:val="28"/>
          <w:szCs w:val="28"/>
          <w:lang w:val="en-US"/>
        </w:rPr>
        <w:t>http</w:t>
      </w:r>
      <w:r w:rsidRPr="005A5CAC">
        <w:rPr>
          <w:sz w:val="28"/>
          <w:szCs w:val="28"/>
        </w:rPr>
        <w:t>://</w:t>
      </w:r>
      <w:r w:rsidRPr="005A5CAC">
        <w:rPr>
          <w:sz w:val="28"/>
          <w:szCs w:val="28"/>
          <w:lang w:val="en-US"/>
        </w:rPr>
        <w:t>www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pravo</w:t>
      </w:r>
      <w:r w:rsidRPr="005A5CAC">
        <w:rPr>
          <w:sz w:val="28"/>
          <w:szCs w:val="28"/>
        </w:rPr>
        <w:t>-</w:t>
      </w:r>
      <w:r w:rsidRPr="005A5CAC">
        <w:rPr>
          <w:sz w:val="28"/>
          <w:szCs w:val="28"/>
          <w:lang w:val="en-US"/>
        </w:rPr>
        <w:t>web</w:t>
      </w:r>
      <w:r w:rsidRPr="005A5CAC">
        <w:rPr>
          <w:sz w:val="28"/>
          <w:szCs w:val="28"/>
        </w:rPr>
        <w:t>.</w:t>
      </w:r>
      <w:r w:rsidRPr="005A5CAC">
        <w:rPr>
          <w:sz w:val="28"/>
          <w:szCs w:val="28"/>
          <w:lang w:val="en-US"/>
        </w:rPr>
        <w:t>com</w:t>
      </w:r>
      <w:r w:rsidRPr="005A5CAC">
        <w:rPr>
          <w:sz w:val="28"/>
          <w:szCs w:val="28"/>
        </w:rPr>
        <w:t>/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-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Белорусская</w:t>
      </w:r>
      <w:r w:rsidR="00A30A26">
        <w:rPr>
          <w:sz w:val="28"/>
          <w:szCs w:val="28"/>
        </w:rPr>
        <w:t xml:space="preserve"> </w:t>
      </w:r>
      <w:r w:rsidRPr="00A30A26">
        <w:rPr>
          <w:sz w:val="28"/>
          <w:szCs w:val="28"/>
        </w:rPr>
        <w:t>Конституция</w:t>
      </w:r>
    </w:p>
    <w:p w:rsidR="00C63370" w:rsidRPr="00A30A26" w:rsidRDefault="00C63370" w:rsidP="00A30A2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C63370" w:rsidRPr="00A30A26" w:rsidSect="00A30A26">
      <w:headerReference w:type="default" r:id="rId7"/>
      <w:pgSz w:w="11909" w:h="16834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71" w:rsidRDefault="00A43B71" w:rsidP="000B1135">
      <w:r>
        <w:separator/>
      </w:r>
    </w:p>
  </w:endnote>
  <w:endnote w:type="continuationSeparator" w:id="0">
    <w:p w:rsidR="00A43B71" w:rsidRDefault="00A43B71" w:rsidP="000B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71" w:rsidRDefault="00A43B71" w:rsidP="000B1135">
      <w:r>
        <w:separator/>
      </w:r>
    </w:p>
  </w:footnote>
  <w:footnote w:type="continuationSeparator" w:id="0">
    <w:p w:rsidR="00A43B71" w:rsidRDefault="00A43B71" w:rsidP="000B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E6" w:rsidRPr="00A30A26" w:rsidRDefault="00D514E6" w:rsidP="00A30A26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03A9"/>
    <w:multiLevelType w:val="hybridMultilevel"/>
    <w:tmpl w:val="DE6A3B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4F1"/>
    <w:rsid w:val="0000236F"/>
    <w:rsid w:val="000052D5"/>
    <w:rsid w:val="00007725"/>
    <w:rsid w:val="00007B70"/>
    <w:rsid w:val="00014DAF"/>
    <w:rsid w:val="00026321"/>
    <w:rsid w:val="00047EBF"/>
    <w:rsid w:val="000519D0"/>
    <w:rsid w:val="00054A9A"/>
    <w:rsid w:val="00067FEB"/>
    <w:rsid w:val="00075005"/>
    <w:rsid w:val="000776C7"/>
    <w:rsid w:val="0009632B"/>
    <w:rsid w:val="000A16CE"/>
    <w:rsid w:val="000A3177"/>
    <w:rsid w:val="000B0D3D"/>
    <w:rsid w:val="000B1135"/>
    <w:rsid w:val="000B1B50"/>
    <w:rsid w:val="000B4D4E"/>
    <w:rsid w:val="000B4E05"/>
    <w:rsid w:val="000F4019"/>
    <w:rsid w:val="000F439B"/>
    <w:rsid w:val="00100504"/>
    <w:rsid w:val="00103DE0"/>
    <w:rsid w:val="00117CD7"/>
    <w:rsid w:val="00126629"/>
    <w:rsid w:val="00132018"/>
    <w:rsid w:val="00141003"/>
    <w:rsid w:val="0014189F"/>
    <w:rsid w:val="00143813"/>
    <w:rsid w:val="00143B5F"/>
    <w:rsid w:val="00144935"/>
    <w:rsid w:val="00150531"/>
    <w:rsid w:val="00196CFF"/>
    <w:rsid w:val="001B3978"/>
    <w:rsid w:val="001D39A5"/>
    <w:rsid w:val="001D657E"/>
    <w:rsid w:val="001E3784"/>
    <w:rsid w:val="00220DE1"/>
    <w:rsid w:val="00222A11"/>
    <w:rsid w:val="00237E30"/>
    <w:rsid w:val="002618D8"/>
    <w:rsid w:val="002648CB"/>
    <w:rsid w:val="002679EE"/>
    <w:rsid w:val="002A2456"/>
    <w:rsid w:val="002C2C9E"/>
    <w:rsid w:val="002D57D9"/>
    <w:rsid w:val="002D73CF"/>
    <w:rsid w:val="002D7422"/>
    <w:rsid w:val="00300F57"/>
    <w:rsid w:val="00326120"/>
    <w:rsid w:val="00326879"/>
    <w:rsid w:val="00331596"/>
    <w:rsid w:val="003610B7"/>
    <w:rsid w:val="00362BEF"/>
    <w:rsid w:val="0036360A"/>
    <w:rsid w:val="00364DE2"/>
    <w:rsid w:val="00371CE8"/>
    <w:rsid w:val="00372A22"/>
    <w:rsid w:val="003759E7"/>
    <w:rsid w:val="003761D6"/>
    <w:rsid w:val="00380D56"/>
    <w:rsid w:val="003B071B"/>
    <w:rsid w:val="003B57BF"/>
    <w:rsid w:val="003C2CF8"/>
    <w:rsid w:val="003E2472"/>
    <w:rsid w:val="00413DFE"/>
    <w:rsid w:val="00431982"/>
    <w:rsid w:val="00443F94"/>
    <w:rsid w:val="00453AD8"/>
    <w:rsid w:val="00454ECF"/>
    <w:rsid w:val="00456415"/>
    <w:rsid w:val="00466E80"/>
    <w:rsid w:val="004861EC"/>
    <w:rsid w:val="004946E0"/>
    <w:rsid w:val="00494EEA"/>
    <w:rsid w:val="004A023E"/>
    <w:rsid w:val="004A08CB"/>
    <w:rsid w:val="004A5849"/>
    <w:rsid w:val="004A6F5C"/>
    <w:rsid w:val="004B1797"/>
    <w:rsid w:val="004B7D90"/>
    <w:rsid w:val="004C0A23"/>
    <w:rsid w:val="004C1E0F"/>
    <w:rsid w:val="004D0C45"/>
    <w:rsid w:val="004D1BF3"/>
    <w:rsid w:val="004D3DE2"/>
    <w:rsid w:val="004D51C9"/>
    <w:rsid w:val="004F629A"/>
    <w:rsid w:val="005057BA"/>
    <w:rsid w:val="00513558"/>
    <w:rsid w:val="0051658D"/>
    <w:rsid w:val="00522535"/>
    <w:rsid w:val="00525624"/>
    <w:rsid w:val="00534AB2"/>
    <w:rsid w:val="00570875"/>
    <w:rsid w:val="00580732"/>
    <w:rsid w:val="00582B9B"/>
    <w:rsid w:val="005A5CAC"/>
    <w:rsid w:val="005C1838"/>
    <w:rsid w:val="005F2E7C"/>
    <w:rsid w:val="006159C4"/>
    <w:rsid w:val="00622623"/>
    <w:rsid w:val="00622FD1"/>
    <w:rsid w:val="006514BD"/>
    <w:rsid w:val="006537A1"/>
    <w:rsid w:val="00655B76"/>
    <w:rsid w:val="00666F7D"/>
    <w:rsid w:val="0067286B"/>
    <w:rsid w:val="00681663"/>
    <w:rsid w:val="00694339"/>
    <w:rsid w:val="006A225D"/>
    <w:rsid w:val="006A3207"/>
    <w:rsid w:val="0070638A"/>
    <w:rsid w:val="00712F68"/>
    <w:rsid w:val="00714E71"/>
    <w:rsid w:val="00735157"/>
    <w:rsid w:val="0073634D"/>
    <w:rsid w:val="00740C14"/>
    <w:rsid w:val="0075300B"/>
    <w:rsid w:val="00754D4E"/>
    <w:rsid w:val="007624D6"/>
    <w:rsid w:val="00782C3E"/>
    <w:rsid w:val="00795199"/>
    <w:rsid w:val="007A519A"/>
    <w:rsid w:val="007A6464"/>
    <w:rsid w:val="007B247B"/>
    <w:rsid w:val="007B3E27"/>
    <w:rsid w:val="007E3478"/>
    <w:rsid w:val="007E6025"/>
    <w:rsid w:val="008008CE"/>
    <w:rsid w:val="00802AA1"/>
    <w:rsid w:val="00804496"/>
    <w:rsid w:val="00833D0E"/>
    <w:rsid w:val="00834B18"/>
    <w:rsid w:val="00834D82"/>
    <w:rsid w:val="00835362"/>
    <w:rsid w:val="00841C83"/>
    <w:rsid w:val="00857081"/>
    <w:rsid w:val="00865A0D"/>
    <w:rsid w:val="00874115"/>
    <w:rsid w:val="00875CC5"/>
    <w:rsid w:val="00895B68"/>
    <w:rsid w:val="008A3E21"/>
    <w:rsid w:val="008B0CA4"/>
    <w:rsid w:val="008B4748"/>
    <w:rsid w:val="008B493A"/>
    <w:rsid w:val="008B6119"/>
    <w:rsid w:val="008C6913"/>
    <w:rsid w:val="008E177C"/>
    <w:rsid w:val="008E7D90"/>
    <w:rsid w:val="00927D72"/>
    <w:rsid w:val="0094295B"/>
    <w:rsid w:val="00943B3B"/>
    <w:rsid w:val="009473AA"/>
    <w:rsid w:val="00947608"/>
    <w:rsid w:val="00951E12"/>
    <w:rsid w:val="00972AE6"/>
    <w:rsid w:val="00995978"/>
    <w:rsid w:val="009A136F"/>
    <w:rsid w:val="009A2D05"/>
    <w:rsid w:val="009B070F"/>
    <w:rsid w:val="009D422E"/>
    <w:rsid w:val="009D5EBB"/>
    <w:rsid w:val="009D6F7D"/>
    <w:rsid w:val="009E52E6"/>
    <w:rsid w:val="009F0B68"/>
    <w:rsid w:val="009F247F"/>
    <w:rsid w:val="00A037A8"/>
    <w:rsid w:val="00A03B3F"/>
    <w:rsid w:val="00A1120E"/>
    <w:rsid w:val="00A147BD"/>
    <w:rsid w:val="00A238B7"/>
    <w:rsid w:val="00A30A26"/>
    <w:rsid w:val="00A435A3"/>
    <w:rsid w:val="00A43B71"/>
    <w:rsid w:val="00A47C28"/>
    <w:rsid w:val="00A528F6"/>
    <w:rsid w:val="00A6327F"/>
    <w:rsid w:val="00A64046"/>
    <w:rsid w:val="00A85CEA"/>
    <w:rsid w:val="00AA4EF9"/>
    <w:rsid w:val="00AB3716"/>
    <w:rsid w:val="00AB3F4D"/>
    <w:rsid w:val="00AB6A46"/>
    <w:rsid w:val="00AC03E4"/>
    <w:rsid w:val="00AD0A28"/>
    <w:rsid w:val="00AD52D2"/>
    <w:rsid w:val="00B015DD"/>
    <w:rsid w:val="00B14FE1"/>
    <w:rsid w:val="00B25C0A"/>
    <w:rsid w:val="00B36345"/>
    <w:rsid w:val="00B364F1"/>
    <w:rsid w:val="00B40AF1"/>
    <w:rsid w:val="00B56B78"/>
    <w:rsid w:val="00B62CA7"/>
    <w:rsid w:val="00B778F7"/>
    <w:rsid w:val="00B91E44"/>
    <w:rsid w:val="00BA4A56"/>
    <w:rsid w:val="00BB1CC2"/>
    <w:rsid w:val="00BB4336"/>
    <w:rsid w:val="00BB6EA1"/>
    <w:rsid w:val="00BD4D93"/>
    <w:rsid w:val="00BE0824"/>
    <w:rsid w:val="00BF2F8D"/>
    <w:rsid w:val="00C003E7"/>
    <w:rsid w:val="00C178F5"/>
    <w:rsid w:val="00C231CD"/>
    <w:rsid w:val="00C23A20"/>
    <w:rsid w:val="00C63370"/>
    <w:rsid w:val="00C63C91"/>
    <w:rsid w:val="00C821AA"/>
    <w:rsid w:val="00C83249"/>
    <w:rsid w:val="00C93EDC"/>
    <w:rsid w:val="00C9532A"/>
    <w:rsid w:val="00CA2E5B"/>
    <w:rsid w:val="00CB54E7"/>
    <w:rsid w:val="00CB5D08"/>
    <w:rsid w:val="00CC066B"/>
    <w:rsid w:val="00CC38DA"/>
    <w:rsid w:val="00CC3DA9"/>
    <w:rsid w:val="00CC5DC5"/>
    <w:rsid w:val="00CD2A18"/>
    <w:rsid w:val="00CD475B"/>
    <w:rsid w:val="00D01295"/>
    <w:rsid w:val="00D01BB7"/>
    <w:rsid w:val="00D15FC8"/>
    <w:rsid w:val="00D43E9D"/>
    <w:rsid w:val="00D44367"/>
    <w:rsid w:val="00D470DF"/>
    <w:rsid w:val="00D514B9"/>
    <w:rsid w:val="00D514E6"/>
    <w:rsid w:val="00D87A75"/>
    <w:rsid w:val="00D90DB3"/>
    <w:rsid w:val="00D9124C"/>
    <w:rsid w:val="00D91AAD"/>
    <w:rsid w:val="00D95296"/>
    <w:rsid w:val="00D96BD1"/>
    <w:rsid w:val="00DA55F9"/>
    <w:rsid w:val="00DB31F3"/>
    <w:rsid w:val="00DB4C94"/>
    <w:rsid w:val="00DE2EAA"/>
    <w:rsid w:val="00DE4EFA"/>
    <w:rsid w:val="00DE697B"/>
    <w:rsid w:val="00DF1C5C"/>
    <w:rsid w:val="00DF539A"/>
    <w:rsid w:val="00E210D1"/>
    <w:rsid w:val="00E33E47"/>
    <w:rsid w:val="00E46A91"/>
    <w:rsid w:val="00E5128B"/>
    <w:rsid w:val="00E534BC"/>
    <w:rsid w:val="00E53F94"/>
    <w:rsid w:val="00E606CB"/>
    <w:rsid w:val="00E63A47"/>
    <w:rsid w:val="00E73ED2"/>
    <w:rsid w:val="00E83DAD"/>
    <w:rsid w:val="00E908D0"/>
    <w:rsid w:val="00EA0B9C"/>
    <w:rsid w:val="00EA312C"/>
    <w:rsid w:val="00EA55B8"/>
    <w:rsid w:val="00EB0EFB"/>
    <w:rsid w:val="00EB7192"/>
    <w:rsid w:val="00EC5121"/>
    <w:rsid w:val="00EC7916"/>
    <w:rsid w:val="00EE4BFE"/>
    <w:rsid w:val="00EE6F00"/>
    <w:rsid w:val="00EF09EA"/>
    <w:rsid w:val="00EF7251"/>
    <w:rsid w:val="00F01AEE"/>
    <w:rsid w:val="00F02451"/>
    <w:rsid w:val="00F047C8"/>
    <w:rsid w:val="00F04FA1"/>
    <w:rsid w:val="00F11738"/>
    <w:rsid w:val="00F248B3"/>
    <w:rsid w:val="00F272BB"/>
    <w:rsid w:val="00F5452A"/>
    <w:rsid w:val="00F8189A"/>
    <w:rsid w:val="00F84A80"/>
    <w:rsid w:val="00F92AEC"/>
    <w:rsid w:val="00F9530B"/>
    <w:rsid w:val="00F958DB"/>
    <w:rsid w:val="00FA601D"/>
    <w:rsid w:val="00FA6D09"/>
    <w:rsid w:val="00FB634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C1617F-ADBA-49DD-BFC0-FB03DA5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364F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B364F1"/>
    <w:rPr>
      <w:rFonts w:eastAsia="Times New Roman" w:cs="Times New Roman"/>
      <w:lang w:val="x-none" w:eastAsia="ru-RU"/>
    </w:rPr>
  </w:style>
  <w:style w:type="paragraph" w:styleId="a3">
    <w:name w:val="Title"/>
    <w:basedOn w:val="a"/>
    <w:link w:val="a4"/>
    <w:uiPriority w:val="10"/>
    <w:qFormat/>
    <w:rsid w:val="00B364F1"/>
    <w:pPr>
      <w:widowControl/>
      <w:autoSpaceDE/>
      <w:autoSpaceDN/>
      <w:adjustRightInd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locked/>
    <w:rsid w:val="00B364F1"/>
    <w:rPr>
      <w:rFonts w:eastAsia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unhideWhenUsed/>
    <w:rsid w:val="00B364F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64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364F1"/>
    <w:rPr>
      <w:rFonts w:eastAsia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B364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364F1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2014-03-23T04:26:00Z</dcterms:created>
  <dcterms:modified xsi:type="dcterms:W3CDTF">2014-03-23T04:26:00Z</dcterms:modified>
</cp:coreProperties>
</file>