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85" w:rsidRPr="00400388" w:rsidRDefault="00557C5A" w:rsidP="00C83185">
      <w:pPr>
        <w:pStyle w:val="14"/>
        <w:widowControl w:val="0"/>
        <w:spacing w:line="360" w:lineRule="auto"/>
        <w:ind w:firstLine="709"/>
        <w:jc w:val="center"/>
      </w:pPr>
      <w:r w:rsidRPr="00400388">
        <w:t>МИНИСТЕРСТВО</w:t>
      </w:r>
      <w:r w:rsidR="007419BA" w:rsidRPr="00400388">
        <w:t xml:space="preserve"> </w:t>
      </w:r>
      <w:r w:rsidRPr="00400388">
        <w:t>ОБРАЗОВАНИЯ</w:t>
      </w:r>
      <w:r w:rsidR="007419BA" w:rsidRPr="00400388">
        <w:t xml:space="preserve"> </w:t>
      </w:r>
      <w:r w:rsidRPr="00400388">
        <w:t>И</w:t>
      </w:r>
      <w:r w:rsidR="007419BA" w:rsidRPr="00400388">
        <w:t xml:space="preserve"> </w:t>
      </w:r>
      <w:r w:rsidRPr="00400388">
        <w:t>НАУКИ</w:t>
      </w:r>
      <w:r w:rsidR="007419BA" w:rsidRPr="00400388">
        <w:t xml:space="preserve"> </w:t>
      </w:r>
      <w:r w:rsidRPr="00400388">
        <w:t>УКРАИНЫ</w:t>
      </w:r>
    </w:p>
    <w:p w:rsidR="00557C5A" w:rsidRPr="00400388" w:rsidRDefault="00557C5A" w:rsidP="00C83185">
      <w:pPr>
        <w:pStyle w:val="14"/>
        <w:widowControl w:val="0"/>
        <w:spacing w:line="360" w:lineRule="auto"/>
        <w:ind w:firstLine="709"/>
        <w:jc w:val="center"/>
      </w:pPr>
    </w:p>
    <w:p w:rsidR="00533193" w:rsidRPr="00400388" w:rsidRDefault="00557C5A" w:rsidP="00C83185">
      <w:pPr>
        <w:pStyle w:val="14"/>
        <w:widowControl w:val="0"/>
        <w:spacing w:line="360" w:lineRule="auto"/>
        <w:ind w:firstLine="709"/>
        <w:jc w:val="center"/>
      </w:pPr>
      <w:r w:rsidRPr="00400388">
        <w:t>Красноармейский</w:t>
      </w:r>
      <w:r w:rsidR="007419BA" w:rsidRPr="00400388">
        <w:t xml:space="preserve"> </w:t>
      </w:r>
      <w:r w:rsidRPr="00400388">
        <w:t>городской</w:t>
      </w:r>
      <w:r w:rsidR="007419BA" w:rsidRPr="00400388">
        <w:t xml:space="preserve"> </w:t>
      </w:r>
      <w:r w:rsidRPr="00400388">
        <w:t>лицей</w:t>
      </w:r>
      <w:r w:rsidR="007419BA" w:rsidRPr="00400388">
        <w:t xml:space="preserve"> </w:t>
      </w:r>
      <w:r w:rsidRPr="00400388">
        <w:t>“</w:t>
      </w:r>
      <w:r w:rsidR="00533193" w:rsidRPr="00400388">
        <w:t>Надежда</w:t>
      </w:r>
      <w:r w:rsidRPr="00400388">
        <w:t>”</w:t>
      </w:r>
    </w:p>
    <w:p w:rsidR="00533193" w:rsidRPr="00400388" w:rsidRDefault="00533193" w:rsidP="00C83185">
      <w:pPr>
        <w:pStyle w:val="14"/>
        <w:widowControl w:val="0"/>
        <w:spacing w:line="360" w:lineRule="auto"/>
        <w:ind w:firstLine="709"/>
        <w:jc w:val="center"/>
      </w:pPr>
    </w:p>
    <w:p w:rsidR="00C83185" w:rsidRPr="00400388" w:rsidRDefault="00533193" w:rsidP="00C83185">
      <w:pPr>
        <w:pStyle w:val="14"/>
        <w:widowControl w:val="0"/>
        <w:spacing w:line="360" w:lineRule="auto"/>
        <w:ind w:firstLine="709"/>
        <w:jc w:val="center"/>
      </w:pPr>
      <w:r w:rsidRPr="00400388">
        <w:t>Секция</w:t>
      </w:r>
      <w:r w:rsidR="007419BA" w:rsidRPr="00400388">
        <w:t xml:space="preserve"> </w:t>
      </w:r>
      <w:r w:rsidRPr="00400388">
        <w:t>права</w:t>
      </w:r>
    </w:p>
    <w:p w:rsidR="00C83185" w:rsidRPr="00400388" w:rsidRDefault="00C83185" w:rsidP="00C83185">
      <w:pPr>
        <w:pStyle w:val="14"/>
        <w:widowControl w:val="0"/>
        <w:spacing w:line="360" w:lineRule="auto"/>
        <w:ind w:firstLine="709"/>
        <w:jc w:val="center"/>
      </w:pPr>
    </w:p>
    <w:p w:rsidR="00C83185" w:rsidRPr="00400388" w:rsidRDefault="00533193" w:rsidP="00C83185">
      <w:pPr>
        <w:pStyle w:val="14"/>
        <w:widowControl w:val="0"/>
        <w:spacing w:line="360" w:lineRule="auto"/>
        <w:ind w:firstLine="709"/>
        <w:jc w:val="center"/>
      </w:pPr>
      <w:r w:rsidRPr="00400388">
        <w:rPr>
          <w:b/>
        </w:rPr>
        <w:t>ОСОБЕННОСТИ</w:t>
      </w:r>
      <w:r w:rsidR="007419BA" w:rsidRPr="00400388">
        <w:rPr>
          <w:b/>
        </w:rPr>
        <w:t xml:space="preserve"> </w:t>
      </w:r>
      <w:r w:rsidRPr="00400388">
        <w:rPr>
          <w:b/>
        </w:rPr>
        <w:t>ПРЕСТУПН</w:t>
      </w:r>
      <w:r w:rsidR="00955EC0" w:rsidRPr="00400388">
        <w:rPr>
          <w:b/>
        </w:rPr>
        <w:t>ОСТИ</w:t>
      </w:r>
      <w:r w:rsidR="007419BA" w:rsidRPr="00400388">
        <w:rPr>
          <w:b/>
        </w:rPr>
        <w:t xml:space="preserve"> </w:t>
      </w:r>
      <w:r w:rsidRPr="00400388">
        <w:rPr>
          <w:b/>
        </w:rPr>
        <w:t>НЕСОВЕРШЕННОЛЕТНИХ</w:t>
      </w:r>
    </w:p>
    <w:p w:rsidR="00C83185" w:rsidRPr="00400388" w:rsidRDefault="00C83185" w:rsidP="00C83185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55EC0" w:rsidRPr="00400388" w:rsidRDefault="00955EC0" w:rsidP="00C8318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НА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МАТЕРИАЛАХ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КРАСНОАРМЕЙСКОГО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РЕГИОНА</w:t>
      </w:r>
    </w:p>
    <w:p w:rsidR="00955EC0" w:rsidRPr="00400388" w:rsidRDefault="00955EC0" w:rsidP="00C8318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83185" w:rsidRPr="00400388" w:rsidRDefault="00C83185" w:rsidP="00C83185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55EC0" w:rsidRPr="00400388" w:rsidRDefault="00955EC0" w:rsidP="00651CF9">
      <w:pPr>
        <w:widowControl w:val="0"/>
        <w:spacing w:line="360" w:lineRule="auto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Работу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выполнила</w:t>
      </w:r>
    </w:p>
    <w:p w:rsidR="00C83185" w:rsidRPr="00400388" w:rsidRDefault="00955EC0" w:rsidP="00651CF9">
      <w:pPr>
        <w:widowControl w:val="0"/>
        <w:spacing w:line="360" w:lineRule="auto"/>
        <w:rPr>
          <w:sz w:val="28"/>
          <w:szCs w:val="28"/>
        </w:rPr>
      </w:pPr>
      <w:r w:rsidRPr="00400388">
        <w:rPr>
          <w:sz w:val="28"/>
          <w:szCs w:val="28"/>
        </w:rPr>
        <w:t>Хрипкова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Дарья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Юрьевна</w:t>
      </w:r>
      <w:r w:rsidR="00C06C0F" w:rsidRPr="00400388">
        <w:rPr>
          <w:sz w:val="28"/>
          <w:szCs w:val="28"/>
        </w:rPr>
        <w:t>,</w:t>
      </w:r>
    </w:p>
    <w:p w:rsidR="00C83185" w:rsidRPr="00400388" w:rsidRDefault="00955EC0" w:rsidP="00651CF9">
      <w:pPr>
        <w:widowControl w:val="0"/>
        <w:spacing w:line="360" w:lineRule="auto"/>
        <w:rPr>
          <w:sz w:val="28"/>
          <w:szCs w:val="28"/>
        </w:rPr>
      </w:pPr>
      <w:r w:rsidRPr="00400388">
        <w:rPr>
          <w:sz w:val="28"/>
          <w:szCs w:val="28"/>
        </w:rPr>
        <w:t>ученица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201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группы</w:t>
      </w:r>
    </w:p>
    <w:p w:rsidR="00C83185" w:rsidRPr="00400388" w:rsidRDefault="00C06C0F" w:rsidP="00651CF9">
      <w:pPr>
        <w:widowControl w:val="0"/>
        <w:spacing w:line="360" w:lineRule="auto"/>
        <w:rPr>
          <w:sz w:val="28"/>
          <w:szCs w:val="28"/>
        </w:rPr>
      </w:pPr>
      <w:r w:rsidRPr="00400388">
        <w:rPr>
          <w:sz w:val="28"/>
          <w:szCs w:val="28"/>
        </w:rPr>
        <w:t>Красноармейского</w:t>
      </w:r>
    </w:p>
    <w:p w:rsidR="00955EC0" w:rsidRPr="00400388" w:rsidRDefault="00C06C0F" w:rsidP="00651CF9">
      <w:pPr>
        <w:widowControl w:val="0"/>
        <w:spacing w:line="360" w:lineRule="auto"/>
        <w:rPr>
          <w:sz w:val="28"/>
          <w:szCs w:val="28"/>
        </w:rPr>
      </w:pPr>
      <w:r w:rsidRPr="00400388">
        <w:rPr>
          <w:sz w:val="28"/>
          <w:szCs w:val="28"/>
        </w:rPr>
        <w:t>городского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лицея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“Надежда”</w:t>
      </w:r>
      <w:r w:rsidR="007419BA" w:rsidRPr="00400388">
        <w:rPr>
          <w:sz w:val="28"/>
          <w:szCs w:val="28"/>
        </w:rPr>
        <w:t xml:space="preserve"> </w:t>
      </w:r>
    </w:p>
    <w:p w:rsidR="00533193" w:rsidRPr="00400388" w:rsidRDefault="00533193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</w:p>
    <w:p w:rsidR="00C83185" w:rsidRPr="00400388" w:rsidRDefault="00C06C0F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  <w:r w:rsidRPr="00400388">
        <w:rPr>
          <w:sz w:val="28"/>
        </w:rPr>
        <w:t>Научный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руководитель</w:t>
      </w:r>
    </w:p>
    <w:p w:rsidR="00C83185" w:rsidRPr="00400388" w:rsidRDefault="00C06C0F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  <w:r w:rsidRPr="00400388">
        <w:rPr>
          <w:sz w:val="28"/>
        </w:rPr>
        <w:t>преподаватель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истории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и</w:t>
      </w:r>
      <w:r w:rsidR="00C83185" w:rsidRPr="00400388">
        <w:rPr>
          <w:sz w:val="28"/>
        </w:rPr>
        <w:t xml:space="preserve"> </w:t>
      </w:r>
    </w:p>
    <w:p w:rsidR="00C83185" w:rsidRPr="00400388" w:rsidRDefault="00C06C0F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  <w:r w:rsidRPr="00400388">
        <w:rPr>
          <w:sz w:val="28"/>
        </w:rPr>
        <w:t>права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Красноармейского</w:t>
      </w:r>
    </w:p>
    <w:p w:rsidR="00C83185" w:rsidRPr="00400388" w:rsidRDefault="00C06C0F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  <w:r w:rsidRPr="00400388">
        <w:rPr>
          <w:sz w:val="28"/>
        </w:rPr>
        <w:t>городского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лицея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“</w:t>
      </w:r>
      <w:r w:rsidR="00D64502" w:rsidRPr="00400388">
        <w:rPr>
          <w:sz w:val="28"/>
        </w:rPr>
        <w:t>Надежда</w:t>
      </w:r>
      <w:r w:rsidRPr="00400388">
        <w:rPr>
          <w:sz w:val="28"/>
        </w:rPr>
        <w:t>”</w:t>
      </w:r>
      <w:r w:rsidR="00C83185" w:rsidRPr="00400388">
        <w:rPr>
          <w:sz w:val="28"/>
        </w:rPr>
        <w:t xml:space="preserve"> </w:t>
      </w:r>
    </w:p>
    <w:p w:rsidR="00D64502" w:rsidRPr="00400388" w:rsidRDefault="00D64502" w:rsidP="00651CF9">
      <w:pPr>
        <w:widowControl w:val="0"/>
        <w:tabs>
          <w:tab w:val="left" w:pos="1800"/>
        </w:tabs>
        <w:spacing w:line="360" w:lineRule="auto"/>
        <w:rPr>
          <w:sz w:val="28"/>
        </w:rPr>
      </w:pPr>
      <w:r w:rsidRPr="00400388">
        <w:rPr>
          <w:sz w:val="28"/>
        </w:rPr>
        <w:t>Перминов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Александр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Васильевич</w:t>
      </w:r>
    </w:p>
    <w:p w:rsidR="00D64502" w:rsidRPr="00400388" w:rsidRDefault="00D64502" w:rsidP="00C83185">
      <w:pPr>
        <w:widowControl w:val="0"/>
        <w:tabs>
          <w:tab w:val="left" w:pos="1800"/>
        </w:tabs>
        <w:spacing w:line="360" w:lineRule="auto"/>
        <w:ind w:firstLine="709"/>
        <w:jc w:val="right"/>
        <w:rPr>
          <w:sz w:val="28"/>
        </w:rPr>
      </w:pPr>
    </w:p>
    <w:p w:rsidR="00D64502" w:rsidRPr="00400388" w:rsidRDefault="00D64502" w:rsidP="007419BA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</w:rPr>
      </w:pPr>
    </w:p>
    <w:p w:rsidR="00D64502" w:rsidRPr="00400388" w:rsidRDefault="00D64502" w:rsidP="007419BA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</w:rPr>
      </w:pPr>
    </w:p>
    <w:p w:rsidR="00D64502" w:rsidRPr="00400388" w:rsidRDefault="00D64502" w:rsidP="007419BA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</w:rPr>
      </w:pPr>
    </w:p>
    <w:p w:rsidR="00C83185" w:rsidRPr="00400388" w:rsidRDefault="00C83185" w:rsidP="00C83185">
      <w:pPr>
        <w:widowControl w:val="0"/>
        <w:tabs>
          <w:tab w:val="left" w:pos="1800"/>
        </w:tabs>
        <w:spacing w:line="360" w:lineRule="auto"/>
        <w:ind w:firstLine="709"/>
        <w:jc w:val="center"/>
        <w:rPr>
          <w:sz w:val="28"/>
        </w:rPr>
      </w:pPr>
    </w:p>
    <w:p w:rsidR="00C83185" w:rsidRPr="00400388" w:rsidRDefault="00D64502" w:rsidP="00C83185">
      <w:pPr>
        <w:widowControl w:val="0"/>
        <w:tabs>
          <w:tab w:val="left" w:pos="1800"/>
        </w:tabs>
        <w:spacing w:line="360" w:lineRule="auto"/>
        <w:ind w:firstLine="709"/>
        <w:jc w:val="center"/>
        <w:rPr>
          <w:sz w:val="28"/>
        </w:rPr>
      </w:pPr>
      <w:r w:rsidRPr="00400388">
        <w:rPr>
          <w:sz w:val="28"/>
        </w:rPr>
        <w:t>Красноармейск</w:t>
      </w:r>
    </w:p>
    <w:p w:rsidR="00BA2756" w:rsidRPr="00400388" w:rsidRDefault="00F9667B" w:rsidP="00C83185">
      <w:pPr>
        <w:widowControl w:val="0"/>
        <w:tabs>
          <w:tab w:val="left" w:pos="1800"/>
        </w:tabs>
        <w:spacing w:line="360" w:lineRule="auto"/>
        <w:ind w:firstLine="709"/>
        <w:jc w:val="center"/>
        <w:rPr>
          <w:sz w:val="28"/>
        </w:rPr>
      </w:pPr>
      <w:r w:rsidRPr="00400388">
        <w:rPr>
          <w:sz w:val="28"/>
        </w:rPr>
        <w:t>2009</w:t>
      </w:r>
    </w:p>
    <w:p w:rsidR="00BA2756" w:rsidRPr="00400388" w:rsidRDefault="00C83185" w:rsidP="00C83185">
      <w:pPr>
        <w:widowControl w:val="0"/>
        <w:tabs>
          <w:tab w:val="left" w:pos="18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00388">
        <w:rPr>
          <w:sz w:val="28"/>
        </w:rPr>
        <w:br w:type="page"/>
      </w:r>
      <w:r w:rsidR="00BA2756" w:rsidRPr="00400388">
        <w:rPr>
          <w:b/>
          <w:sz w:val="28"/>
          <w:szCs w:val="28"/>
        </w:rPr>
        <w:t>СОДЕРЖАНИЕ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185" w:rsidRPr="00400388" w:rsidRDefault="00BA2756" w:rsidP="008D12F1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Вступление</w:t>
      </w:r>
    </w:p>
    <w:p w:rsidR="00C83185" w:rsidRPr="00400388" w:rsidRDefault="00BA2756" w:rsidP="008D12F1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Раздел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1.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Понятие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несовершеннолетней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преступности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и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преступность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несовершеннолетних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как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объект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криминологических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исследований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BA2756" w:rsidRPr="00400388">
        <w:rPr>
          <w:color w:val="000000"/>
          <w:sz w:val="28"/>
          <w:szCs w:val="28"/>
        </w:rPr>
        <w:t>Понятие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преступления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по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законодательству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Украины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BA2756" w:rsidRPr="00400388">
        <w:rPr>
          <w:color w:val="000000"/>
          <w:sz w:val="28"/>
          <w:szCs w:val="28"/>
        </w:rPr>
        <w:t>Отличие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от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преступления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BA2756" w:rsidRPr="00400388">
        <w:rPr>
          <w:color w:val="000000"/>
          <w:sz w:val="28"/>
          <w:szCs w:val="28"/>
        </w:rPr>
        <w:t>Понятие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 xml:space="preserve">несовершеннолетней преступности </w:t>
      </w:r>
    </w:p>
    <w:p w:rsidR="00BA2756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="00BA2756" w:rsidRPr="00400388">
        <w:rPr>
          <w:color w:val="000000"/>
          <w:sz w:val="28"/>
          <w:szCs w:val="28"/>
        </w:rPr>
        <w:t>Преступность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несовершеннолетних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как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объект</w:t>
      </w:r>
      <w:r w:rsidR="007419BA" w:rsidRPr="00400388">
        <w:rPr>
          <w:color w:val="000000"/>
          <w:sz w:val="28"/>
          <w:szCs w:val="28"/>
        </w:rPr>
        <w:t xml:space="preserve"> </w:t>
      </w:r>
    </w:p>
    <w:p w:rsidR="00C83185" w:rsidRPr="00400388" w:rsidRDefault="00BA2756" w:rsidP="008D12F1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криминологических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исследований</w:t>
      </w:r>
    </w:p>
    <w:p w:rsidR="00C83185" w:rsidRPr="00400388" w:rsidRDefault="00BA2756" w:rsidP="008D12F1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Раздел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2.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Особенности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преступности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несовершеннолетних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на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территории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города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Красноармейска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BA2756" w:rsidRPr="00400388">
        <w:rPr>
          <w:color w:val="000000"/>
          <w:sz w:val="28"/>
          <w:szCs w:val="28"/>
        </w:rPr>
        <w:t>Уголовная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ответственность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несовершеннолетних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BA2756" w:rsidRPr="00400388">
        <w:rPr>
          <w:color w:val="000000"/>
          <w:sz w:val="28"/>
          <w:szCs w:val="28"/>
        </w:rPr>
        <w:t>Особенности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детерминации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причинности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преступности</w:t>
      </w:r>
      <w:r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несовершеннолетних</w:t>
      </w:r>
    </w:p>
    <w:p w:rsidR="00C83185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BA2756" w:rsidRPr="00400388">
        <w:rPr>
          <w:color w:val="000000"/>
          <w:sz w:val="28"/>
          <w:szCs w:val="28"/>
        </w:rPr>
        <w:t>Личностные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особенности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несовершеннолетних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преступников</w:t>
      </w:r>
    </w:p>
    <w:p w:rsidR="00BA2756" w:rsidRPr="00400388" w:rsidRDefault="00400388" w:rsidP="00400388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BA2756" w:rsidRPr="00400388">
        <w:rPr>
          <w:color w:val="000000"/>
          <w:sz w:val="28"/>
          <w:szCs w:val="28"/>
        </w:rPr>
        <w:t>Особенности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преступности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несовершеннолетних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на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материалах</w:t>
      </w:r>
      <w:r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>Красноармейского</w:t>
      </w:r>
      <w:r w:rsidR="007419BA" w:rsidRPr="00400388">
        <w:rPr>
          <w:color w:val="000000"/>
          <w:sz w:val="28"/>
          <w:szCs w:val="28"/>
        </w:rPr>
        <w:t xml:space="preserve"> </w:t>
      </w:r>
      <w:r w:rsidR="00BA2756" w:rsidRPr="00400388">
        <w:rPr>
          <w:color w:val="000000"/>
          <w:sz w:val="28"/>
          <w:szCs w:val="28"/>
        </w:rPr>
        <w:t xml:space="preserve">региона </w:t>
      </w:r>
    </w:p>
    <w:p w:rsidR="00022190" w:rsidRPr="00400388" w:rsidRDefault="00BA2756" w:rsidP="00022190">
      <w:pPr>
        <w:widowControl w:val="0"/>
        <w:tabs>
          <w:tab w:val="left" w:pos="567"/>
        </w:tabs>
        <w:spacing w:line="360" w:lineRule="auto"/>
        <w:rPr>
          <w:bCs/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Раздел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3.</w:t>
      </w:r>
      <w:r w:rsidR="007419BA" w:rsidRPr="00400388">
        <w:rPr>
          <w:color w:val="000000"/>
          <w:sz w:val="28"/>
          <w:szCs w:val="28"/>
        </w:rPr>
        <w:t xml:space="preserve"> </w:t>
      </w:r>
      <w:r w:rsidR="00022190" w:rsidRPr="00400388">
        <w:rPr>
          <w:bCs/>
          <w:color w:val="000000"/>
          <w:sz w:val="28"/>
          <w:szCs w:val="28"/>
        </w:rPr>
        <w:t>Профилактика и борьб</w:t>
      </w:r>
      <w:r w:rsidR="00400388" w:rsidRPr="00400388">
        <w:rPr>
          <w:bCs/>
          <w:color w:val="000000"/>
          <w:sz w:val="28"/>
          <w:szCs w:val="28"/>
        </w:rPr>
        <w:t>а</w:t>
      </w:r>
      <w:r w:rsidR="00022190" w:rsidRPr="00400388">
        <w:rPr>
          <w:bCs/>
          <w:color w:val="000000"/>
          <w:sz w:val="28"/>
          <w:szCs w:val="28"/>
        </w:rPr>
        <w:t xml:space="preserve"> с преступностью несовершеннолетних</w:t>
      </w:r>
    </w:p>
    <w:p w:rsidR="00C83185" w:rsidRPr="00400388" w:rsidRDefault="00BA2756" w:rsidP="00022190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Заключение</w:t>
      </w:r>
    </w:p>
    <w:p w:rsidR="008D12F1" w:rsidRPr="00400388" w:rsidRDefault="00BA2756" w:rsidP="00022190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Список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использованной</w:t>
      </w:r>
      <w:r w:rsidR="007419BA" w:rsidRPr="00400388">
        <w:rPr>
          <w:color w:val="000000"/>
          <w:sz w:val="28"/>
          <w:szCs w:val="28"/>
        </w:rPr>
        <w:t xml:space="preserve"> </w:t>
      </w:r>
      <w:r w:rsidRPr="00400388">
        <w:rPr>
          <w:color w:val="000000"/>
          <w:sz w:val="28"/>
          <w:szCs w:val="28"/>
        </w:rPr>
        <w:t>литературы</w:t>
      </w:r>
    </w:p>
    <w:p w:rsidR="008D12F1" w:rsidRPr="00400388" w:rsidRDefault="00BA2756" w:rsidP="008D12F1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400388">
        <w:rPr>
          <w:color w:val="000000"/>
          <w:sz w:val="28"/>
          <w:szCs w:val="28"/>
        </w:rPr>
        <w:t>Приложение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2756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0388">
        <w:rPr>
          <w:sz w:val="28"/>
          <w:szCs w:val="28"/>
        </w:rPr>
        <w:br w:type="page"/>
      </w:r>
      <w:r w:rsidRPr="00400388">
        <w:rPr>
          <w:b/>
          <w:sz w:val="28"/>
          <w:szCs w:val="28"/>
        </w:rPr>
        <w:t>ВСТУПЛЕНИЕ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связи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тем,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что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наше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государство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переживает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резкие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политические,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также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экономические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изменения,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его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правовой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сфере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тоже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присуще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большое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количество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проблем.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настоящее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время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эти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изменения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происходят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лучшую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сторону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создают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предпосылки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для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совершения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преступлений.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Несовершеннолетние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силу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ряда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субъективных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объективных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причин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становятся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субъектами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правоотношений,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вовлекаются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криминальную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среду.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Криминализация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этой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среды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происходит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фоне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таких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негативных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потенциально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опасных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для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генофонда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нашего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общества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явлений,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как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наркомания,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алкоголизм,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приобретающие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эпидемический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характер.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Преступность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несовершеннолетних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–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один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из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тревожных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признаков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неблагополучия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общества.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связи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этим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изучение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данной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темы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автор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считает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актуальным.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Целью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данной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работы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является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изучение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особенностей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преступности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несовершеннолетних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городе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Красноармейске.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Для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достижения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данной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цели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автором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были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поставлены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такие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задачи:</w:t>
      </w:r>
    </w:p>
    <w:p w:rsidR="00BA2756" w:rsidRPr="00400388" w:rsidRDefault="00BA2756" w:rsidP="007419B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Изучить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литературу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данной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теме.</w:t>
      </w:r>
    </w:p>
    <w:p w:rsidR="00BA2756" w:rsidRPr="00400388" w:rsidRDefault="00BA2756" w:rsidP="007419B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Ознакомиться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со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статистическим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материалом.</w:t>
      </w:r>
    </w:p>
    <w:p w:rsidR="00BA2756" w:rsidRPr="00400388" w:rsidRDefault="00BA2756" w:rsidP="007419B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Подготовить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сводные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табличные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данные.</w:t>
      </w:r>
    </w:p>
    <w:p w:rsidR="00BA2756" w:rsidRPr="00400388" w:rsidRDefault="00BA2756" w:rsidP="007419BA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Исследовать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преступность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несовершеннолетних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как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объект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криминологии.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5.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Выявить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особенности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преступности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несовершеннолетних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городе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Красноармейске.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6.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Сделать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соответствующие</w:t>
      </w:r>
      <w:r w:rsidR="007419BA" w:rsidRPr="00400388">
        <w:rPr>
          <w:sz w:val="28"/>
          <w:szCs w:val="28"/>
        </w:rPr>
        <w:t xml:space="preserve"> </w:t>
      </w:r>
      <w:r w:rsidRPr="00400388">
        <w:rPr>
          <w:sz w:val="28"/>
          <w:szCs w:val="28"/>
        </w:rPr>
        <w:t>выводы.</w:t>
      </w:r>
      <w:r w:rsidR="007419BA" w:rsidRPr="00400388">
        <w:rPr>
          <w:sz w:val="28"/>
          <w:szCs w:val="28"/>
        </w:rPr>
        <w:t xml:space="preserve"> 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3185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0388">
        <w:rPr>
          <w:sz w:val="28"/>
          <w:szCs w:val="28"/>
        </w:rPr>
        <w:br w:type="page"/>
      </w:r>
      <w:r w:rsidR="00BA2756" w:rsidRPr="00400388">
        <w:rPr>
          <w:b/>
          <w:sz w:val="28"/>
          <w:szCs w:val="28"/>
        </w:rPr>
        <w:t>РАЗДЕЛ</w:t>
      </w:r>
      <w:r w:rsidR="007419BA" w:rsidRPr="00400388">
        <w:rPr>
          <w:b/>
          <w:sz w:val="28"/>
          <w:szCs w:val="28"/>
        </w:rPr>
        <w:t xml:space="preserve"> </w:t>
      </w:r>
      <w:r w:rsidR="00BA2756" w:rsidRPr="00400388">
        <w:rPr>
          <w:b/>
          <w:sz w:val="28"/>
          <w:szCs w:val="28"/>
        </w:rPr>
        <w:t>1</w:t>
      </w:r>
      <w:r w:rsidR="00C83185" w:rsidRPr="00400388">
        <w:rPr>
          <w:b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sz w:val="28"/>
          <w:szCs w:val="28"/>
        </w:rPr>
        <w:t>ПОНЯТИЕ</w:t>
      </w:r>
      <w:r w:rsidR="007419BA" w:rsidRPr="00400388">
        <w:rPr>
          <w:b/>
          <w:sz w:val="28"/>
          <w:szCs w:val="28"/>
        </w:rPr>
        <w:t xml:space="preserve"> </w:t>
      </w:r>
      <w:r w:rsidRPr="00400388">
        <w:rPr>
          <w:b/>
          <w:sz w:val="28"/>
          <w:szCs w:val="28"/>
        </w:rPr>
        <w:t>НЕСОВЕРШЕННОЛЕТНЕЙ</w:t>
      </w:r>
      <w:r w:rsidR="007419BA" w:rsidRPr="00400388">
        <w:rPr>
          <w:b/>
          <w:sz w:val="28"/>
          <w:szCs w:val="28"/>
        </w:rPr>
        <w:t xml:space="preserve"> </w:t>
      </w:r>
      <w:r w:rsidRPr="00400388">
        <w:rPr>
          <w:b/>
          <w:sz w:val="28"/>
          <w:szCs w:val="28"/>
        </w:rPr>
        <w:t>ПРЕСТУПНОСТИ</w:t>
      </w:r>
      <w:r w:rsidR="007419BA" w:rsidRPr="00400388">
        <w:rPr>
          <w:b/>
          <w:sz w:val="28"/>
          <w:szCs w:val="28"/>
        </w:rPr>
        <w:t xml:space="preserve"> </w:t>
      </w:r>
      <w:r w:rsidRPr="00400388">
        <w:rPr>
          <w:b/>
          <w:sz w:val="28"/>
          <w:szCs w:val="28"/>
        </w:rPr>
        <w:t>И</w:t>
      </w:r>
      <w:r w:rsidR="007419BA" w:rsidRPr="00400388">
        <w:rPr>
          <w:b/>
          <w:sz w:val="28"/>
          <w:szCs w:val="28"/>
        </w:rPr>
        <w:t xml:space="preserve"> </w:t>
      </w:r>
      <w:r w:rsidRPr="00400388">
        <w:rPr>
          <w:b/>
          <w:sz w:val="28"/>
          <w:szCs w:val="28"/>
        </w:rPr>
        <w:t>НЕСОВЕРШЕННОЛЕТНЯЯ</w:t>
      </w:r>
      <w:r w:rsidR="007419BA" w:rsidRPr="00400388">
        <w:rPr>
          <w:b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ПРЕСТУПНОСТЬ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КАК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ОБЪЕКТ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КРИММИНАЛОГИЧЕСКИХ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ИССЛЕДОВАНИЙ</w:t>
      </w:r>
    </w:p>
    <w:p w:rsidR="008D12F1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1.1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Понятие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преступления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по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законодательству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Украины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Преступление – предусмотренное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посягающее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Украины,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политическую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системы,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собственность,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политические,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трудовые,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имущественные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граждан,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равно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посягающее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правопорядок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Статья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11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Украины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Понятие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1.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хотя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какого-нибудь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малозначительности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представляет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причинило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юридическому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государству.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Поскольку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11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создают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состояния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обороны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пресечение правонарушителя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вреда,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хотя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малозначительности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представляет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Преступное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действие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активного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когда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прямо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запрещенные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пассивного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когда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осуществляет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прямо предписанных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ч. 1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ст. 11УК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содержится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преступления: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1)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наносит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создает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угрозу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нанесения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юридическому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государству;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виновность.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только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Вина – психическое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совершаемому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умысла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неосторожности.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Отсутствие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рассматривать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преступление;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3)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противоправность. Этот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 указывает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запрещено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угрозой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наказания;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4)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наказуемость.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означает,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конкретного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установлено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соответствующее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Первые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–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виновность – являются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материальными, 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раскрывают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социально-психологическую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природу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преступления;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третий – формальный,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отражает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юридическую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природу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Статья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12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Классификация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1.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зависимости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подразделяются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двух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иное.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мягкое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3.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пяти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4.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десяти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5.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свыше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десяти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пожизненное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Определяя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исходить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классификации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конкретного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обстоятельств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(форма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мотив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стадия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эпизодов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роль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каждого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соучастников,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наступивших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т.п.)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Исследуя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подсудимого, суд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выяснить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состояние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здоровья,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месту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обучения,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прошлое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наличие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снятых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погашенных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судимостей,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административных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взысканий),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состав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(наличие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преклонного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положение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т. п.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Таким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наказуемое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бездействие),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Согласно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ст. 18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вменяемое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совершившее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настоящим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наступать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Юридические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(предприятия,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организации,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политические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партии,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организации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т.д.)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только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осужденное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осознавало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(бездействие)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 руководило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отдавать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себе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отчет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(бездействии)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руководить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вследствие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хронического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заболевания,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расстройства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психической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слабоумия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болезненного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состояния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(ч.2 ст. 19 УК)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подлежит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ответственности.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Криминальная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правилам,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шестнадцати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(ч.1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ст.22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(убийство,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разбой,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изнасилование),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устанавливается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лет. 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numPr>
          <w:ilvl w:val="1"/>
          <w:numId w:val="20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Отличие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преступности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от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преступления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Вопрос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соотношении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важное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подхода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разработки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борьбе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преступностью.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сопоставлении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следует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сущностное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внешнее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проявление.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нарушающего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нормы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законодательства,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единичных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посягательствах.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исчерпывается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свойственно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 – явление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закономерное,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будучи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закономерности,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индивидуальными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обстоятельствами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носят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случайный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любое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конкретное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допустить.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этапе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 – закономерно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неизбежно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существующая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объективная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реальность,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искоренить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нельзя.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Отдельные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между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собой,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складывается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стихийно.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Однако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рамках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между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проявлениями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зависимость.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должностные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взаимосвязаны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собственности,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последние – 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преступлениями.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Различие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конкретного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совокупности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отчетливо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анализе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разделить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социально-экономические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психические.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прежде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учитываются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являющиеся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элементом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объективной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состава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(ущерб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хищений,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халатности;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жертв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результате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убийств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т.п.),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объему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значимости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многообразнее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серьезнее.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1.3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Понятие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несовершеннолетний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преступности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понятии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скрыто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термина,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во-первых,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во-вторых,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Прежде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людей,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нарушающая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нормальное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функционирование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организма.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нарушениями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аморальные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поступки,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называют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отклоняющимся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наиболее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Кроме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 – социально-правовое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цифра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складывается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суммы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период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времени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Однако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простая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сумма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закономерности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существования,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внутренне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противоречивое,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определяющееся.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Соотношение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конкретных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единичного.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совокупность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совокупности,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специфически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социально-правового.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столь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специфических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методов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борьбы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"исчезнуть"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только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уголовное)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законодательство,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атрибуты,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рожденные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наличием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общественно-опасного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–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отрицательное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социально-правовое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существующее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человеческом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закономерности,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качественные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характеристики,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влекущие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людей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требующее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специфических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общественных мер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контроля.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Обязательным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достижение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наступать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субъектом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привлечено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ряд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например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убийство,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грабеж,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изнасилование,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 устанавливает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Несовершеннолетние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шестнадцати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достигают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умственного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волевого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позволяет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критически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осмыслить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поступки.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осознавать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состоянии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контролировать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бережное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прослеживается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последним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деяния.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представляет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собой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совокупность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отрицательных,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социально-правовых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антиобщественных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достигшими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шестнадцатилетнего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возраста.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Cs/>
          <w:sz w:val="28"/>
          <w:szCs w:val="28"/>
        </w:rPr>
        <w:br w:type="page"/>
      </w:r>
      <w:r w:rsidR="00BA2756" w:rsidRPr="00400388">
        <w:rPr>
          <w:b/>
          <w:bCs/>
          <w:sz w:val="28"/>
          <w:szCs w:val="28"/>
        </w:rPr>
        <w:t>1.4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Преступность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несовершеннолетних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как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объект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криминального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исследования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Необходимость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выделения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самостоятельного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криминологического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исследования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объясняется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многими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причинами.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Во-первых,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важностью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масштабностью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задач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охране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здоровья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подрастающего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поколения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формированием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политики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защите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самостоятельного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органов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целом.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Во-вторых,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генезисе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мотивации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совершаемых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спецификой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жизнедеятельности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(относительно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ограниченный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период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интенсивность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позиций,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круга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функций,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ограниченная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дееспособность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др.),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личностных,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социально-групповых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характеристик.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В-третьих,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тесно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спецификой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структуры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динамики,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высокой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активностью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Лица,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раннем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позже,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поддаются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исправлению,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итоге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составляют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резерв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рецидивной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Напротив,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наиболее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своевременное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совершающим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первые,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представляющие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правонарушения,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позволяют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допустить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стойкой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дальнейшем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каких-либо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вместе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обуславливает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всестороннего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анализа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относительно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самостоятельного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феномена,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проработки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предупреждению,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анализ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заключаться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подхода,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подходе,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изолирующем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предмет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криминологами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обязательно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включаются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вопросы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месте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соотношении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молодежи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числе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влиянии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начала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рецидив,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влиянии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т.п.).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методическом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неправильно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сравнивать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показатели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речь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самостоятельных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Фактически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осуществляется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включающего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часть.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Сравнение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принципу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"часть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частью",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выделяя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показатели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активности: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молодых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(18-20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старших возрастных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контингентов.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Cs/>
          <w:sz w:val="28"/>
          <w:szCs w:val="28"/>
        </w:rPr>
        <w:br w:type="page"/>
      </w:r>
      <w:r w:rsidR="00BA2756" w:rsidRPr="00400388">
        <w:rPr>
          <w:b/>
          <w:bCs/>
          <w:sz w:val="28"/>
          <w:szCs w:val="28"/>
        </w:rPr>
        <w:t>РАЗДЕЛ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2</w:t>
      </w:r>
      <w:r w:rsidR="00C83185" w:rsidRPr="00400388">
        <w:rPr>
          <w:b/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ОСОБЕННОСТИ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ПРЕСТУПНОСТИ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НЕСОВЕРШЕННОЛЕТНИХ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НА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ТЕРРИТОРИИ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КРАСНОАРМЕЙСКОГО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РЕГИОНА</w:t>
      </w:r>
    </w:p>
    <w:p w:rsidR="008D12F1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numPr>
          <w:ilvl w:val="1"/>
          <w:numId w:val="1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Особенности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уголовной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ответственности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несовершеннолетних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подлежат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момент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достигли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шестнадцати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насильственные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имущественные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(убийство,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изнасилование,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кражи,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грабежи,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злостное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хулиганство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т.п.)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наступает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Определяя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законодатели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исходят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достигшее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понимает,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убивать,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воровать,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насиловать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нельзя.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совершил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ребенок,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еще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достиг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равно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подлежат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наказанию.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поступках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рассматривает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решению,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начиная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одиннадцатилетнего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нет, достиг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шестнадцати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подвергать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принудительным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мерам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специальную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школу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трех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школу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зависимости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согласия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согласия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ребенка. Таким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правонарушителей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раннем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Новый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Украины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исключает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начиная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содеянные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неосторожности,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опыта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мышления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позволяют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подросткам предусмотреть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одинаковые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предосторожности.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Вместе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расширен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перечень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наступать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четырнадцати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(например,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диверсию,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бандитизм,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террористический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акт,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заложников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т.п.).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Уголовная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ряд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особенностей:</w:t>
      </w:r>
    </w:p>
    <w:p w:rsidR="00BA2756" w:rsidRPr="00400388" w:rsidRDefault="00BA2756" w:rsidP="007419BA">
      <w:pPr>
        <w:widowControl w:val="0"/>
        <w:numPr>
          <w:ilvl w:val="0"/>
          <w:numId w:val="13"/>
        </w:numPr>
        <w:tabs>
          <w:tab w:val="clear" w:pos="1095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назначении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рассматривается,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обстоятельство,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смягчающее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ответственность;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впервые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совершивший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освобожден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принудительные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3)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несовершеннолетнему,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впервые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совершившему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назначено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исправление возможно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принудительные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4)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несовершеннолетнему,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осужденному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освобождение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отбывания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испытанием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двух);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5)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совершивший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небольшой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освобожден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признано,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вследствие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чистосердечного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раскаяния 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дальнейшего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безупречного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момент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постановления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приговора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нуждается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следующие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принудительные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6)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предусмотрены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мягкие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освобождения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отбывания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первую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очередь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касается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амнистия,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помилование,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условно-досрочное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освобождение.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признанным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совершении 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судом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наказаний: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1)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штраф;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работы;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3)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работы;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4)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арест;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5)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(максимальный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срок – 15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лет).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Уголовный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кодекс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Украины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дополнительные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наказания,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применены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несовершеннолетним: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штраф,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занимать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заниматься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деятельностью.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2.2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Особенности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детерминации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причинности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 xml:space="preserve">преступности </w:t>
      </w:r>
      <w:r w:rsidR="008D12F1" w:rsidRPr="00400388">
        <w:rPr>
          <w:b/>
          <w:bCs/>
          <w:sz w:val="28"/>
          <w:szCs w:val="28"/>
        </w:rPr>
        <w:t>несовершеннолетних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Признание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влияния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противоречий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нравственного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решающим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 объяснении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несовершеннолетнего.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Процессы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идеологического,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культурно-воспитательного,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демографического,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социально-психологического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происходящие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главным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детерминируют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повышенный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заболевания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смертности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разводы,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жестокое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обращение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окружающими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людьми,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самоубийства,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пьянство,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проституция,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входят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комплекс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факторов,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обуславливающих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отклоняющееся, 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числе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Применительно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создающие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способствующие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исследованы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криминологами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достаточно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полно.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отнесены: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дифференциация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несовершеннолетнего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населения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обеспеченности,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статусу;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принципов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оплаты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денежных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и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иных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благ;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содержании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обучения,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труда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отдельных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определяющие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сегодняшних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позиций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позиций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ближайшую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перспективу;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разрушения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родительской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сопровождающиеся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изменениями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традиционных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отягощенность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алкоголизмом,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нервно-психическими,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хроническими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заболеваниями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населения,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включая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противоречие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между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духовными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материальными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потребностями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реальными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удовлетворения;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низкий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культуры,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деформация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нравственного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сознания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отдельных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воспитателей;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традиционное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осуществление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воспитательных функций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отношении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лицами,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имеющими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профессиональной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подготовки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области;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недостаточное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ресурсное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кадровое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оснащение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сферы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жизнедеятельности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специализированной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целенаправленной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перевоспитанию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(см.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Криминология.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Учебник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юридических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вузов.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ред.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А. И. Долговой – М. стр.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695-696).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криминологии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укрепилось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интегрированное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детерминации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издержек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вывод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позволяет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рассматривать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способствующие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главным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плане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взаимодействия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микросреды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качестве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издержек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комплексе,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детерминирующем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исследователи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наиболее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выделяют: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1.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криминогенное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влияние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трудностей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институтов,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непосредственно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обучение,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перевоспитание;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2.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криминогенное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воздействие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микросреды;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3.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обстановка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характеризующаяся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проявлением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злобности,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жестокости,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конфликтно-агрессивных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окружающих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др.;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4.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стойкие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деформации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сохраняют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криминальную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значимость 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настоящее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Однако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ухудшение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положения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страны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привело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тому,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комплексе,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обуславливающем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произошли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изменения.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сопровождающиеся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преобразованиями,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проводимые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стране,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прежде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ослабили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родительскую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институт,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наиболее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последовательно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надежно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защищавший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 здоровье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обеспечивавший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интеллектуальную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нравственное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развитие.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бедных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сложная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психологическая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обстановка,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интенсивному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распаду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уходу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повсеместно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наблюдается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резкого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снижения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 дальнейшему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росту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безнадзорности.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Растет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разводов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супругов, имеющих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увеличивается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внебрачная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рождаемость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следствие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растет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неполных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распавшихся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неполных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одиноких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оказываются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сложном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психологическом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положении,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пополняют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людей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повышенного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риска.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Нарастает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проблема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сиротства.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Наблюдается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рост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жестокого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обращения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детьми.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Некорректные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приемы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унижение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человеческого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достоинства,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психическое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насилие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чаще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прослеживается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дошкольных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заведениях,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домах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интернатах,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специальных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учебно-воспитательных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учреждениях.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Динамика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структуры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напрямую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невовлечение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полезную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деятельность.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перечисленное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доказывает,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оказались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 положении,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когда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государство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обеспечить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реализацию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конституционного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права – 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выживание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 развитие.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2.3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Личностные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особенности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несовершеннолетних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преступников</w:t>
      </w:r>
    </w:p>
    <w:p w:rsidR="008D12F1" w:rsidRPr="00400388" w:rsidRDefault="008D12F1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Почти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вставших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путь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выбор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варианта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непосредственно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конечном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счете,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деформациями.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Особенности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потребностей,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сфере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ведущей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включают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стойкую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утрату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трудовым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коллективом,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игнорирование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нравственных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оценок.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образования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отстают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сверстников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из-за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прилежания.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Будучи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выражением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следствием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соответствующих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ценностных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ориентаций,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складывающегося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 такое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затрудняет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социализацию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исправления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перевоспитания.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производственной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сфере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характеризуют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выполняемой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утилитарное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отношение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профессии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извлечь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только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потребительскую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выгоды),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планов,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отчуждение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задач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производственного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коллектива,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нужд.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испытывают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боязни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увольнения,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полагают,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устроиться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заведение,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предприятие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даже,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обеспечить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себе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высокий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денежный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потребительский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доходы,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используя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рыночного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беспредела,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сложившегося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годы.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Стремление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достижению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успехов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производственной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замещено,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досуговыми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потребностями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интересами.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система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оценок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предпочтений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людей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ориентируется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сферу.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здесь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фиксируются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погоней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модной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одеждой,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данной среды.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отличие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позитивными,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одобряемыми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потребностями,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 преступников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обратном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направлении.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Фактическое,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бесцельное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времяпровождение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соответствующий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интерес.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закрепляется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привычках,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очередь,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ведут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формированию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социально-негативных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потребностей.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искаженному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потребностей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вырабатываются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привычки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опасным,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способам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удовлетворения.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правонарушителей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признается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допустимым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уголовно-правового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любого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запрета,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очень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нужно.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Эмоциональная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неуравновешенность,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тщеславие,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упрямство,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нечувствительность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состраданиям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агрессивность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отнести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наиболее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характерологическим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чертам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Речь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криминогенных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сдвигах,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деформациях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морально-эмоциональной,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нравственной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сферах,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Основной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интенсивного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возникновения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психогенно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аномалий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 правонарушителей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неблагополучные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выражающихся,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числе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наличии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нервно-психических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заболеваний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алкоголизме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пьянстве,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аморальном образе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жестокости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качестве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отягощенных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дефектов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психофизического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интеллектуального развития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состояния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высокую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степень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иметь: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психического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происшедшие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период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внутриутробного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младенческом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раннем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возрастах;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заболевание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алкоголизмом;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инфантилизма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(вялость,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быстрая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утомленность,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пониженная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работоспособность)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либо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выраженное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отставание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физическом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включая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дефекты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внешнего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вида;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пониженный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интеллектуального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создающий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сверстниками,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затрудняющий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приобретение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необходимой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опыта.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абсолютном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большинстве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обладающее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привычками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склонностями,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устойчивыми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стереотипами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антиобщественного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Случайно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единицы.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остальных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характерны: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постоянная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демонстрация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пренебрежения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нормам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общепринятого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пристрастие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спиртным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напиткам,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наркотикам,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азартным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играм;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бродяжничество,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систематические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побеги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дома;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половая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распущенность;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виновное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создание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конфликтных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ситуаций,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постоянные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ссоры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терроризирование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членов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семьи;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привычка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присвоению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плохо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лежит,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безнаказанно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отнять.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2.4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Особенности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преступности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несовершеннолетних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на</w:t>
      </w:r>
      <w:r w:rsidR="007419BA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материалах</w:t>
      </w:r>
      <w:r w:rsidR="008D12F1" w:rsidRPr="00400388">
        <w:rPr>
          <w:b/>
          <w:bCs/>
          <w:sz w:val="28"/>
          <w:szCs w:val="28"/>
        </w:rPr>
        <w:t xml:space="preserve"> </w:t>
      </w:r>
      <w:r w:rsidRPr="00400388">
        <w:rPr>
          <w:b/>
          <w:bCs/>
          <w:sz w:val="28"/>
          <w:szCs w:val="28"/>
        </w:rPr>
        <w:t>Красноармейского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региона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Криминогенная обстановка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Красноармейска 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настоящее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сравнению 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2004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улучшилась,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продолжает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оставаться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сложной. 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КМДН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Красноармейска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принимало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участие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42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21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человека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меньше,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2004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Сравнительный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анализ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статистических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данных подростковой 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период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2004 – 2005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показал,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2004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снизился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-28,8%.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Всего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2004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73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– 52.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Наряду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снижением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произошел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рост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грабежей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13(+7).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Основные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толкают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это: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Тяжелое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положение.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Незанятость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Потеря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ориентиров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связей.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Безысходность.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Недостаточное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внимание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Пустое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времяпровождение.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Алкоголь,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наркомании.</w:t>
      </w:r>
    </w:p>
    <w:p w:rsidR="00BA2756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Низкий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воспитания.</w:t>
      </w:r>
    </w:p>
    <w:p w:rsidR="00C83185" w:rsidRPr="00400388" w:rsidRDefault="00BA2756" w:rsidP="007419BA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Моральная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деградация.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Одной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критическом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возрасте – 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15 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17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отличаются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дерзостью и жестокостью.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милиции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делам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Красноармейска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участвовавших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привлекались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впервые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зрения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работников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милиции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попадали,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никакой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склонности данных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практически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поступало.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Следующей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89,5%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территории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совершалось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вечернее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ночное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свидетельствует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контроль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осуществлялся.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Одним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факторов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нашего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пьянства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подростков. 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административной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правонарушения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употреблением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спиртных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напитков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привлечено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12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человек. Было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4(+1)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незаконного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хранения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наркотических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средств,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возбуждены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(ст.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307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УК).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склонность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употреблению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спиртных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напитков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средств,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вызывающих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наркотическую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зависимость.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территории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Красноармейска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совершалось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учащимися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школ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ПТУ.</w:t>
      </w:r>
      <w:r w:rsidR="00C83185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свидетельствует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недостаточной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профилактической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педагогических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коллективов.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настоящее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корыстных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завладение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чужим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имуществом.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средств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низким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уровнем материального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обеспечения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воспитывается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подросток.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предметами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удовлетворения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корыстных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мотиваций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различного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вида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импортная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отечественная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техника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(автомобили,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мобильные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телефоны);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деньги,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драгоценности.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Особенностью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 также является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лиц.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52(-21)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Красноармейске,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24 – совершено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Однако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реально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переживает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результате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совершаемых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преступника-одиночки.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Повышенная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импульсивность,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жестокость,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интенсивность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ситуативность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совершаемых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отягощают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часто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доводят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высокого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сравнении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наблюдается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результате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противоправных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действий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населения.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Активно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идет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подчинения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риска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организованной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Расширяется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социальная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база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пополнения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счет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безработных,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вернувшихся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мест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лишения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свободы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нашедших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место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обнищавших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Наблюдается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вовлечения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среду.</w:t>
      </w:r>
    </w:p>
    <w:p w:rsidR="00C83185" w:rsidRPr="00400388" w:rsidRDefault="008D12F1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Cs/>
          <w:sz w:val="28"/>
          <w:szCs w:val="28"/>
        </w:rPr>
        <w:br w:type="page"/>
      </w:r>
      <w:r w:rsidR="00BA2756" w:rsidRPr="00400388">
        <w:rPr>
          <w:b/>
          <w:bCs/>
          <w:sz w:val="28"/>
          <w:szCs w:val="28"/>
        </w:rPr>
        <w:t>РАЗДЕЛ</w:t>
      </w:r>
      <w:r w:rsidR="007419BA" w:rsidRPr="00400388">
        <w:rPr>
          <w:b/>
          <w:bCs/>
          <w:sz w:val="28"/>
          <w:szCs w:val="28"/>
        </w:rPr>
        <w:t xml:space="preserve"> </w:t>
      </w:r>
      <w:r w:rsidR="00BA2756" w:rsidRPr="00400388">
        <w:rPr>
          <w:b/>
          <w:bCs/>
          <w:sz w:val="28"/>
          <w:szCs w:val="28"/>
        </w:rPr>
        <w:t>3</w:t>
      </w:r>
      <w:r w:rsidR="00C83185" w:rsidRPr="00400388">
        <w:rPr>
          <w:b/>
          <w:bCs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/>
          <w:bCs/>
          <w:sz w:val="28"/>
          <w:szCs w:val="28"/>
        </w:rPr>
        <w:t>ПРОФИЛАКТИКА</w:t>
      </w:r>
      <w:r w:rsidR="007419BA" w:rsidRPr="00400388">
        <w:rPr>
          <w:b/>
          <w:bCs/>
          <w:sz w:val="28"/>
          <w:szCs w:val="28"/>
        </w:rPr>
        <w:t xml:space="preserve"> </w:t>
      </w:r>
      <w:r w:rsidR="00022190" w:rsidRPr="00400388">
        <w:rPr>
          <w:b/>
          <w:bCs/>
          <w:sz w:val="28"/>
          <w:szCs w:val="28"/>
        </w:rPr>
        <w:t xml:space="preserve">И БОРЬБА С </w:t>
      </w:r>
      <w:r w:rsidRPr="00400388">
        <w:rPr>
          <w:b/>
          <w:bCs/>
          <w:sz w:val="28"/>
          <w:szCs w:val="28"/>
        </w:rPr>
        <w:t>ПРЕСТУПНОСТ</w:t>
      </w:r>
      <w:r w:rsidR="00022190" w:rsidRPr="00400388">
        <w:rPr>
          <w:b/>
          <w:bCs/>
          <w:sz w:val="28"/>
          <w:szCs w:val="28"/>
        </w:rPr>
        <w:t>ЬЮ</w:t>
      </w:r>
      <w:r w:rsidR="007419BA" w:rsidRPr="00400388">
        <w:rPr>
          <w:b/>
          <w:bCs/>
          <w:sz w:val="28"/>
          <w:szCs w:val="28"/>
        </w:rPr>
        <w:t xml:space="preserve"> </w:t>
      </w:r>
      <w:r w:rsidR="008D12F1" w:rsidRPr="00400388">
        <w:rPr>
          <w:b/>
          <w:bCs/>
          <w:sz w:val="28"/>
          <w:szCs w:val="28"/>
        </w:rPr>
        <w:t>НЕСОВЕРШЕННОЛЕТНИХ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Борьба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многом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связана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интеллектуальным,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духовным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настоящее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время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система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молодежи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претерпела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значительные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изменения.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постепенно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утрачивают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силу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существующие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ранее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моральные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нормы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поведения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другой – нарастает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процесс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поляризации,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смену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приходят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интересы.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обстоятельство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затронуло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каждую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семью,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отразилось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случайно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увеличилась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преступность.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Дети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растут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спада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производства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безработицы,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сокращения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учебно-просветительских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внешкольных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серьезные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пробелы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трудоустройстве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правило,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центрах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занятости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предлагается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низкооплачиваемый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многие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пытаются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заработать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сфере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торговли,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коммерции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вообще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уйти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трудовой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Беспокоит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еще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обстоятельство,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путь,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продолжают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  <w:r w:rsidR="007419BA" w:rsidRPr="00400388">
        <w:rPr>
          <w:bCs/>
          <w:sz w:val="28"/>
          <w:szCs w:val="28"/>
        </w:rPr>
        <w:t xml:space="preserve"> 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Нерешен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вопрос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Ощущается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дефицит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выполняют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обязанности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детей.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занимаются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бродяжничеством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попрошайничеством.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неблагополучных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малообеспеченных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Беспокойство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вызывает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Определенные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законом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медицинские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закрытого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типа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принудительного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отсутствуют.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роль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наркомании автоматически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отводится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медицинским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учреждениям.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еще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волнует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количество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большинстве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случаев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учащимися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школ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ПТУ,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очередь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свидетельствует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недостаточной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профилактической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стороны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педагогических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коллективов.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главных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просчетов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учебно-воспитательных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учреждений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назвать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слабое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владение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обстановкой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ученической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недостаточное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внимание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нарушителям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дисциплины,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низкий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Преподавателями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недостаточно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проводится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индивидуально-профилактическая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склонными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правонарушениям.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многих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случаях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знают,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ученики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проводят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досуг.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неполных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известно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могут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получить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достаточно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хорошего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воспитания. 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неблагополучных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один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родителей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член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семьи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алкоголик,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невозможно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получить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нормальные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формирует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будущего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преступника.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Поэтому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только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случае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своевременного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вмешательства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соответствующих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служб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городской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 районной исполнительной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власти,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возложена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профилактическая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возможно,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предотвратить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совершающиеся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подростками,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воспитывающимися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 xml:space="preserve">среде.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Особое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внимание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профилактической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несовершеннолетними,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работниками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КМДН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Красноармейска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уделяется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вопросу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выявления,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разоблачения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пресечения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антисоциальной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направленности.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отчетный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период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6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месяцев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2005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года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сотрудниками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КМДН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4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ходе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проведенных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оперативно-розыскных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мероприятий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деятельность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6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групп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пресечена,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члены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привлекаются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уголовной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ответственности.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022190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Cs/>
          <w:sz w:val="28"/>
          <w:szCs w:val="28"/>
        </w:rPr>
        <w:br w:type="page"/>
      </w:r>
      <w:r w:rsidRPr="00400388">
        <w:rPr>
          <w:b/>
          <w:bCs/>
          <w:sz w:val="28"/>
          <w:szCs w:val="28"/>
        </w:rPr>
        <w:t>ЗАКЛЮЧЕНИЕ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Преступность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 – отрицательное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явление,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влекущее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собой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негативные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общества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последствия.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Одно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последствий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криминализация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молодежной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происходит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фоне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распространения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наркомании,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алкоголизма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отрицательных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факторов.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написании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курсовой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автору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удалось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достичь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поставленных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целей.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статистических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уровень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корыстных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возрос.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обусловлено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низким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материальным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уровнем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семей,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воспитывается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подросток.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Что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свою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очередь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свидетельствует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об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экономических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проблемах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страны.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Тяжелейшее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материальное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положение,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безработица,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потеря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жизненных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ориентиров,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отчаяние,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безысходность,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плохие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условия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существования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развития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личности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 – 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основные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факторы,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толкают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преступления.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Изучив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статистические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данные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КМДН,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автором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среди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Красноармейске.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Это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должно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способствовать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повышению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знаний,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подростков,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взрослых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правовых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вопросах.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Также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улучшить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понимание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самой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ее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причины.</w:t>
      </w: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Данная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работа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может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быть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использована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школах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других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учебных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заведениях,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как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пособие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для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учителей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учеников.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00388">
        <w:rPr>
          <w:bCs/>
          <w:sz w:val="28"/>
          <w:szCs w:val="28"/>
        </w:rPr>
        <w:t>Автором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поэтапно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изучена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информация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из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которой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последствии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были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выявлены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особенности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преступности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несовершеннолетних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в</w:t>
      </w:r>
      <w:r w:rsidR="007419BA" w:rsidRPr="00400388">
        <w:rPr>
          <w:bCs/>
          <w:sz w:val="28"/>
          <w:szCs w:val="28"/>
        </w:rPr>
        <w:t xml:space="preserve"> </w:t>
      </w:r>
      <w:r w:rsidRPr="00400388">
        <w:rPr>
          <w:bCs/>
          <w:sz w:val="28"/>
          <w:szCs w:val="28"/>
        </w:rPr>
        <w:t>г. Красноармейске.</w:t>
      </w:r>
      <w:r w:rsidR="007419BA" w:rsidRPr="00400388">
        <w:rPr>
          <w:bCs/>
          <w:sz w:val="28"/>
          <w:szCs w:val="28"/>
        </w:rPr>
        <w:t xml:space="preserve">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2756" w:rsidRPr="00400388" w:rsidRDefault="00022190" w:rsidP="007419B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0388">
        <w:rPr>
          <w:bCs/>
          <w:sz w:val="28"/>
          <w:szCs w:val="28"/>
        </w:rPr>
        <w:br w:type="page"/>
      </w:r>
      <w:r w:rsidRPr="00400388">
        <w:rPr>
          <w:b/>
          <w:bCs/>
          <w:sz w:val="28"/>
          <w:szCs w:val="28"/>
        </w:rPr>
        <w:t>СПИСОК ИСПОЛЬЗОВАННОЙ ЛИТЕРАТУРЫ</w:t>
      </w:r>
    </w:p>
    <w:p w:rsidR="00022190" w:rsidRPr="00400388" w:rsidRDefault="00022190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1.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Криминология: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Пособие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для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подготовки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экзамену. – СПб.: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Питер,</w:t>
      </w:r>
    </w:p>
    <w:p w:rsidR="00BA2756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2005. – 224 с. – (Серия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«Учебное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 xml:space="preserve">пособие»).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2.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Криминология.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Учебник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для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юридических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вузов.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Под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общей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редакцией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доктора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юридических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наук,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профессора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А.И. Долговой – М.: Издательская</w:t>
      </w:r>
    </w:p>
    <w:p w:rsidR="00BA2756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группа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НОРМА – ИНФРА · М,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1999. – 784 с.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3.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Маляр И.В.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Основы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правоведения: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Учебное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пособие. –2-е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изд.,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доп.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и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BA2756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перераб. – Х.: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Країна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мрій™,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2002. – 224 с.</w:t>
      </w:r>
      <w:r w:rsidR="00C83185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4.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Правознавство: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Підручник ∕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Авт.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кол.: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Демський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С.Е.,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Ковальський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В.С.,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Колодій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А.М.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(керівник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авт.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кол.)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та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інші;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За ред.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 xml:space="preserve">В.В. Копєйчикова. –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5-е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вид.,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перероб.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та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доп. – К.: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Юрінком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Інтер,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2002. – 736 с. – Бібліогр.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BA2756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с. 724 – 726.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5.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Основы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правоведения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Украины: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Учебное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пособие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/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Кивалов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С.В.,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Музыченко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П.П.,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Крестовская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Н.Н.,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Крыжановский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А.Ф. – Х.: «Одиссей»,</w:t>
      </w:r>
    </w:p>
    <w:p w:rsidR="00BA2756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2005. – 384 с.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6.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Уголовный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кодекс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Украины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с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постатейными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материалами.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По состоянию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BA2756" w:rsidP="00022190">
      <w:pPr>
        <w:widowControl w:val="0"/>
        <w:spacing w:line="360" w:lineRule="auto"/>
        <w:rPr>
          <w:bCs/>
          <w:color w:val="000000"/>
          <w:sz w:val="28"/>
          <w:szCs w:val="28"/>
        </w:rPr>
      </w:pPr>
      <w:r w:rsidRPr="00400388">
        <w:rPr>
          <w:bCs/>
          <w:color w:val="000000"/>
          <w:sz w:val="28"/>
          <w:szCs w:val="28"/>
        </w:rPr>
        <w:t>на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1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сентября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2005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года. – Х.: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«Одиссей»,</w:t>
      </w:r>
      <w:r w:rsidR="007419BA" w:rsidRPr="00400388">
        <w:rPr>
          <w:bCs/>
          <w:color w:val="000000"/>
          <w:sz w:val="28"/>
          <w:szCs w:val="28"/>
        </w:rPr>
        <w:t xml:space="preserve"> </w:t>
      </w:r>
      <w:r w:rsidRPr="00400388">
        <w:rPr>
          <w:bCs/>
          <w:color w:val="000000"/>
          <w:sz w:val="28"/>
          <w:szCs w:val="28"/>
        </w:rPr>
        <w:t>2005. – 384 с.</w:t>
      </w:r>
      <w:r w:rsidR="007419BA" w:rsidRPr="00400388">
        <w:rPr>
          <w:bCs/>
          <w:color w:val="000000"/>
          <w:sz w:val="28"/>
          <w:szCs w:val="28"/>
        </w:rPr>
        <w:t xml:space="preserve"> 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83185" w:rsidRPr="00400388" w:rsidRDefault="00022190" w:rsidP="007419BA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00388">
        <w:rPr>
          <w:bCs/>
          <w:sz w:val="28"/>
          <w:szCs w:val="28"/>
        </w:rPr>
        <w:br w:type="page"/>
      </w:r>
      <w:r w:rsidRPr="00400388">
        <w:rPr>
          <w:b/>
          <w:sz w:val="28"/>
        </w:rPr>
        <w:t>ПРИЛОЖЕНИЕ 1</w:t>
      </w:r>
    </w:p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sz w:val="28"/>
        </w:rPr>
      </w:pPr>
    </w:p>
    <w:p w:rsidR="00C83185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</w:rPr>
      </w:pPr>
      <w:r w:rsidRPr="00400388">
        <w:rPr>
          <w:sz w:val="28"/>
        </w:rPr>
        <w:t>Преступность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несовершеннолетних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в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 xml:space="preserve">г. Красноармейске </w:t>
      </w:r>
    </w:p>
    <w:p w:rsidR="00BA2756" w:rsidRPr="00400388" w:rsidRDefault="00BA2756" w:rsidP="007419BA">
      <w:pPr>
        <w:widowControl w:val="0"/>
        <w:spacing w:line="360" w:lineRule="auto"/>
        <w:ind w:firstLine="709"/>
        <w:jc w:val="both"/>
        <w:rPr>
          <w:sz w:val="28"/>
        </w:rPr>
      </w:pPr>
      <w:r w:rsidRPr="00400388">
        <w:rPr>
          <w:sz w:val="28"/>
        </w:rPr>
        <w:t>(с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2000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по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2009</w:t>
      </w:r>
      <w:r w:rsidR="007419BA" w:rsidRPr="00400388">
        <w:rPr>
          <w:sz w:val="28"/>
        </w:rPr>
        <w:t xml:space="preserve"> </w:t>
      </w:r>
      <w:r w:rsidRPr="00400388">
        <w:rPr>
          <w:sz w:val="28"/>
        </w:rPr>
        <w:t>гг.)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723"/>
        <w:gridCol w:w="752"/>
        <w:gridCol w:w="705"/>
        <w:gridCol w:w="818"/>
        <w:gridCol w:w="673"/>
        <w:gridCol w:w="657"/>
        <w:gridCol w:w="617"/>
        <w:gridCol w:w="629"/>
        <w:gridCol w:w="616"/>
        <w:gridCol w:w="906"/>
      </w:tblGrid>
      <w:tr w:rsidR="00400388" w:rsidRPr="00400388" w:rsidTr="00022190">
        <w:trPr>
          <w:trHeight w:val="889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tabs>
                <w:tab w:val="left" w:pos="2115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Из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числа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оконченных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УД</w:t>
            </w:r>
          </w:p>
        </w:tc>
        <w:tc>
          <w:tcPr>
            <w:tcW w:w="723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1997</w:t>
            </w:r>
          </w:p>
        </w:tc>
        <w:tc>
          <w:tcPr>
            <w:tcW w:w="75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1998</w:t>
            </w:r>
          </w:p>
        </w:tc>
        <w:tc>
          <w:tcPr>
            <w:tcW w:w="705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1999</w:t>
            </w:r>
            <w:r w:rsidR="007419BA" w:rsidRPr="00400388">
              <w:rPr>
                <w:sz w:val="20"/>
                <w:szCs w:val="28"/>
              </w:rPr>
              <w:t xml:space="preserve"> </w:t>
            </w:r>
          </w:p>
        </w:tc>
        <w:tc>
          <w:tcPr>
            <w:tcW w:w="818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2000</w:t>
            </w:r>
          </w:p>
        </w:tc>
        <w:tc>
          <w:tcPr>
            <w:tcW w:w="673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2001</w:t>
            </w:r>
          </w:p>
        </w:tc>
        <w:tc>
          <w:tcPr>
            <w:tcW w:w="657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2002</w:t>
            </w:r>
          </w:p>
        </w:tc>
        <w:tc>
          <w:tcPr>
            <w:tcW w:w="617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2003</w:t>
            </w:r>
          </w:p>
        </w:tc>
        <w:tc>
          <w:tcPr>
            <w:tcW w:w="62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2004</w:t>
            </w:r>
          </w:p>
        </w:tc>
        <w:tc>
          <w:tcPr>
            <w:tcW w:w="61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2005</w:t>
            </w:r>
          </w:p>
        </w:tc>
        <w:tc>
          <w:tcPr>
            <w:tcW w:w="90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Всего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за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9 лет</w:t>
            </w:r>
          </w:p>
        </w:tc>
      </w:tr>
      <w:tr w:rsidR="00400388" w:rsidRPr="00400388" w:rsidTr="00022190">
        <w:trPr>
          <w:trHeight w:val="274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Всего</w:t>
            </w:r>
            <w:r w:rsidR="007419BA" w:rsidRPr="00400388">
              <w:rPr>
                <w:sz w:val="20"/>
                <w:szCs w:val="28"/>
              </w:rPr>
              <w:t xml:space="preserve"> 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58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50</w:t>
            </w:r>
          </w:p>
        </w:tc>
        <w:tc>
          <w:tcPr>
            <w:tcW w:w="705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121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37</w:t>
            </w:r>
          </w:p>
        </w:tc>
        <w:tc>
          <w:tcPr>
            <w:tcW w:w="673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86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74</w:t>
            </w:r>
          </w:p>
        </w:tc>
        <w:tc>
          <w:tcPr>
            <w:tcW w:w="617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38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73</w:t>
            </w:r>
          </w:p>
        </w:tc>
        <w:tc>
          <w:tcPr>
            <w:tcW w:w="61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52</w:t>
            </w:r>
          </w:p>
        </w:tc>
        <w:tc>
          <w:tcPr>
            <w:tcW w:w="90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589</w:t>
            </w:r>
          </w:p>
        </w:tc>
      </w:tr>
      <w:tr w:rsidR="00400388" w:rsidRPr="00400388" w:rsidTr="00022190">
        <w:trPr>
          <w:trHeight w:val="345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В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т.ч.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по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УР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49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39</w:t>
            </w:r>
          </w:p>
        </w:tc>
        <w:tc>
          <w:tcPr>
            <w:tcW w:w="705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112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36</w:t>
            </w:r>
          </w:p>
        </w:tc>
        <w:tc>
          <w:tcPr>
            <w:tcW w:w="673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72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74</w:t>
            </w:r>
          </w:p>
        </w:tc>
        <w:tc>
          <w:tcPr>
            <w:tcW w:w="617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38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73</w:t>
            </w:r>
          </w:p>
        </w:tc>
        <w:tc>
          <w:tcPr>
            <w:tcW w:w="61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52</w:t>
            </w:r>
          </w:p>
        </w:tc>
        <w:tc>
          <w:tcPr>
            <w:tcW w:w="906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545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-убийства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 xml:space="preserve">3 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14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-разбои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3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21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-грабежи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 xml:space="preserve">13 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37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-кража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личного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имущества</w:t>
            </w:r>
          </w:p>
        </w:tc>
        <w:tc>
          <w:tcPr>
            <w:tcW w:w="723" w:type="dxa"/>
          </w:tcPr>
          <w:p w:rsidR="00C83185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21</w:t>
            </w:r>
          </w:p>
        </w:tc>
        <w:tc>
          <w:tcPr>
            <w:tcW w:w="752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15</w:t>
            </w:r>
          </w:p>
        </w:tc>
        <w:tc>
          <w:tcPr>
            <w:tcW w:w="705" w:type="dxa"/>
          </w:tcPr>
          <w:p w:rsidR="00C83185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54</w:t>
            </w:r>
          </w:p>
        </w:tc>
        <w:tc>
          <w:tcPr>
            <w:tcW w:w="818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11</w:t>
            </w:r>
          </w:p>
        </w:tc>
        <w:tc>
          <w:tcPr>
            <w:tcW w:w="673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28</w:t>
            </w:r>
            <w:r w:rsidR="007419BA" w:rsidRPr="00400388">
              <w:rPr>
                <w:sz w:val="20"/>
                <w:szCs w:val="28"/>
              </w:rPr>
              <w:t xml:space="preserve"> </w:t>
            </w:r>
          </w:p>
        </w:tc>
        <w:tc>
          <w:tcPr>
            <w:tcW w:w="657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51</w:t>
            </w:r>
          </w:p>
        </w:tc>
        <w:tc>
          <w:tcPr>
            <w:tcW w:w="617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11</w:t>
            </w:r>
          </w:p>
        </w:tc>
        <w:tc>
          <w:tcPr>
            <w:tcW w:w="629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37</w:t>
            </w:r>
          </w:p>
        </w:tc>
        <w:tc>
          <w:tcPr>
            <w:tcW w:w="616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14</w:t>
            </w:r>
          </w:p>
        </w:tc>
        <w:tc>
          <w:tcPr>
            <w:tcW w:w="906" w:type="dxa"/>
          </w:tcPr>
          <w:p w:rsidR="00C83185" w:rsidRPr="00400388" w:rsidRDefault="00C83185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242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-в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т.ч.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квартир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23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673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13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24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87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-изнасилование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 xml:space="preserve">- 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 xml:space="preserve">- 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 xml:space="preserve">1 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4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-угон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транспорта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7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  <w:r w:rsidRPr="00400388">
              <w:rPr>
                <w:sz w:val="20"/>
                <w:szCs w:val="28"/>
              </w:rPr>
              <w:t xml:space="preserve"> 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4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23</w:t>
            </w:r>
          </w:p>
        </w:tc>
      </w:tr>
      <w:tr w:rsidR="00400388" w:rsidRPr="00400388" w:rsidTr="00022190">
        <w:trPr>
          <w:trHeight w:val="282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-наркотики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  <w:r w:rsidRPr="00400388">
              <w:rPr>
                <w:sz w:val="20"/>
                <w:szCs w:val="28"/>
              </w:rPr>
              <w:t xml:space="preserve"> 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6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14</w:t>
            </w:r>
          </w:p>
        </w:tc>
      </w:tr>
      <w:tr w:rsidR="00400388" w:rsidRPr="00400388" w:rsidTr="00022190">
        <w:trPr>
          <w:trHeight w:val="253"/>
          <w:jc w:val="center"/>
        </w:trPr>
        <w:tc>
          <w:tcPr>
            <w:tcW w:w="16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>Другие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по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линии</w:t>
            </w:r>
            <w:r w:rsidR="007419BA" w:rsidRPr="00400388">
              <w:rPr>
                <w:sz w:val="20"/>
                <w:szCs w:val="28"/>
              </w:rPr>
              <w:t xml:space="preserve"> </w:t>
            </w:r>
            <w:r w:rsidRPr="00400388">
              <w:rPr>
                <w:sz w:val="20"/>
                <w:szCs w:val="28"/>
              </w:rPr>
              <w:t>УР</w:t>
            </w:r>
          </w:p>
        </w:tc>
        <w:tc>
          <w:tcPr>
            <w:tcW w:w="72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 xml:space="preserve">- </w:t>
            </w:r>
          </w:p>
        </w:tc>
        <w:tc>
          <w:tcPr>
            <w:tcW w:w="75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705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818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-</w:t>
            </w:r>
          </w:p>
        </w:tc>
        <w:tc>
          <w:tcPr>
            <w:tcW w:w="673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1</w:t>
            </w:r>
          </w:p>
        </w:tc>
        <w:tc>
          <w:tcPr>
            <w:tcW w:w="65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2</w:t>
            </w:r>
          </w:p>
        </w:tc>
        <w:tc>
          <w:tcPr>
            <w:tcW w:w="617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</w:t>
            </w:r>
          </w:p>
        </w:tc>
        <w:tc>
          <w:tcPr>
            <w:tcW w:w="62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8</w:t>
            </w:r>
          </w:p>
        </w:tc>
        <w:tc>
          <w:tcPr>
            <w:tcW w:w="61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9</w:t>
            </w:r>
          </w:p>
        </w:tc>
        <w:tc>
          <w:tcPr>
            <w:tcW w:w="906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  <w:szCs w:val="28"/>
              </w:rPr>
              <w:t xml:space="preserve"> </w:t>
            </w:r>
            <w:r w:rsidR="00BA2756" w:rsidRPr="00400388">
              <w:rPr>
                <w:sz w:val="20"/>
                <w:szCs w:val="28"/>
              </w:rPr>
              <w:t>30</w:t>
            </w:r>
          </w:p>
        </w:tc>
      </w:tr>
    </w:tbl>
    <w:p w:rsidR="00C83185" w:rsidRPr="00400388" w:rsidRDefault="00C83185" w:rsidP="007419BA">
      <w:pPr>
        <w:widowControl w:val="0"/>
        <w:spacing w:line="360" w:lineRule="auto"/>
        <w:ind w:firstLine="709"/>
        <w:jc w:val="both"/>
        <w:rPr>
          <w:sz w:val="28"/>
        </w:rPr>
      </w:pPr>
    </w:p>
    <w:p w:rsidR="00BA2756" w:rsidRPr="00400388" w:rsidRDefault="00022190" w:rsidP="007419B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00388">
        <w:rPr>
          <w:sz w:val="28"/>
        </w:rPr>
        <w:br w:type="page"/>
      </w:r>
      <w:r w:rsidRPr="00400388">
        <w:rPr>
          <w:b/>
          <w:sz w:val="28"/>
          <w:szCs w:val="28"/>
        </w:rPr>
        <w:t>ПРИЛОЖЕНИЕ 2</w:t>
      </w:r>
    </w:p>
    <w:p w:rsidR="00022190" w:rsidRPr="00400388" w:rsidRDefault="00022190" w:rsidP="007419B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2756" w:rsidRPr="00400388" w:rsidRDefault="00022190" w:rsidP="007419B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0388">
        <w:rPr>
          <w:sz w:val="28"/>
          <w:szCs w:val="28"/>
        </w:rPr>
        <w:t>Преступность несовершеннолетних в г. Красноармейске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50"/>
        <w:gridCol w:w="709"/>
        <w:gridCol w:w="709"/>
        <w:gridCol w:w="992"/>
      </w:tblGrid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Из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числа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оконченных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УД</w:t>
            </w:r>
          </w:p>
        </w:tc>
        <w:tc>
          <w:tcPr>
            <w:tcW w:w="850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2008</w:t>
            </w:r>
          </w:p>
        </w:tc>
        <w:tc>
          <w:tcPr>
            <w:tcW w:w="709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400388">
              <w:rPr>
                <w:sz w:val="20"/>
              </w:rPr>
              <w:t>2009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+,-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%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73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52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-21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-28,8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В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т.ч.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по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УР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 xml:space="preserve">73 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52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-21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-28,8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-убийства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</w:t>
            </w:r>
            <w:r w:rsidRPr="00400388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+2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-изнасилования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+1</w:t>
            </w:r>
          </w:p>
        </w:tc>
        <w:tc>
          <w:tcPr>
            <w:tcW w:w="99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-кражи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личного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имущества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37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-23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-62,2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-в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т.ч.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из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квартир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-25,0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-наркотики 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-1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-33,3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-угон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транспорта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6</w:t>
            </w:r>
            <w:r w:rsidRPr="00400388">
              <w:rPr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-5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 xml:space="preserve">-83,3 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-разбой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-3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-50,0</w:t>
            </w:r>
          </w:p>
        </w:tc>
      </w:tr>
      <w:tr w:rsidR="00BA2756" w:rsidRPr="00400388" w:rsidTr="00022190">
        <w:trPr>
          <w:trHeight w:val="271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-грабеж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+7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116,7</w:t>
            </w:r>
          </w:p>
        </w:tc>
      </w:tr>
      <w:tr w:rsidR="00BA2756" w:rsidRPr="00400388" w:rsidTr="00022190">
        <w:trPr>
          <w:trHeight w:val="286"/>
        </w:trPr>
        <w:tc>
          <w:tcPr>
            <w:tcW w:w="2802" w:type="dxa"/>
          </w:tcPr>
          <w:p w:rsidR="00BA2756" w:rsidRPr="00400388" w:rsidRDefault="00BA2756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>-другие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по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>линии</w:t>
            </w:r>
            <w:r w:rsidR="007419BA" w:rsidRPr="00400388">
              <w:rPr>
                <w:sz w:val="20"/>
              </w:rPr>
              <w:t xml:space="preserve"> </w:t>
            </w:r>
            <w:r w:rsidRPr="00400388">
              <w:rPr>
                <w:sz w:val="20"/>
              </w:rPr>
              <w:t xml:space="preserve">УР </w:t>
            </w:r>
          </w:p>
        </w:tc>
        <w:tc>
          <w:tcPr>
            <w:tcW w:w="850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 xml:space="preserve">+1 </w:t>
            </w:r>
          </w:p>
        </w:tc>
        <w:tc>
          <w:tcPr>
            <w:tcW w:w="992" w:type="dxa"/>
          </w:tcPr>
          <w:p w:rsidR="00BA2756" w:rsidRPr="00400388" w:rsidRDefault="007419BA" w:rsidP="0002219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00388">
              <w:rPr>
                <w:sz w:val="20"/>
              </w:rPr>
              <w:t xml:space="preserve"> </w:t>
            </w:r>
            <w:r w:rsidR="00BA2756" w:rsidRPr="00400388">
              <w:rPr>
                <w:sz w:val="20"/>
              </w:rPr>
              <w:t>12,5</w:t>
            </w:r>
          </w:p>
        </w:tc>
      </w:tr>
    </w:tbl>
    <w:p w:rsidR="00C06C0F" w:rsidRPr="00400388" w:rsidRDefault="00C06C0F" w:rsidP="00022190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06C0F" w:rsidRPr="00400388" w:rsidSect="007419B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A91"/>
    <w:multiLevelType w:val="hybridMultilevel"/>
    <w:tmpl w:val="1096A76E"/>
    <w:lvl w:ilvl="0" w:tplc="03FE9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55753D"/>
    <w:multiLevelType w:val="multilevel"/>
    <w:tmpl w:val="D62268A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94E38D7"/>
    <w:multiLevelType w:val="hybridMultilevel"/>
    <w:tmpl w:val="9AE6EF3C"/>
    <w:lvl w:ilvl="0" w:tplc="6B201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36F1F"/>
    <w:multiLevelType w:val="multilevel"/>
    <w:tmpl w:val="D62268A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11604FA3"/>
    <w:multiLevelType w:val="multilevel"/>
    <w:tmpl w:val="A8A8E4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1B717BED"/>
    <w:multiLevelType w:val="multilevel"/>
    <w:tmpl w:val="F876733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24730E5C"/>
    <w:multiLevelType w:val="multilevel"/>
    <w:tmpl w:val="FEA811E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28FF7135"/>
    <w:multiLevelType w:val="multilevel"/>
    <w:tmpl w:val="982C64D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FD5370E"/>
    <w:multiLevelType w:val="hybridMultilevel"/>
    <w:tmpl w:val="7BCE16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6C571C"/>
    <w:multiLevelType w:val="hybridMultilevel"/>
    <w:tmpl w:val="D3B09C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93AF6"/>
    <w:multiLevelType w:val="multilevel"/>
    <w:tmpl w:val="41F6DDC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40827800"/>
    <w:multiLevelType w:val="multilevel"/>
    <w:tmpl w:val="41F6DDC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284740D"/>
    <w:multiLevelType w:val="hybridMultilevel"/>
    <w:tmpl w:val="F266E6F8"/>
    <w:lvl w:ilvl="0" w:tplc="0B1A2864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4385CC1"/>
    <w:multiLevelType w:val="hybridMultilevel"/>
    <w:tmpl w:val="CE7A99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F3046A"/>
    <w:multiLevelType w:val="hybridMultilevel"/>
    <w:tmpl w:val="10807EDA"/>
    <w:lvl w:ilvl="0" w:tplc="22E4D50E">
      <w:start w:val="3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8DE1FB9"/>
    <w:multiLevelType w:val="hybridMultilevel"/>
    <w:tmpl w:val="84669E16"/>
    <w:lvl w:ilvl="0" w:tplc="6B201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5C0766"/>
    <w:multiLevelType w:val="hybridMultilevel"/>
    <w:tmpl w:val="7E70F7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182F5F"/>
    <w:multiLevelType w:val="hybridMultilevel"/>
    <w:tmpl w:val="E684E0AE"/>
    <w:lvl w:ilvl="0" w:tplc="6B201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98E6A69"/>
    <w:multiLevelType w:val="multilevel"/>
    <w:tmpl w:val="0742DC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68E2F3D"/>
    <w:multiLevelType w:val="multilevel"/>
    <w:tmpl w:val="EF567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6E1B419B"/>
    <w:multiLevelType w:val="multilevel"/>
    <w:tmpl w:val="14A44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1">
    <w:nsid w:val="704F59E6"/>
    <w:multiLevelType w:val="hybridMultilevel"/>
    <w:tmpl w:val="C098F842"/>
    <w:lvl w:ilvl="0" w:tplc="A9CC979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875C8D"/>
    <w:multiLevelType w:val="hybridMultilevel"/>
    <w:tmpl w:val="FB3E13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22160"/>
    <w:multiLevelType w:val="hybridMultilevel"/>
    <w:tmpl w:val="98C686F0"/>
    <w:lvl w:ilvl="0" w:tplc="690A17F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0"/>
  </w:num>
  <w:num w:numId="6">
    <w:abstractNumId w:val="14"/>
  </w:num>
  <w:num w:numId="7">
    <w:abstractNumId w:val="21"/>
  </w:num>
  <w:num w:numId="8">
    <w:abstractNumId w:val="16"/>
  </w:num>
  <w:num w:numId="9">
    <w:abstractNumId w:val="19"/>
  </w:num>
  <w:num w:numId="10">
    <w:abstractNumId w:val="10"/>
  </w:num>
  <w:num w:numId="11">
    <w:abstractNumId w:val="1"/>
  </w:num>
  <w:num w:numId="12">
    <w:abstractNumId w:val="23"/>
  </w:num>
  <w:num w:numId="13">
    <w:abstractNumId w:val="12"/>
  </w:num>
  <w:num w:numId="14">
    <w:abstractNumId w:val="17"/>
  </w:num>
  <w:num w:numId="15">
    <w:abstractNumId w:val="2"/>
  </w:num>
  <w:num w:numId="16">
    <w:abstractNumId w:val="15"/>
  </w:num>
  <w:num w:numId="17">
    <w:abstractNumId w:val="3"/>
  </w:num>
  <w:num w:numId="18">
    <w:abstractNumId w:val="18"/>
  </w:num>
  <w:num w:numId="19">
    <w:abstractNumId w:val="11"/>
  </w:num>
  <w:num w:numId="20">
    <w:abstractNumId w:val="4"/>
  </w:num>
  <w:num w:numId="21">
    <w:abstractNumId w:val="13"/>
  </w:num>
  <w:num w:numId="22">
    <w:abstractNumId w:val="22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C5A"/>
    <w:rsid w:val="00022190"/>
    <w:rsid w:val="000D0BBE"/>
    <w:rsid w:val="00400388"/>
    <w:rsid w:val="00533193"/>
    <w:rsid w:val="00557C5A"/>
    <w:rsid w:val="00651CF9"/>
    <w:rsid w:val="007419BA"/>
    <w:rsid w:val="008D12F1"/>
    <w:rsid w:val="00955EC0"/>
    <w:rsid w:val="00BA2756"/>
    <w:rsid w:val="00C06C0F"/>
    <w:rsid w:val="00C83185"/>
    <w:rsid w:val="00D64502"/>
    <w:rsid w:val="00F9667B"/>
    <w:rsid w:val="00FA682E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2E208F-8E6F-4F5D-AFD9-22BFF13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rsid w:val="00557C5A"/>
    <w:rPr>
      <w:sz w:val="28"/>
      <w:szCs w:val="28"/>
    </w:rPr>
  </w:style>
  <w:style w:type="paragraph" w:styleId="a3">
    <w:name w:val="header"/>
    <w:basedOn w:val="a"/>
    <w:link w:val="a4"/>
    <w:uiPriority w:val="99"/>
    <w:rsid w:val="00BA2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A2756"/>
    <w:rPr>
      <w:rFonts w:cs="Times New Roman"/>
      <w:sz w:val="24"/>
      <w:szCs w:val="24"/>
    </w:rPr>
  </w:style>
  <w:style w:type="character" w:styleId="a5">
    <w:name w:val="page number"/>
    <w:uiPriority w:val="99"/>
    <w:rsid w:val="00BA2756"/>
    <w:rPr>
      <w:rFonts w:cs="Times New Roman"/>
    </w:rPr>
  </w:style>
  <w:style w:type="paragraph" w:styleId="a6">
    <w:name w:val="footer"/>
    <w:basedOn w:val="a"/>
    <w:link w:val="a7"/>
    <w:uiPriority w:val="99"/>
    <w:rsid w:val="00BA27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A2756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BA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МИНИСТЕРСТВО  ОБРАЗОВАНИЯ  И  НАУКИ  УКРАИНЫ  </vt:lpstr>
    </vt:vector>
  </TitlesOfParts>
  <Company/>
  <LinksUpToDate>false</LinksUpToDate>
  <CharactersWithSpaces>40931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МИНИСТЕРСТВО  ОБРАЗОВАНИЯ  И  НАУКИ  УКРАИНЫ  </dc:title>
  <dc:subject/>
  <dc:creator>Дарья</dc:creator>
  <cp:keywords/>
  <dc:description/>
  <cp:lastModifiedBy>admin</cp:lastModifiedBy>
  <cp:revision>2</cp:revision>
  <cp:lastPrinted>2005-12-11T13:41:00Z</cp:lastPrinted>
  <dcterms:created xsi:type="dcterms:W3CDTF">2014-03-06T16:02:00Z</dcterms:created>
  <dcterms:modified xsi:type="dcterms:W3CDTF">2014-03-06T16:02:00Z</dcterms:modified>
</cp:coreProperties>
</file>