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D6" w:rsidRPr="0036036B" w:rsidRDefault="00DA10D6" w:rsidP="00DA10D6">
      <w:pPr>
        <w:spacing w:before="120"/>
        <w:jc w:val="center"/>
        <w:rPr>
          <w:b/>
          <w:bCs/>
          <w:sz w:val="32"/>
          <w:szCs w:val="32"/>
        </w:rPr>
      </w:pPr>
      <w:r w:rsidRPr="0036036B">
        <w:rPr>
          <w:b/>
          <w:bCs/>
          <w:sz w:val="32"/>
          <w:szCs w:val="32"/>
        </w:rPr>
        <w:t>Пародическое цитирование в «Безумном волке» Н. Заболоцкого</w:t>
      </w:r>
    </w:p>
    <w:p w:rsidR="00DA10D6" w:rsidRPr="0036036B" w:rsidRDefault="00DA10D6" w:rsidP="00DA10D6">
      <w:pPr>
        <w:spacing w:before="120"/>
        <w:ind w:firstLine="567"/>
        <w:jc w:val="both"/>
        <w:rPr>
          <w:sz w:val="28"/>
          <w:szCs w:val="28"/>
        </w:rPr>
      </w:pPr>
      <w:r w:rsidRPr="0036036B">
        <w:rPr>
          <w:sz w:val="28"/>
          <w:szCs w:val="28"/>
        </w:rPr>
        <w:t>С. Бойко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Поэма Николая Заболоцкого «Безумный волк» (1931) —</w:t>
      </w:r>
      <w:r>
        <w:t xml:space="preserve"> </w:t>
      </w:r>
      <w:r w:rsidRPr="00B03319">
        <w:t xml:space="preserve"> произведение «задержанное», то есть своевременно не соотнесенное с историко-литературным контекстом. Оно было опубликовано после смерти поэта в 1965 году. Лишь относительно недавно, причем в зарубежной славистике1</w:t>
      </w:r>
      <w:r>
        <w:t xml:space="preserve"> </w:t>
      </w:r>
      <w:r w:rsidRPr="00B03319">
        <w:t xml:space="preserve"> (опередившей в этом отношении отечественные исследования), «Безумный волк» был прочитан на широком фоне русской и советской культуры: обозначена связь между образом «нового леса» и господствующими идеями социализма, где «члены общества работают сообща под руководством мудрого Председателя», испытывают «энтузиазм по поводу НТР»2</w:t>
      </w:r>
      <w:r>
        <w:t xml:space="preserve"> </w:t>
      </w:r>
      <w:r w:rsidRPr="00B03319">
        <w:t xml:space="preserve"> и не поют панихид по отринутому прошлому3</w:t>
      </w:r>
      <w:r>
        <w:t xml:space="preserve"> </w:t>
      </w:r>
      <w:r w:rsidRPr="00B03319">
        <w:t xml:space="preserve">.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«Безумный волк» имел особое значение в творческом развитии Заболоцкого, и сам поэт это сознавал. Никита Заболоцкий сообщает по поводу чтения у Пастернака в августе 1953 года: «Кроме “Безумного волка” Николай Алексеевич читал и другие свои стихи. Поэма понравилась Пастернаку, и его авторитетное мнение было очень важно для Заболоцкого, ибо сам он считал это произведение одним из своих серьезных достижений, чем-то вроде своего “Фауста”»4</w:t>
      </w:r>
      <w:r>
        <w:t xml:space="preserve"> </w:t>
      </w:r>
      <w:r w:rsidRPr="00B03319">
        <w:t>. Эта оценка говорит и о большой философской нагрузке произведения, и о связи его с гетеанским текстом5</w:t>
      </w:r>
      <w:r>
        <w:t xml:space="preserve"> </w:t>
      </w:r>
      <w:r w:rsidRPr="00B03319">
        <w:t xml:space="preserve"> (как известно, в неопубликованном сборнике 1933 года поэму предварял эпиграф из Гете: «Hцr’! Es splittern die Sдulen ewig grьner Palдste»6</w:t>
      </w:r>
      <w:r>
        <w:t xml:space="preserve"> </w:t>
      </w:r>
      <w:r w:rsidRPr="00B03319">
        <w:t>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 xml:space="preserve">В то же время гетеанские отсылки — это вовсе не единственный слой литературного претекста в поэме. «Безумный волк» построен и на пушкинских реминисценциях. Они прозрачны и, несомненно, рассчитаны на легкое опознание. Каждая из трех частей поэмы связана со «своим» пушкинским претекстом.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Глава первая, «Разговор с медведем», соотносится с пушкинской «Сказкой о медведихе» (1830). В своей неоконченной сказке Пушкин показал двух готовых к бою хищников: медведиху и мужика с рогатиной, их жестокие намерения («И сама мужику &lt;…&gt; выем»), кровавые подробности убийства («Он сажал в нее рогатину, / Что повыше пупа, пониже печени», «Распорол ей брюхо белое, / Брюхо распорол да шкуру сымал» и т. п.). Аналогично Волк Заболоцкого вначале еще не расстался со своим хищным естеством: «Я, задрав собаки бок, / Наблюдаю звезд поток»7</w:t>
      </w:r>
      <w:r>
        <w:t xml:space="preserve"> </w:t>
      </w:r>
      <w:r w:rsidRPr="00B03319">
        <w:t>. Его план самосовершенствования также связан с жестокими, кровавыми действиями — но теперь уже направленными на самого себя: «Я закажу себе станок / Для вывертыванья шеи. / Сам свою голову туда вложу, / С трудом колеса поверну». Его собеседник, медведь, в свою очередь предстает охотником-живодером: «Приятно у малиновок откусывать головки», «Конский я громила!» — говорит он.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 xml:space="preserve">Помимо мотивной преемственности «Сказка о медведихе» намечает также общую композиционную канву «Безумного волка». В обоих произведениях после сцен убийства в животном царстве следует собрание всех жителей леса. «В ту пору звери собиралися / Ко тому ли медведю, к боярину» — далее в «Сказке о медведихе» идет перечень лесных жителей с краткой характеристикой каждого: «Прибегал туто волк-дворянин, / У него-то зубы закусливые, / У него глаза завистливые, / Приходил тут бобр, торговый гость…» — затем ласочка, белочка, лисица, горностаюшка, зайка-смерд, целовальник-еж.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 «Безумном волке» это отразилось в главе «Собрание зверей», где на месте сословий выступают профессии: вслед за Волком-студентом представляются Волки — инженеры, доктора, музыканты, рассказывая «какое у них занятие».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Итак, «Разговор с медведем» заимствует у «Сказки о медведихе» образы, темы, мотивы, а поэма — композиционную канву. В речи Волка много слов, присущих языку Пушкина: для друзей и юных жен, ужель, презреть, светильник и т.п. В первой главе есть и цитата из «Евгения Онегина»: «Все это шутки прежних лет»8</w:t>
      </w:r>
      <w:r>
        <w:t xml:space="preserve"> </w:t>
      </w:r>
      <w:r w:rsidRPr="00B03319">
        <w:t>, — говорит Волк о былых своих охотничьих победах. Цитата взята с сохранением ритмического рисунка из VIII главы: «С Онегиным он вспоминает / Проказы, шутки прежних лет», — причем герои Пушкина и Заболоцкого, произносящие эти слова, оба пережили судьбоносные перемены в жизни.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В экспозиции второй главы («Монолог в лесу») также содержится пушкинская цитата: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Вокруг него холмы из глины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Подставляют солнцу одни половины.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Другие половины лежат в тени.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И так идут за днями дни.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Последние слова — из «Сказки о мертвой царевне…»: «Им она не прекословит, / Не перечат ей они. / Так идут за днями дни». И в «Сказке…», и в «Безумном волке» они говорятся на фоне похожих пейзажей: поэт завел героя в самую глубину дикого леса.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Важнейшая реминисценция «Монолога в лесу» уже введена в широкий научный оборот. В 1968 году, то есть по следам первопубликации поэмы, И. Смирнов в статье, посвященной «ритмико-фразовым уподоблениям», провел сопоставительный анализ «Завещания» Заболоцкого со стихотворением «Мой дар убог, и голос мой негромок…» Е. Баратынского, а также анализ второй части «Безумного волка» в сопоставлении с «монологами пушкинского “Бориса Годунова”» 9</w:t>
      </w:r>
      <w:r>
        <w:t xml:space="preserve"> </w:t>
      </w:r>
      <w:r w:rsidRPr="00B03319">
        <w:t>. При этом отрывок «Уж десять лет, / Как я живу в избушке…» именуется пародией10</w:t>
      </w:r>
      <w:r>
        <w:t xml:space="preserve"> </w:t>
      </w:r>
      <w:r w:rsidRPr="00B03319">
        <w:t>, наделяемой, впрочем, со ссылкой на Тынянова, «одновременно утверждающим и отрицающим характером отталкивания»11</w:t>
      </w:r>
      <w:r>
        <w:t xml:space="preserve"> </w:t>
      </w:r>
      <w:r w:rsidRPr="00B03319">
        <w:t>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Как пародическую Юрий Тынянов определил ту ситуацию, в которой происходит «применение пародических форм в непародийной функции»12</w:t>
      </w:r>
      <w:r>
        <w:t xml:space="preserve"> </w:t>
      </w:r>
      <w:r w:rsidRPr="00B03319">
        <w:t>. Чтобы определить, в чем же функция этих цитат и реминисценций, остановимся на философском содержании «Безумного волка».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Поэма посвящена — отвлекаясь от анимализации героя — теме преображения человека, переходу его в более одухотворенные сферы бытия, к новым возможностям, а следовательно</w:t>
      </w:r>
      <w:r>
        <w:t xml:space="preserve"> </w:t>
      </w:r>
      <w:r w:rsidRPr="00B03319">
        <w:t>— к большей ответственности за мироздание. В этом плане, а также с учетом гетеанских реминисценций Заболоцкого, авторская оценка «Безумного волка» как «своего “Фауста”», то есть программного произведения, подтверждается. Замысел поэмы сосредоточен на гуманизации бытия, понятой как конкретная и выполнимая задача, как миссия героя-протагониста. В самом деле, Волк, возвысивший дух и очеловечивший свою природу, стал живым примером для всех собратьев, которые ныне предстают «как инженеры, судьи, доктора». Но великий Гладиатор Духа не останавливается на достигнутом, он мечтает о левитации как о следующем качественном скачке, пока недоступном Волкам, — и, увы, становится лишь Великим Летателем Книзу Головой. В заключительном монологе поэмы Волк-Председатель сопоставляет два великих подвига Безумного — свершенный и несбывшийся: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Мечты Безумного нелепы,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Но видит каждый, кто не слеп: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Любой из нас, пекущих хлебы,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Для мира старого нелеп.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Века идут, года уходят,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Но все живущее — не сон: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Оно живет и превосходит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Вчерашней истины закон.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Таким образом, задача, на решение которой Безумный волк нацеливал свои повседневные дела, поистине грандиозна. Она предполагает восхождение всего сущего к высотам одухотворенного бытия: «Туда, на звезды, вперед!» Мы знаем, что гуманизация мироздания была неподдельным, подлинным пафосом всего творчества Заболоцкого, ей посвящены и «Торжество земледелия», и «Лодейников», и «Творцы дорог»; в силовом поле этой космогонической мысли находятся и малые формы Заболоцкого, такие его классические стихотворения разных лет, как «Завещание» и «Прощание с друзьями», «Метаморфозы» и «Не позволяй душе лениться…». Это указывает на автопсихологизм образа Безумного волка, во многом выражающего мировосприятие Николая Заболоцкого13</w:t>
      </w:r>
      <w:r>
        <w:t xml:space="preserve"> </w:t>
      </w:r>
      <w:r w:rsidRPr="00B03319">
        <w:t>, его аксиологию и телеологию.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Какова же оценка героя, по-советски говоря, в свете стоящих перед ним задач? Становясь отшельником, Безумный волк предполагает «дать своей науки плод», и действительно, в начале второй главы он надеется, что «порастряс частицы мирозданья», получил первые результаты своей научно-практической деятельности. Именно в этом месте и проступает вышеупомянутая отсылка к «Борису Годунову». Реминисценция эта развернутая, связанная с несколькими уровнями поэтического текста, то есть прозрачная, рассчитанная на легкое опознание.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Уж десять лет,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Как я живу в избушке.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Читаю книги, песенки пою.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Имею частые с природой разговоры.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Мой ум возвысился и шея зажила.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А дни бегут. Уже седеет шкура,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Спинной хребет трещит по временам.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Крепись, старик. Еще одно усилье,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И ты по воздуху, как пташка, полетишь.</w:t>
      </w:r>
      <w:r>
        <w:t xml:space="preserve"> 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Прецедентным текстом является монолог Пимена из сцены «Ночь. Келья в Чудовом монастыре». Заболоцкий воспроизводит ритмику и белый стих «Бориса Годунова». Кроме того, он использует знаковую цитату: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 xml:space="preserve">Еще одно, последнее сказанье —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 летопись окончена моя,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Исполнен долг, завещанный от Бога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Мне, грешному. Недаром многих лет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Свидетелем Господь меня поставил &lt;…&gt;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Не много лиц мне память сохранила,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Не много слов доходит до меня,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А прочее погибло невозвратно...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На тематическом уровне Заболоцкий, во-первых, воспроизводит рефлективные слова героя о жизненном предназначении. Во-вторых, важно пристальное внимание Пимена/Волка к внешнему миру. Этот мир дан в опыте дискретными фрагментами, но он воссоздается как целое благодаря творческому усилию персонажа (для Пимена это искомое целое — историческая реальность, для Волка — природная).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Как выглядит Безумный на фоне Пимена? Деятельность монаха-летописца понятна, формы ее общепризнанны, цель его ясна и достижима. Безумный, напротив, находится в беспорядочных поисках форм и методов. Он в самом деле «открыл множество законов» и преуспел в некоторых опытах («из растенья воспитал собачку») и наблюдениях («Береза сообщает мне свои переживанья, / Учит управлению веток…»). Однако для окружающих он деятель непунятый («Звери вкруг меня / Ругаются, препятствуют занятьям…») и для самого себя зачастую — маг-неудачник, комичный («Однажды шерсть нечаянно поджег — / Весь зад сгорел, а я живой остался»), нередко в поисках гуманности получающий обратный результат («Из одной березы / Задумал сделать я верблюда … / Головка выросла, а туловища нет»; «При опытах тонул четыре раза...» и проч.).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На фоне несуетного, спокойного, целеустремленного труда Пимена Безумный — несмотря на всю свою одержимость или благодаря ее избытку — выглядит разбросанным, бестолковым, неуспешливым — по-клоунски комичным. В самом деле, он «смешон / Для друзей и юных жен». Так пародическое использование «Годунова» комически окрашивает героя-протагониста с его торопливо-конструктивистским пафосом преобразования природы и жаждой вселенской справедливости. При этом с иронией показано мироощущение самого автора, который сочувствует устремлениям Безумного.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Третья часть поэмы, «Собрание зверей», представляет картину осуществленной мечты. В репликах Председателя и молодых Волков обрисован новый лес, который находится в процессе бурного строительства. Всякое наличное достижение Волков ценится ими не столько само по себе, сколько в качестве ступеньки к следующему этапу преобразовательной деятельности: «Мы, особенным образом складывая перекладины, / Составляем мостик на другой берег земного счастья» и т. п.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Таков полет строителей земли,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Чтобы потомки царствовать могли.</w:t>
      </w:r>
      <w:r>
        <w:t xml:space="preserve"> 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Перед нами развернутая метафора строительства, известная как одна из основополагающих в мышлении ХХ века: «Ассоциация общества со зданием, домом, который человек строит, чтобы в нем жить, присутствует не только в социологии и экономике, но и в обыденном сознании»14</w:t>
      </w:r>
      <w:r>
        <w:t xml:space="preserve"> </w:t>
      </w:r>
      <w:r w:rsidRPr="00B03319">
        <w:t>. Именно эта ассоциация является важной чертой советского мышления, что проявляется, в частности, в представлениях о строительстве социализма, коммунизма и т. п. Метафора общества-сооружения предполагает возможность плана или замысла, допускает произвольный выбор инженерных решений, которые могут быть такими или иными по воле человека. Иначе говоря, такая метафора делает строителя творцом-демиургом, который волен созидать по-своему, основываясь на свободно избранных принципах. Именно такими строителями предстают Волки «нового леса», которые, опираясь на технику и науку, словно на уже сооруженные стропила, готовятся пересоздать бытие по законам гуманизма: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А мы, построив свой квартал,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Волшебный пишем интеграл &lt;…&gt;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А мы, подняв науки меч,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Идем от мира зло отсечь.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Здесь, в итоговой главе «Собрание зверей», возникает еще одна разработанная и прозрачная пушкинская реминисценция. Как и отсылка к «Борису Годунову», она проявлена на разных уровнях поэтического текста, опознается легко и однозначно15</w:t>
      </w:r>
      <w:r>
        <w:t xml:space="preserve"> </w:t>
      </w:r>
      <w:r w:rsidRPr="00B03319">
        <w:t>. Пушкинским «знаком» является адресация к «Пиру во время чумы». Глава построена на сходстве отдельных монологов с претекстом на уровнях метра и белого стиха. Заимствуется также общий принцип неоднородной ритмики произведения. У Пушкина ритмически выделены песня Мери «Было время, процветала…» и гимн Вальсингама в честь чумы: «Когда могущая Зима…», — что, ввиду малого объема трагедии, создает впечатление заметного разнообразия ее стиха. У Заболоцкого каждая реплика третьей главы отличается собственным ритмическим рисунком.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Одновременно, на основе сходства с формой «маленькой трагедии», заимствуется множество сюжетных элементов. Во-первых, это собрание персонажей, посвященное мировоззренческим вопросам. Во-вторых, воспоминание героев о погибшем достойном согражданине (соответственно Джаксон и Безумный волк), — в обоих случаях печальное воспоминание служит отправной точкой диалогов. В-третьих, центральным становится образ Председателя, который выполняет роль резонера: у Пушкина — в песне «Когда могущая Зима…», у Заболоцкого — в монологе, венчающем поэму.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В обоих случаях к Председателю обращается более молодой участник собрания. В «Пире во время чумы» монолог юноши открывает драму: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Молодой человек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Почтенный председатель! Я напомню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 человеке, очень нам знакомом,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 том, чьи шутки, повести смешные,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Ответы острые и замечанья,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Столь едкие в их важности забавной,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Застольную беседу оживляли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 разгоняли мрак, который ныне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Зараза, гостья наша, насылает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На самые блестящие умы.</w:t>
      </w:r>
      <w:r>
        <w:t xml:space="preserve"> 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Реплика юноши в «Собрании зверей» также открывает философскую беседу (ей предшествуют, словно в соответствии с неким протоколом, сначала — песнь о кровавой гибели Безумного, затем — мемуарный монолог Председателя), содержит знаковую цитату, воспроизводит белый стих и ритмический рисунок «Пира…»: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Волк-студент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Мы все скорбим, почтенный председатель,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По поводу безвременной кончины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Безумного. Но я уполномочен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Просить тебя ответить на вопрос,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Предложенный комиссией студентов.</w:t>
      </w:r>
      <w:r>
        <w:t xml:space="preserve">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Таким образом, в главу, которая основана на метафоре общества-сооружения, введен пушкинский образ города чумы (Пушкин указывает в подзаголовке: «Из Вильсоновой трагедии: The city of the plague», то есть переложение фрагмента драматической поэмы Джона Вильсона «Город чумы», актуализированной для Пушкина обстоятельствами холеры 1830 года).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 xml:space="preserve">Метафора чумного города противопоставлена метафоре здания рядом смысловых элементов. Во-первых, противопоставление связано с образом общества. Здание — неживое само по себе, оно поддается изменениям, перепланировке (отсюда образы типа перестройки). Напротив, в ситуации чумы общество мыслится как живой организм, его устройство задано и не подлежит произвольным переделкам. Тогда современники вынуждены считаться с формой социального организма, ибо ее смена может быть только насильственной, хирургической. 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Во-вторых, с разными метафорами связаны разные обстоятельства. В «новом лесу» все преисполнены планов и осуществляют их. В городе чумы властвует слепая, непредсказуемая стихия, исключающая эффективность целенаправленных действий: здесь бесполезно строить планы и созидать. Наконец, стихия чумы — в отличие от инерционных законов природы, обрисованных в первой главе «Безумного волка», — воспринимается как злонамеренная, убийственная по отношению к человеку, безразличная к остальному живому миру и к мирозданию вообще. Естественно, город чумы ассоциируется с больным, неблагополучным, изолированным обществом, которое несет в себе опасность для людей. Несомненно, этот подтекст передает впечатление поэта от социальной действительности рубежа 1920-х и 1930-х (печатный разгром «Столбцов» относится к 1929—1930 годам, в 1930-м творчество обэриутов объявлялось «протестом против диктатуры пролетариата», в конце 1931-го их арестуют).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Итак, «новый лес» оборачивается чумным городом. На кого нацелено острие пародичности? Конечно, на «полет строителей земли», на поборников идеи общества-сооружения, в котором все рукотворно, все подчинено доброй воле человека-творца. Такое пародическое использование «Пира во время чумы» логично считать перепевом16, который, подобно сатирам «шестидесятников» XIX века, направлен «на объект сатиры», на общественные беды.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Однако анализ поэмы показывает, что реальная картина еще сложнее. Ведь строительство «стеклянного здания леса» мыслится как необходимый этап гуманизации вселенной, одухотворения мира. Это аксиологический приоритет, который для автора-атеиста замещает Бога в ценностном и нравственном смысле. Значит, низведение нового леса до города чумы — это снижение того, что свято для самого автора, и в этом отношении оно сближено с сакральным смехом античности и средневековья. Одновременно сам автор со своей мечтой о «полете строителей земли» оказывается под ударом, то есть развенчание может быть отнесено и к нему самому: «Пусть отдыхает твоя обезумевшая от мыслей голова!» Это сближает тип пародичности во второй и третьей главах: в обеих она нацелена на субъект высказывания, на себя самое.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В свете теории пародического использования мировосприятие автора «Безумного волка» предстает двойственным, амбивалентным. Он восхваляет изобретателя-творца, преобразователя мира во имя гуманизма — и показывает его нелепо-смешным создателем гомункулов-уродов. Он славит «новый лес» и его строителей — а одновременно видит в нем черты больного общества, которое поражено неисцелимым и смертельно опасным недугом. Заболоцкий подвергает перепроверке собственное мироощущение и понимание роли человека в мире. Такова истинная картина художественного видения Заболоцкого на рубеже 1920 и 1930-х годов.</w:t>
      </w:r>
    </w:p>
    <w:p w:rsidR="00DA10D6" w:rsidRDefault="00DA10D6" w:rsidP="00DA10D6">
      <w:pPr>
        <w:spacing w:before="120"/>
        <w:ind w:firstLine="567"/>
        <w:jc w:val="both"/>
      </w:pPr>
      <w:r w:rsidRPr="00B03319">
        <w:t>Быть может, именно в этой неоднозначности кроется причина мощного воздействия, которое ныне, по словам поэтов, оказывает на них Заболоцкий. Его влияние «всегда креативно», это «влияние-трамплин», «влияние-дрожжи»17</w:t>
      </w:r>
      <w:r>
        <w:t xml:space="preserve"> </w:t>
      </w:r>
      <w:r w:rsidRPr="00B03319">
        <w:t>, он стимулирует мысль и художественный поиск, а не предлагает образец для узнаваемого, но слепого подражания. Таким авторитетом наделена поэзия вопросов, а не ответов, поиска, а не готовых решений, наконец, самоиронии, а не самоапологии.</w:t>
      </w:r>
      <w:r>
        <w:t xml:space="preserve"> </w:t>
      </w:r>
    </w:p>
    <w:p w:rsidR="00DA10D6" w:rsidRPr="00DA10D6" w:rsidRDefault="00DA10D6" w:rsidP="00DA10D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36036B">
        <w:rPr>
          <w:b/>
          <w:bCs/>
          <w:sz w:val="28"/>
          <w:szCs w:val="28"/>
        </w:rPr>
        <w:t>Список</w:t>
      </w:r>
      <w:r w:rsidRPr="00DA10D6">
        <w:rPr>
          <w:b/>
          <w:bCs/>
          <w:sz w:val="28"/>
          <w:szCs w:val="28"/>
          <w:lang w:val="en-US"/>
        </w:rPr>
        <w:t xml:space="preserve"> </w:t>
      </w:r>
      <w:r w:rsidRPr="0036036B">
        <w:rPr>
          <w:b/>
          <w:bCs/>
          <w:sz w:val="28"/>
          <w:szCs w:val="28"/>
        </w:rPr>
        <w:t>литературы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rPr>
          <w:lang w:val="en-US"/>
        </w:rPr>
        <w:t xml:space="preserve">1 Goldstein Darra. Nikolai Zabolotsky: Play for mortal stakes. </w:t>
      </w:r>
      <w:r w:rsidRPr="00B03319">
        <w:t>Cambridge University press, 1993.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2 Тут допущен простительный иностранцу анахронизм: Научно-техническая революция — современница позднего Заболоцкого, а во времена создания «Безумного волка» это называлось индустриализацией.</w:t>
      </w:r>
    </w:p>
    <w:p w:rsidR="00DA10D6" w:rsidRPr="00B03319" w:rsidRDefault="00DA10D6" w:rsidP="00DA10D6">
      <w:pPr>
        <w:spacing w:before="120"/>
        <w:ind w:firstLine="567"/>
        <w:jc w:val="both"/>
        <w:rPr>
          <w:lang w:val="en-US"/>
        </w:rPr>
      </w:pPr>
      <w:r w:rsidRPr="00B03319">
        <w:rPr>
          <w:lang w:val="en-US"/>
        </w:rPr>
        <w:t xml:space="preserve">3 Goldstein Darra. Op. </w:t>
      </w:r>
      <w:r w:rsidRPr="00B03319">
        <w:t>с</w:t>
      </w:r>
      <w:r w:rsidRPr="00B03319">
        <w:rPr>
          <w:lang w:val="en-US"/>
        </w:rPr>
        <w:t>it. P. 176.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4 Заболоцкий Ник. Московское десятилетие: глава биографии Н.</w:t>
      </w:r>
      <w:r>
        <w:t xml:space="preserve"> </w:t>
      </w:r>
      <w:r w:rsidRPr="00B03319">
        <w:t>А.</w:t>
      </w:r>
      <w:r>
        <w:t xml:space="preserve"> </w:t>
      </w:r>
      <w:r w:rsidRPr="00B03319">
        <w:t>Заболоцкого // Московский вестник. 1991. № 1. С. 282; Заболоцкий Ник. Жизнь Н. А. Заболоцкого. М.: Согласие, 1998. С. 476—477.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 xml:space="preserve">5 В новейших работах, касающихся этой проблемы, выявлены новые аспекты гетеанского контекста, приоритетного для Заболоцкого (ср.: Pratt Sarah. </w:t>
      </w:r>
      <w:r w:rsidRPr="00B03319">
        <w:rPr>
          <w:lang w:val="en-US"/>
        </w:rPr>
        <w:t xml:space="preserve">Nikolai Zabolotsky: Enigma and Cultural Paradigm. Evanston, Illinois: Northwestern university press, 2000. </w:t>
      </w:r>
      <w:r w:rsidRPr="00B03319">
        <w:t>P. 27). Показано, что гетеанский контекст шире, чем адресация только к “Фаусту”; в частности, для художественной системы Заболоцкого актуальны вертеровские мотивы (Шайтанов И. “Лодейников”: ассоциативный план сюжета // Вопросы литературы. 2003. № 6).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6 “Внемли! Раскалываются колонны вечнозеленого дворца” (см.: Заболоцкий Н. Полн. cобр. стихотворений и поэм. СПб.: Академический проект, 2002. С. 630).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7 “Безумный волк” цитируется по: Заболоцкий Н. Указ. соч. Все курсивы в цитатах мои. — С. Б.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8 Д. Голдстейн сопоставляет эти слова Волка со строчкой пушкинского Пимена из «Бориса Годунова»: «Безумные потехи юных лет», а слова Волка: «Я многих сам перекусал, / Когда роскошен был и молод»</w:t>
      </w:r>
      <w:r>
        <w:t xml:space="preserve"> </w:t>
      </w:r>
      <w:r w:rsidRPr="00B03319">
        <w:t>— тоже с Пименом: «Я долго жил и многим насладился» (Goldstein Darra. Op. сit. P. 182, 283). Исследовательница также отмечает: «Хотя другие отголоски Пушкина встречаются в поэме, они слишком многочисленны, чтобы включать их (все) в этот обзор» (Ibid. P. 283). Множественность возможных ассоциаций закономерна, особенно в контексте новейших исследований о «языковом интертексте» (см.: Гаспаров М. Литературный интертекст и языковой интертекст // ИАН СЛЯ. Т. 61. 2002. № 4. С. 3—9).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9 Смирнов И. О ритмико-фразовых уподоблениях в стихах // Теория стиха. Л.: Наука, 1968. С. 223.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10 Похожее истолкование, и тоже с оговоркой его терминологической неточности, было предложено для более ранних случаев пародичности у Заболоцкого. Ср.: «В мозаичном искусстве раннего Заболоцкого изменяется сама функция литературной пародии, как бы стирается ее отрицательный знак — пародия становится позитивным инструментом поэтического движения, утрачивает чисто служебное амплуа оружия внутрилитературной борьбы. Пародия в “Столбцах” Заболоцкого проникает в экзистенциальную область, что ставит поэта в ряд несомненных предшественников современных постмодернистских тенденций в искусстве, крепко настоянных на высокой философской иронии» (Пурин А. Метаморфозы гармонии // Н. Заболоцкий. Столбцы, стихотворения, поэмы. СПб.: Северо-Запад, 1993. С. 13).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11 Смирнов И. Указ. соч. С. 223.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12 Тынянов Ю. О пародии // Тынянов Ю. Поэтика. История литературы. Кино. М.: Наука, 1977. С. 290.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13 Прямое выражение взглядов автора в поэме отчасти отметила отечественная критика. Ср.: «Председатель, явно выражающий взгляды самого Заболоцкого, произносит речь — гимн историческому прогрессу, ходу времени, которое осуществляет самые, казалось бы, безумные мечты» (Македонов А. Николай Заболоцкий: Жизнь. Творчество. Метаморфозы. Л.: Советский писатель, 1987. С. 158).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14 Арутюнова Н. Метафора и дискурс // Теория метафоры. М.: Прогресс, 1990. С. 15.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15 Тот факт, что нижеуказанная реминисценция не является пока достоянием самого широкого научного обсуждения, мы склонны относить исключительно за счет «задержанности» поэмы, которая привела к многочисленным деформациям ее восприятия широким читателем.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16 «Широко известная сюжетная схема, ритмико-синтаксическая структура стихотворения, слегка измененная словесная формула применяются к высмеиваемому в сатире материалу, и неожиданность такого применения создает комический эффект. Однако смех направлен не против литературного источника “перепева”, а против объекта сатиры» (Ямпольский И. Поэты «Искры» // Поэты «Искры». Л.: Советский писатель, 1939. С. XLIII).</w:t>
      </w:r>
    </w:p>
    <w:p w:rsidR="00DA10D6" w:rsidRPr="00B03319" w:rsidRDefault="00DA10D6" w:rsidP="00DA10D6">
      <w:pPr>
        <w:spacing w:before="120"/>
        <w:ind w:firstLine="567"/>
        <w:jc w:val="both"/>
      </w:pPr>
      <w:r w:rsidRPr="00B03319">
        <w:t>17 Бек Т. Николай Заболоцкий: далее везде // Знамя. 2003. № 11. С. 194—95. Курсив и жирный шрифт — Т.Б.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0D6"/>
    <w:rsid w:val="0036036B"/>
    <w:rsid w:val="005817CE"/>
    <w:rsid w:val="006E5C70"/>
    <w:rsid w:val="00B03319"/>
    <w:rsid w:val="00B42C45"/>
    <w:rsid w:val="00D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DA920-8373-4325-81D7-624CEE1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D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14131</Words>
  <Characters>8056</Characters>
  <Application>Microsoft Office Word</Application>
  <DocSecurity>0</DocSecurity>
  <Lines>67</Lines>
  <Paragraphs>44</Paragraphs>
  <ScaleCrop>false</ScaleCrop>
  <Company>Home</Company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Пародическое цитирование в «Безумном волке» Н</dc:title>
  <dc:subject/>
  <dc:creator>User</dc:creator>
  <cp:keywords/>
  <dc:description/>
  <cp:lastModifiedBy>admin</cp:lastModifiedBy>
  <cp:revision>2</cp:revision>
  <dcterms:created xsi:type="dcterms:W3CDTF">2014-01-25T13:46:00Z</dcterms:created>
  <dcterms:modified xsi:type="dcterms:W3CDTF">2014-01-25T13:46:00Z</dcterms:modified>
</cp:coreProperties>
</file>