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Министерство образования и науки Российской Федерации</w:t>
      </w:r>
    </w:p>
    <w:p w:rsidR="00323A0A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 w:rsidRPr="00323A0A">
        <w:rPr>
          <w:bCs/>
          <w:sz w:val="28"/>
          <w:szCs w:val="28"/>
        </w:rPr>
        <w:t>Федеральное агентство по образованию</w:t>
      </w:r>
      <w:r w:rsidR="00323A0A" w:rsidRPr="00323A0A">
        <w:rPr>
          <w:bCs/>
          <w:sz w:val="28"/>
          <w:szCs w:val="28"/>
        </w:rPr>
        <w:t xml:space="preserve"> </w:t>
      </w:r>
      <w:r w:rsidRPr="00323A0A">
        <w:rPr>
          <w:bCs/>
          <w:sz w:val="28"/>
          <w:szCs w:val="28"/>
        </w:rPr>
        <w:t>ГОУ ВПО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«Уральский государственный технический университет – УПИ»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Факультет ускоренного обучения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Кафедра «Экономика и организация производства»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5812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Оценка _________________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5812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Члены комиссии _________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5812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________________________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Курсовой проект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По дисциплине: Финансовый менеджмент</w:t>
      </w:r>
    </w:p>
    <w:p w:rsidR="001E2730" w:rsidRPr="00323A0A" w:rsidRDefault="001E2730" w:rsidP="00323A0A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На тему: Политика управления заемными источниками финансирования ОАО «СиТЗ»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Руководитель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доцент, к. э. н.</w:t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  <w:t>Н.В. Гузанова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 xml:space="preserve">Студент 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группы СПВ -45041ук</w:t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</w:r>
      <w:r w:rsidRPr="00323A0A">
        <w:rPr>
          <w:bCs/>
          <w:sz w:val="28"/>
          <w:szCs w:val="28"/>
        </w:rPr>
        <w:tab/>
        <w:t>О.А.Шушарина</w:t>
      </w: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0182" w:rsidRPr="00323A0A" w:rsidRDefault="00D30182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2730" w:rsidRPr="00323A0A" w:rsidRDefault="001E2730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Екатеринбург</w:t>
      </w:r>
      <w:r w:rsidR="00B71F3B">
        <w:rPr>
          <w:bCs/>
          <w:sz w:val="28"/>
          <w:szCs w:val="28"/>
        </w:rPr>
        <w:t xml:space="preserve"> </w:t>
      </w:r>
      <w:r w:rsidRPr="00323A0A">
        <w:rPr>
          <w:bCs/>
          <w:sz w:val="28"/>
          <w:szCs w:val="28"/>
        </w:rPr>
        <w:t>2008</w:t>
      </w:r>
    </w:p>
    <w:p w:rsidR="00082EE9" w:rsidRPr="00323A0A" w:rsidRDefault="00D30182" w:rsidP="00323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28"/>
          <w:szCs w:val="28"/>
        </w:rPr>
      </w:pPr>
      <w:bookmarkStart w:id="0" w:name="OLE_LINK1"/>
      <w:bookmarkStart w:id="1" w:name="OLE_LINK2"/>
      <w:r w:rsidRPr="00323A0A">
        <w:rPr>
          <w:bCs/>
          <w:sz w:val="28"/>
          <w:szCs w:val="28"/>
        </w:rPr>
        <w:br w:type="page"/>
      </w:r>
      <w:r w:rsidR="00082EE9" w:rsidRPr="00323A0A">
        <w:rPr>
          <w:b/>
          <w:bCs/>
          <w:caps/>
          <w:sz w:val="28"/>
          <w:szCs w:val="28"/>
        </w:rPr>
        <w:lastRenderedPageBreak/>
        <w:t>Содержание</w:t>
      </w:r>
    </w:p>
    <w:p w:rsidR="00082EE9" w:rsidRPr="00323A0A" w:rsidRDefault="00082EE9" w:rsidP="00323A0A">
      <w:pPr>
        <w:pStyle w:val="11"/>
        <w:spacing w:before="0" w:after="0"/>
        <w:jc w:val="both"/>
        <w:rPr>
          <w:sz w:val="28"/>
          <w:szCs w:val="28"/>
        </w:rPr>
      </w:pP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ВВЕДЕНИЕ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1</w:t>
      </w:r>
      <w:r w:rsidR="00B71F3B" w:rsidRPr="00B71F3B">
        <w:rPr>
          <w:sz w:val="28"/>
          <w:szCs w:val="28"/>
        </w:rPr>
        <w:t>.</w:t>
      </w:r>
      <w:r w:rsidR="00B71F3B">
        <w:rPr>
          <w:sz w:val="28"/>
          <w:szCs w:val="28"/>
        </w:rPr>
        <w:t xml:space="preserve"> </w:t>
      </w:r>
      <w:r w:rsidRPr="00323A0A">
        <w:rPr>
          <w:sz w:val="28"/>
          <w:szCs w:val="28"/>
        </w:rPr>
        <w:t>АНАЛИЗ ФИНАНСОВОГО СОСТОЯНИЯ ДЛЯ РАЗРАБОТКИ ФИНАНСОВОЙ ПОЛИТИКИ ОАО «СИТЗ»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1.1. Расчет финансовых коэффициентов и их интерпретация.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1.2. Основные проблемы по исходной информации и оценке.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2 РАЗРАБОТКА ЗАЕМНОЙ ПОЛИТИКИ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2.1. Содержание политики управления источниками.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2.2. Анализ структуры источников финансирования предприятия и эффективности использования заемных средств.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2.3. Анализ факторов, влияющих на структуру источников финансирования.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2.4. Организационные аспекты реализации политики.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3</w:t>
      </w:r>
      <w:r w:rsidR="00335543">
        <w:rPr>
          <w:sz w:val="28"/>
          <w:szCs w:val="28"/>
          <w:lang w:val="en-US"/>
        </w:rPr>
        <w:t>.</w:t>
      </w:r>
      <w:r w:rsidRPr="00323A0A">
        <w:rPr>
          <w:sz w:val="28"/>
          <w:szCs w:val="28"/>
        </w:rPr>
        <w:t xml:space="preserve"> ПРОГНОЗИРОВАНИЕ ФИНАНСОВЫХ ПОКАЗАТЕЛЕЙ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3.1. Определение потребностей предприятия во внешних источниках финансирования (метод процента от продаж)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3.2. Составление БДДС (косвенным методом)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3.3. Расчет возможного роста объема продаж (модель устойчивого экономического роста).</w:t>
      </w:r>
    </w:p>
    <w:p w:rsidR="00323A0A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ЗАКЛЮЧЕНИЕ</w:t>
      </w:r>
    </w:p>
    <w:p w:rsidR="001E2730" w:rsidRPr="00323A0A" w:rsidRDefault="00323A0A" w:rsidP="00323A0A">
      <w:pPr>
        <w:spacing w:line="360" w:lineRule="auto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СПИСОК ИСПОЛЬЗОВАННЫХ ИСТОЧНИКОВ</w:t>
      </w:r>
    </w:p>
    <w:p w:rsidR="001E2730" w:rsidRPr="00323A0A" w:rsidRDefault="00A4494E" w:rsidP="00B71F3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88745365"/>
      <w:bookmarkEnd w:id="0"/>
      <w:bookmarkEnd w:id="1"/>
      <w:r w:rsidRPr="00323A0A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24200618"/>
      <w:r w:rsidR="001E2730" w:rsidRPr="00323A0A">
        <w:rPr>
          <w:rFonts w:ascii="Times New Roman" w:hAnsi="Times New Roman" w:cs="Times New Roman"/>
          <w:sz w:val="28"/>
          <w:szCs w:val="28"/>
        </w:rPr>
        <w:t>Введение</w:t>
      </w:r>
      <w:bookmarkEnd w:id="2"/>
      <w:bookmarkEnd w:id="3"/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 настоящее время в условиях рыночной экономики важное значение имеет эффективная политика управления заемными средствами. Ушло в прошлое государственное планирование работы предприятий. В новых условиях выживание возможно только при увеличении эффективности работы предприятия, минимизации издержек, максимизации прибыли, оптимальном соотношении заемных и собственных средств. В этой связи тема курсового проекта представляется актуальной.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Тема курсового проекта исследована на основании отчётных данных ОАО «СиТЗ» за 2005-2006 гг. с поправками, приведенными в Методических указаниях к написанию курсового проекта.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Цель данного курсового проекта является выявление путей и резервов повышения эффективности использования заёмных средств на ОАО «СиТЗ», а также изучение влияние изменения структуры источников финансирования на благосостояние предприятия.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Для достижения цели необходимо решить следующие задачи: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- изучить сущность и значение заёмных средств и их источников финансирования;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- провести комплексный финансовый анализ деятельности организации.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- изучить состав и структуру кредиторской задолженности;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- изучить состав и структуру источников финансирования;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- определить показатели эффективности заёмных средств; 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- определить потребность в заёмных средствах;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- определить рациональную политику привлечения заёмных средств; 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- выработать эффективную политику управления заемными средствами.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Информационной базой для курсовой работы послужили отчетные бухгалтерские балансы за 2005-2006 годов, отчеты о прибылях и убытках, о движении капитала, о движении денежных средств и другие формы отчетности, данные бухгалтерского учета, которые расшифровывают и детализируют отдельные статьи баланса, калькуляции финансового состояния предприятия, а также различные методические источники и периодические издания.</w:t>
      </w:r>
    </w:p>
    <w:p w:rsidR="001E2730" w:rsidRPr="00323A0A" w:rsidRDefault="00A10F1C" w:rsidP="00B71F3B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88745366"/>
      <w:r w:rsidRPr="00323A0A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5" w:name="_Toc224200619"/>
      <w:r w:rsidR="001E2730" w:rsidRPr="00323A0A">
        <w:rPr>
          <w:rFonts w:ascii="Times New Roman" w:hAnsi="Times New Roman" w:cs="Times New Roman"/>
          <w:sz w:val="28"/>
          <w:szCs w:val="28"/>
        </w:rPr>
        <w:t>1</w:t>
      </w:r>
      <w:r w:rsidR="00B71F3B" w:rsidRPr="00B71F3B">
        <w:rPr>
          <w:rFonts w:ascii="Times New Roman" w:hAnsi="Times New Roman" w:cs="Times New Roman"/>
          <w:sz w:val="28"/>
          <w:szCs w:val="28"/>
        </w:rPr>
        <w:t>.</w:t>
      </w:r>
      <w:r w:rsidR="00B71F3B">
        <w:rPr>
          <w:rFonts w:ascii="Times New Roman" w:hAnsi="Times New Roman" w:cs="Times New Roman"/>
          <w:sz w:val="28"/>
          <w:szCs w:val="28"/>
        </w:rPr>
        <w:t xml:space="preserve"> </w:t>
      </w:r>
      <w:r w:rsidR="001E2730" w:rsidRPr="00323A0A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</w:t>
      </w:r>
      <w:bookmarkEnd w:id="4"/>
      <w:r w:rsidR="00746FA8" w:rsidRPr="00323A0A">
        <w:rPr>
          <w:rFonts w:ascii="Times New Roman" w:hAnsi="Times New Roman" w:cs="Times New Roman"/>
          <w:sz w:val="28"/>
          <w:szCs w:val="28"/>
        </w:rPr>
        <w:t>для разработки финансовой политики ОАО «СиТЗ»</w:t>
      </w:r>
      <w:bookmarkEnd w:id="5"/>
    </w:p>
    <w:p w:rsidR="001E2730" w:rsidRPr="00323A0A" w:rsidRDefault="001E2730" w:rsidP="00323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2730" w:rsidRPr="00B71F3B" w:rsidRDefault="00A10F1C" w:rsidP="0031228B">
      <w:pPr>
        <w:pStyle w:val="3"/>
      </w:pPr>
      <w:bookmarkStart w:id="6" w:name="_Toc224200620"/>
      <w:r w:rsidRPr="00323A0A">
        <w:t xml:space="preserve">1.1. </w:t>
      </w:r>
      <w:r w:rsidR="001E2730" w:rsidRPr="00323A0A">
        <w:t>Расчет финансовых коэффициентов и их интерпретация</w:t>
      </w:r>
      <w:bookmarkEnd w:id="6"/>
    </w:p>
    <w:p w:rsidR="001E2730" w:rsidRPr="00323A0A" w:rsidRDefault="001E2730" w:rsidP="00323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Методика анализа финансового состояния организаций по методическим указаниям ФСФО (Приказ ФСФО РФ №16) применяется с целью получения объективной оценки их платежеспособности, финансовой устойчивости, деловой и инвестиционной активности, эффективности деятельности следующими пользователями:</w:t>
      </w:r>
    </w:p>
    <w:p w:rsidR="001E2730" w:rsidRPr="00323A0A" w:rsidRDefault="00A10F1C" w:rsidP="00323A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Коммерческими предприятиями;</w:t>
      </w:r>
      <w:r w:rsidR="001E2730" w:rsidRPr="00323A0A">
        <w:rPr>
          <w:sz w:val="28"/>
          <w:szCs w:val="28"/>
        </w:rPr>
        <w:t xml:space="preserve"> </w:t>
      </w:r>
    </w:p>
    <w:p w:rsidR="001E2730" w:rsidRPr="00323A0A" w:rsidRDefault="00A10F1C" w:rsidP="00323A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Банками;</w:t>
      </w:r>
    </w:p>
    <w:p w:rsidR="001E2730" w:rsidRPr="00323A0A" w:rsidRDefault="00A10F1C" w:rsidP="00323A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Аудиторскими компаниями;</w:t>
      </w:r>
    </w:p>
    <w:p w:rsidR="001E2730" w:rsidRPr="00323A0A" w:rsidRDefault="001E2730" w:rsidP="00323A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Государственными предприят</w:t>
      </w:r>
      <w:r w:rsidR="00A10F1C" w:rsidRPr="00323A0A">
        <w:rPr>
          <w:sz w:val="28"/>
          <w:szCs w:val="28"/>
        </w:rPr>
        <w:t>иями;</w:t>
      </w:r>
    </w:p>
    <w:p w:rsidR="00A10F1C" w:rsidRPr="00323A0A" w:rsidRDefault="001E2730" w:rsidP="00323A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Сотрудниками ФСФО России - для анализа финансового состояния организаций при выполнении экспертизы и составлении заключений по соответствующим вопросам, проведении мониторинга финансового состояния организаций, осуществлении иных функций ФСФО России.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</w:p>
    <w:p w:rsidR="001E2730" w:rsidRPr="00323A0A" w:rsidRDefault="001E2730" w:rsidP="00B71F3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323A0A">
        <w:rPr>
          <w:b/>
          <w:bCs/>
          <w:i/>
          <w:iCs/>
          <w:sz w:val="28"/>
          <w:szCs w:val="28"/>
        </w:rPr>
        <w:t>Суть методики</w:t>
      </w:r>
    </w:p>
    <w:p w:rsidR="00A10F1C" w:rsidRPr="00323A0A" w:rsidRDefault="00A10F1C" w:rsidP="00323A0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Для проведения анализа финансового состояния организаций используются р</w:t>
      </w:r>
      <w:r w:rsidR="002B7D3B" w:rsidRPr="00323A0A">
        <w:rPr>
          <w:sz w:val="28"/>
          <w:szCs w:val="28"/>
        </w:rPr>
        <w:t>яд показателей</w:t>
      </w:r>
      <w:r w:rsidRPr="00323A0A">
        <w:rPr>
          <w:sz w:val="28"/>
          <w:szCs w:val="28"/>
        </w:rPr>
        <w:t>, характеризующих различные аспекты деятельности организации, а именно:</w:t>
      </w:r>
    </w:p>
    <w:p w:rsidR="001E2730" w:rsidRPr="00323A0A" w:rsidRDefault="001E2730" w:rsidP="00323A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Общие показатели</w:t>
      </w:r>
      <w:r w:rsidR="00A10F1C" w:rsidRPr="00323A0A">
        <w:rPr>
          <w:sz w:val="28"/>
          <w:szCs w:val="28"/>
        </w:rPr>
        <w:t>;</w:t>
      </w:r>
    </w:p>
    <w:p w:rsidR="001E2730" w:rsidRPr="00323A0A" w:rsidRDefault="001E2730" w:rsidP="00323A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Показатели платежеспособ</w:t>
      </w:r>
      <w:r w:rsidR="00A10F1C" w:rsidRPr="00323A0A">
        <w:rPr>
          <w:sz w:val="28"/>
          <w:szCs w:val="28"/>
        </w:rPr>
        <w:t>ности и финансовой устойчивости;</w:t>
      </w:r>
    </w:p>
    <w:p w:rsidR="001E2730" w:rsidRPr="00323A0A" w:rsidRDefault="001E2730" w:rsidP="00323A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Показатели эффективности ис</w:t>
      </w:r>
      <w:r w:rsidR="00A10F1C" w:rsidRPr="00323A0A">
        <w:rPr>
          <w:sz w:val="28"/>
          <w:szCs w:val="28"/>
        </w:rPr>
        <w:t xml:space="preserve">пользования оборотного капитала </w:t>
      </w:r>
      <w:r w:rsidRPr="00323A0A">
        <w:rPr>
          <w:sz w:val="28"/>
          <w:szCs w:val="28"/>
        </w:rPr>
        <w:t>(деловой активности), доходности и финансов</w:t>
      </w:r>
      <w:r w:rsidR="00A10F1C" w:rsidRPr="00323A0A">
        <w:rPr>
          <w:sz w:val="28"/>
          <w:szCs w:val="28"/>
        </w:rPr>
        <w:t>ого результата (рентабельности);</w:t>
      </w:r>
    </w:p>
    <w:p w:rsidR="001E2730" w:rsidRPr="00323A0A" w:rsidRDefault="001E2730" w:rsidP="00323A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Показатели эффективности использования внеоборотного капитала и инвест</w:t>
      </w:r>
      <w:r w:rsidR="00A10F1C" w:rsidRPr="00323A0A">
        <w:rPr>
          <w:sz w:val="28"/>
          <w:szCs w:val="28"/>
        </w:rPr>
        <w:t>иционной активности организации;</w:t>
      </w:r>
    </w:p>
    <w:p w:rsidR="001E2730" w:rsidRPr="00323A0A" w:rsidRDefault="001E2730" w:rsidP="00323A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Показатели исполнения обязательств перед бюджетом и государственными внебюджетными фондами</w:t>
      </w:r>
      <w:r w:rsidR="00A10F1C" w:rsidRPr="00323A0A">
        <w:rPr>
          <w:sz w:val="28"/>
          <w:szCs w:val="28"/>
        </w:rPr>
        <w:t>.</w:t>
      </w:r>
      <w:r w:rsidRPr="00323A0A">
        <w:rPr>
          <w:sz w:val="28"/>
          <w:szCs w:val="28"/>
        </w:rPr>
        <w:t xml:space="preserve"> </w:t>
      </w:r>
    </w:p>
    <w:p w:rsidR="001E2730" w:rsidRPr="00323A0A" w:rsidRDefault="001E27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 качестве исходных данных используется информация из бухгалтерского баланса (Форма №1), отчета о прибылях и убытках (Форма №2), а также ряд показателей, вводимых в исходной таблице дополнительные данные. Применение методики в Audit Expert заключается в проведении анализа на основании аналитической таблицы Анализ по методике ФСФО (Приказ ФСФО РФ №16). Используются стандартные приемы финансового анализа: горизонтальный и вертикальный анализ.</w:t>
      </w:r>
    </w:p>
    <w:p w:rsidR="00746FA8" w:rsidRPr="00323A0A" w:rsidRDefault="00746FA8" w:rsidP="00323A0A">
      <w:pPr>
        <w:spacing w:line="360" w:lineRule="auto"/>
        <w:ind w:firstLine="709"/>
        <w:jc w:val="both"/>
        <w:rPr>
          <w:sz w:val="28"/>
          <w:szCs w:val="28"/>
        </w:rPr>
      </w:pPr>
    </w:p>
    <w:p w:rsidR="0029577B" w:rsidRPr="00323A0A" w:rsidRDefault="00746FA8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Таблица 1 – Основные финансовые коэффициенты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616"/>
        <w:gridCol w:w="1753"/>
        <w:gridCol w:w="1797"/>
      </w:tblGrid>
      <w:tr w:rsidR="00746FA8" w:rsidRPr="00F93137" w:rsidTr="00F93137">
        <w:trPr>
          <w:trHeight w:val="528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746FA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746FA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FA8" w:rsidRPr="00F93137" w:rsidRDefault="00746FA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746FA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Нормативы</w:t>
            </w:r>
          </w:p>
        </w:tc>
      </w:tr>
      <w:tr w:rsidR="00614075" w:rsidRPr="00F93137" w:rsidTr="00F93137">
        <w:trPr>
          <w:trHeight w:val="206"/>
          <w:jc w:val="center"/>
        </w:trPr>
        <w:tc>
          <w:tcPr>
            <w:tcW w:w="8774" w:type="dxa"/>
            <w:gridSpan w:val="4"/>
            <w:shd w:val="clear" w:color="auto" w:fill="auto"/>
            <w:vAlign w:val="center"/>
          </w:tcPr>
          <w:p w:rsidR="00614075" w:rsidRPr="00F93137" w:rsidRDefault="00614075" w:rsidP="00F93137">
            <w:pPr>
              <w:jc w:val="both"/>
              <w:rPr>
                <w:b/>
                <w:bCs/>
                <w:sz w:val="20"/>
                <w:szCs w:val="20"/>
              </w:rPr>
            </w:pPr>
            <w:r w:rsidRPr="00F93137">
              <w:rPr>
                <w:b/>
                <w:bCs/>
                <w:sz w:val="20"/>
                <w:szCs w:val="20"/>
                <w:lang w:val="en-US"/>
              </w:rPr>
              <w:t>I.</w:t>
            </w:r>
            <w:r w:rsidRPr="00F93137">
              <w:rPr>
                <w:b/>
                <w:bCs/>
                <w:sz w:val="20"/>
                <w:szCs w:val="20"/>
              </w:rPr>
              <w:t xml:space="preserve"> Показатели ликвидности</w:t>
            </w:r>
          </w:p>
        </w:tc>
      </w:tr>
      <w:tr w:rsidR="00746FA8" w:rsidRPr="00F93137" w:rsidTr="00F93137">
        <w:trPr>
          <w:trHeight w:val="619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1. Общий коэффициент покрытия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28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30.75pt" o:ole="">
                  <v:imagedata r:id="rId7" o:title=""/>
                </v:shape>
                <o:OLEObject Type="Embed" ProgID="Equation.3" ShapeID="_x0000_i1025" DrawAspect="Content" ObjectID="_1458747501" r:id="rId8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E005F" w:rsidRPr="00F93137" w:rsidRDefault="004E005F" w:rsidP="00F93137">
            <w:pPr>
              <w:jc w:val="both"/>
              <w:rPr>
                <w:sz w:val="20"/>
                <w:szCs w:val="20"/>
                <w:lang w:eastAsia="zh-CN"/>
              </w:rPr>
            </w:pPr>
            <w:r w:rsidRPr="00F93137">
              <w:rPr>
                <w:sz w:val="20"/>
                <w:szCs w:val="20"/>
              </w:rPr>
              <w:t xml:space="preserve">На нач.2006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  <w:lang w:eastAsia="zh-CN"/>
              </w:rPr>
              <w:t>1,02</w:t>
            </w:r>
          </w:p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На кон.2006</w:t>
            </w:r>
            <w:r w:rsidRPr="00F93137">
              <w:rPr>
                <w:sz w:val="20"/>
                <w:szCs w:val="20"/>
                <w:lang w:eastAsia="zh-CN"/>
              </w:rPr>
              <w:t xml:space="preserve"> </w:t>
            </w:r>
            <w:r w:rsidR="00724674" w:rsidRPr="00F93137">
              <w:rPr>
                <w:sz w:val="20"/>
                <w:szCs w:val="20"/>
                <w:lang w:eastAsia="zh-CN"/>
              </w:rPr>
              <w:t>=</w:t>
            </w:r>
            <w:r w:rsidRPr="00F93137">
              <w:rPr>
                <w:sz w:val="20"/>
                <w:szCs w:val="20"/>
                <w:lang w:eastAsia="zh-CN"/>
              </w:rPr>
              <w:t>2,05</w:t>
            </w:r>
          </w:p>
          <w:p w:rsidR="00746FA8" w:rsidRPr="00F93137" w:rsidRDefault="00746FA8" w:rsidP="00F931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От 1 до 2</w:t>
            </w:r>
          </w:p>
        </w:tc>
      </w:tr>
      <w:tr w:rsidR="00746FA8" w:rsidRPr="00F93137" w:rsidTr="00F93137">
        <w:trPr>
          <w:trHeight w:val="564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2. Коэффициент срочной ликвидности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3400" w:dyaOrig="620">
                <v:shape id="_x0000_i1026" type="#_x0000_t75" style="width:170.25pt;height:30.75pt" o:ole="">
                  <v:imagedata r:id="rId9" o:title=""/>
                </v:shape>
                <o:OLEObject Type="Embed" ProgID="Equation.3" ShapeID="_x0000_i1026" DrawAspect="Content" ObjectID="_1458747502" r:id="rId10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FA8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нач.2006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0,30</w:t>
            </w:r>
          </w:p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кон.2006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0,93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От 1 и выше</w:t>
            </w:r>
          </w:p>
        </w:tc>
      </w:tr>
      <w:tr w:rsidR="00746FA8" w:rsidRPr="00F93137" w:rsidTr="00F93137">
        <w:trPr>
          <w:trHeight w:val="63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3. Коэффициент ликвидности при мобилизации средств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1640" w:dyaOrig="620">
                <v:shape id="_x0000_i1027" type="#_x0000_t75" style="width:81.75pt;height:30.75pt" o:ole="">
                  <v:imagedata r:id="rId11" o:title=""/>
                </v:shape>
                <o:OLEObject Type="Embed" ProgID="Equation.3" ShapeID="_x0000_i1027" DrawAspect="Content" ObjectID="_1458747503" r:id="rId12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FA8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нач.2006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0,72</w:t>
            </w:r>
          </w:p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кон.2006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1,12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0,5 – 0,7</w:t>
            </w:r>
          </w:p>
        </w:tc>
      </w:tr>
      <w:tr w:rsidR="00614075" w:rsidRPr="00F93137" w:rsidTr="00F93137">
        <w:trPr>
          <w:trHeight w:val="206"/>
          <w:jc w:val="center"/>
        </w:trPr>
        <w:tc>
          <w:tcPr>
            <w:tcW w:w="8774" w:type="dxa"/>
            <w:gridSpan w:val="4"/>
            <w:shd w:val="clear" w:color="auto" w:fill="auto"/>
            <w:vAlign w:val="center"/>
          </w:tcPr>
          <w:p w:rsidR="00614075" w:rsidRPr="00F93137" w:rsidRDefault="00614075" w:rsidP="00F93137">
            <w:pPr>
              <w:jc w:val="both"/>
              <w:rPr>
                <w:b/>
                <w:bCs/>
                <w:sz w:val="20"/>
                <w:szCs w:val="20"/>
              </w:rPr>
            </w:pPr>
            <w:r w:rsidRPr="00F93137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F93137">
              <w:rPr>
                <w:b/>
                <w:bCs/>
                <w:sz w:val="20"/>
                <w:szCs w:val="20"/>
              </w:rPr>
              <w:t>. Показатели финансовой устойчивости</w:t>
            </w:r>
          </w:p>
        </w:tc>
      </w:tr>
      <w:tr w:rsidR="00746FA8" w:rsidRPr="00F93137" w:rsidTr="00F93137">
        <w:trPr>
          <w:trHeight w:val="63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614075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1. Соотношение заемных и собственных средств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C541C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1640" w:dyaOrig="620">
                <v:shape id="_x0000_i1028" type="#_x0000_t75" style="width:81.75pt;height:30.75pt" o:ole="">
                  <v:imagedata r:id="rId13" o:title=""/>
                </v:shape>
                <o:OLEObject Type="Embed" ProgID="Equation.3" ShapeID="_x0000_i1028" DrawAspect="Content" ObjectID="_1458747504" r:id="rId14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нач.2006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1,31</w:t>
            </w:r>
          </w:p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кон.2006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0,46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C541C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Меньше 0,7</w:t>
            </w:r>
          </w:p>
        </w:tc>
      </w:tr>
      <w:tr w:rsidR="00746FA8" w:rsidRPr="00F93137" w:rsidTr="00F93137">
        <w:trPr>
          <w:trHeight w:val="1265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2. Коэффициент обеспеченности собственными средствами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2780" w:dyaOrig="620">
                <v:shape id="_x0000_i1029" type="#_x0000_t75" style="width:138.75pt;height:30.75pt" o:ole="">
                  <v:imagedata r:id="rId15" o:title=""/>
                </v:shape>
                <o:OLEObject Type="Embed" ProgID="Equation.3" ShapeID="_x0000_i1029" DrawAspect="Content" ObjectID="_1458747505" r:id="rId16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нач.2006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-0,01</w:t>
            </w:r>
          </w:p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кон.2006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0,47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Нижняя граница 0,1. Чем выше показатель (около 0,5), тем лучше финансовое положение</w:t>
            </w:r>
          </w:p>
        </w:tc>
      </w:tr>
      <w:tr w:rsidR="00746FA8" w:rsidRPr="00F93137" w:rsidTr="00F93137">
        <w:trPr>
          <w:trHeight w:val="1471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3. Коэффициент маневренности собственных оборотных средств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3360" w:dyaOrig="620">
                <v:shape id="_x0000_i1030" type="#_x0000_t75" style="width:168pt;height:30.75pt" o:ole="">
                  <v:imagedata r:id="rId17" o:title=""/>
                </v:shape>
                <o:OLEObject Type="Embed" ProgID="Equation.3" ShapeID="_x0000_i1030" DrawAspect="Content" ObjectID="_1458747506" r:id="rId18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E005F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нач.2006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0,29</w:t>
            </w:r>
          </w:p>
          <w:p w:rsidR="00746FA8" w:rsidRPr="00F93137" w:rsidRDefault="004E005F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На кон.2006 </w:t>
            </w:r>
            <w:r w:rsidR="00724674" w:rsidRPr="00F93137">
              <w:rPr>
                <w:sz w:val="20"/>
                <w:szCs w:val="20"/>
              </w:rPr>
              <w:t>=</w:t>
            </w:r>
            <w:r w:rsidRPr="00F93137">
              <w:rPr>
                <w:sz w:val="20"/>
                <w:szCs w:val="20"/>
              </w:rPr>
              <w:t>0,45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0,2 – 0,5. Чем ближе значение к верхней границе, тем больше возможности финансового маневра</w:t>
            </w:r>
          </w:p>
        </w:tc>
      </w:tr>
      <w:tr w:rsidR="0051118A" w:rsidRPr="00F93137" w:rsidTr="00F93137">
        <w:trPr>
          <w:trHeight w:val="206"/>
          <w:jc w:val="center"/>
        </w:trPr>
        <w:tc>
          <w:tcPr>
            <w:tcW w:w="8774" w:type="dxa"/>
            <w:gridSpan w:val="4"/>
            <w:shd w:val="clear" w:color="auto" w:fill="auto"/>
            <w:vAlign w:val="center"/>
          </w:tcPr>
          <w:p w:rsidR="0051118A" w:rsidRPr="00F93137" w:rsidRDefault="0051118A" w:rsidP="00F93137">
            <w:pPr>
              <w:jc w:val="both"/>
              <w:rPr>
                <w:b/>
                <w:bCs/>
                <w:sz w:val="20"/>
                <w:szCs w:val="20"/>
              </w:rPr>
            </w:pPr>
            <w:r w:rsidRPr="00F93137">
              <w:rPr>
                <w:b/>
                <w:bCs/>
                <w:sz w:val="20"/>
                <w:szCs w:val="20"/>
                <w:lang w:val="en-US"/>
              </w:rPr>
              <w:t>III.</w:t>
            </w:r>
            <w:r w:rsidRPr="00F93137">
              <w:rPr>
                <w:b/>
                <w:bCs/>
                <w:sz w:val="20"/>
                <w:szCs w:val="20"/>
              </w:rPr>
              <w:t xml:space="preserve"> Интенсивности использования ресурсов</w:t>
            </w:r>
          </w:p>
        </w:tc>
      </w:tr>
      <w:tr w:rsidR="00746FA8" w:rsidRPr="00F93137" w:rsidTr="00F93137">
        <w:trPr>
          <w:trHeight w:val="1251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1. Рентабельность чистых активов по чистой прибыли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32"/>
                <w:sz w:val="20"/>
                <w:szCs w:val="20"/>
              </w:rPr>
              <w:object w:dxaOrig="2540" w:dyaOrig="740">
                <v:shape id="_x0000_i1031" type="#_x0000_t75" style="width:126.75pt;height:36.75pt" o:ole="">
                  <v:imagedata r:id="rId19" o:title=""/>
                </v:shape>
                <o:OLEObject Type="Embed" ProgID="Equation.3" ShapeID="_x0000_i1031" DrawAspect="Content" ObjectID="_1458747507" r:id="rId20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F419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Рча2006 = 0,</w:t>
            </w:r>
            <w:r w:rsidR="00724674" w:rsidRPr="00F93137">
              <w:rPr>
                <w:sz w:val="20"/>
                <w:szCs w:val="20"/>
              </w:rPr>
              <w:t>48</w:t>
            </w:r>
          </w:p>
          <w:p w:rsidR="00AF419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Рча2005 = 0,</w:t>
            </w:r>
            <w:r w:rsidR="00724674" w:rsidRPr="00F93137">
              <w:rPr>
                <w:sz w:val="20"/>
                <w:szCs w:val="20"/>
              </w:rPr>
              <w:t>42</w:t>
            </w:r>
          </w:p>
          <w:p w:rsidR="00746FA8" w:rsidRPr="00F93137" w:rsidRDefault="00746FA8" w:rsidP="00F931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Должен обеспечивать окупаемость вложенных в предприятие средств акционеров</w:t>
            </w:r>
          </w:p>
        </w:tc>
      </w:tr>
      <w:tr w:rsidR="00746FA8" w:rsidRPr="00F93137" w:rsidTr="00F93137">
        <w:trPr>
          <w:trHeight w:val="1471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2. Рентабельность реализуемой продукции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7D07D6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24"/>
                <w:sz w:val="20"/>
                <w:szCs w:val="20"/>
              </w:rPr>
              <w:object w:dxaOrig="1280" w:dyaOrig="660">
                <v:shape id="_x0000_i1032" type="#_x0000_t75" style="width:63.75pt;height:33pt" o:ole="">
                  <v:imagedata r:id="rId21" o:title=""/>
                </v:shape>
                <o:OLEObject Type="Embed" ProgID="Equation.3" ShapeID="_x0000_i1032" DrawAspect="Content" ObjectID="_1458747508" r:id="rId22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FA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Ррп2006 = 0,34</w:t>
            </w:r>
          </w:p>
          <w:p w:rsidR="00AF419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Ррп2005 = 0,19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51118A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Динамика показателя может свидетельствовать о пересмотре цен или уси</w:t>
            </w:r>
            <w:r w:rsidR="00AF46B7" w:rsidRPr="00F93137">
              <w:rPr>
                <w:sz w:val="20"/>
                <w:szCs w:val="20"/>
              </w:rPr>
              <w:t>лении контроля над</w:t>
            </w:r>
            <w:r w:rsidRPr="00F93137">
              <w:rPr>
                <w:sz w:val="20"/>
                <w:szCs w:val="20"/>
              </w:rPr>
              <w:t xml:space="preserve"> себестоимостью</w:t>
            </w:r>
          </w:p>
        </w:tc>
      </w:tr>
      <w:tr w:rsidR="007D07D6" w:rsidRPr="00F93137" w:rsidTr="00F93137">
        <w:trPr>
          <w:trHeight w:val="206"/>
          <w:jc w:val="center"/>
        </w:trPr>
        <w:tc>
          <w:tcPr>
            <w:tcW w:w="8774" w:type="dxa"/>
            <w:gridSpan w:val="4"/>
            <w:shd w:val="clear" w:color="auto" w:fill="auto"/>
            <w:vAlign w:val="center"/>
          </w:tcPr>
          <w:p w:rsidR="007D07D6" w:rsidRPr="00F93137" w:rsidRDefault="007D07D6" w:rsidP="00F93137">
            <w:pPr>
              <w:jc w:val="both"/>
              <w:rPr>
                <w:b/>
                <w:bCs/>
                <w:sz w:val="20"/>
                <w:szCs w:val="20"/>
              </w:rPr>
            </w:pPr>
            <w:r w:rsidRPr="00F93137">
              <w:rPr>
                <w:b/>
                <w:bCs/>
                <w:sz w:val="20"/>
                <w:szCs w:val="20"/>
                <w:lang w:val="en-US"/>
              </w:rPr>
              <w:t>IV.</w:t>
            </w:r>
            <w:r w:rsidRPr="00F93137">
              <w:rPr>
                <w:b/>
                <w:bCs/>
                <w:sz w:val="20"/>
                <w:szCs w:val="20"/>
              </w:rPr>
              <w:t xml:space="preserve"> Показатели деловой активности</w:t>
            </w:r>
          </w:p>
        </w:tc>
      </w:tr>
      <w:tr w:rsidR="00746FA8" w:rsidRPr="00F93137" w:rsidTr="00F93137">
        <w:trPr>
          <w:trHeight w:val="1045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7D07D6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1. Коэффициент оборачиваемости оборотного капитала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7D07D6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32"/>
                <w:sz w:val="20"/>
                <w:szCs w:val="20"/>
              </w:rPr>
              <w:object w:dxaOrig="660" w:dyaOrig="740">
                <v:shape id="_x0000_i1033" type="#_x0000_t75" style="width:33pt;height:36.75pt" o:ole="">
                  <v:imagedata r:id="rId23" o:title=""/>
                </v:shape>
                <o:OLEObject Type="Embed" ProgID="Equation.3" ShapeID="_x0000_i1033" DrawAspect="Content" ObjectID="_1458747509" r:id="rId24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FA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Коок2006 = </w:t>
            </w:r>
            <w:r w:rsidR="00724674" w:rsidRPr="00F93137">
              <w:rPr>
                <w:sz w:val="20"/>
                <w:szCs w:val="20"/>
              </w:rPr>
              <w:t>3,97</w:t>
            </w:r>
          </w:p>
          <w:p w:rsidR="00AF419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Коок2005 = </w:t>
            </w:r>
            <w:r w:rsidR="00724674" w:rsidRPr="00F93137">
              <w:rPr>
                <w:sz w:val="20"/>
                <w:szCs w:val="20"/>
              </w:rPr>
              <w:t>4,19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7D07D6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Нормативного значения нет. Усилие – на ускорение оборачиваемости</w:t>
            </w:r>
          </w:p>
        </w:tc>
      </w:tr>
      <w:tr w:rsidR="00746FA8" w:rsidRPr="00F93137" w:rsidTr="00F93137">
        <w:trPr>
          <w:trHeight w:val="85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746FA8" w:rsidRPr="00F93137" w:rsidRDefault="007D07D6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2. Коэффициент оборачиваемости собственного капитала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46FA8" w:rsidRPr="00F93137" w:rsidRDefault="007D07D6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position w:val="-32"/>
                <w:sz w:val="20"/>
                <w:szCs w:val="20"/>
              </w:rPr>
              <w:object w:dxaOrig="1960" w:dyaOrig="740">
                <v:shape id="_x0000_i1034" type="#_x0000_t75" style="width:98.25pt;height:36.75pt" o:ole="">
                  <v:imagedata r:id="rId25" o:title=""/>
                </v:shape>
                <o:OLEObject Type="Embed" ProgID="Equation.3" ShapeID="_x0000_i1034" DrawAspect="Content" ObjectID="_1458747510" r:id="rId26"/>
              </w:obje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FA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Коск2006 = </w:t>
            </w:r>
            <w:r w:rsidR="00724674" w:rsidRPr="00F93137">
              <w:rPr>
                <w:sz w:val="20"/>
                <w:szCs w:val="20"/>
              </w:rPr>
              <w:t>4,05</w:t>
            </w:r>
          </w:p>
          <w:p w:rsidR="00AF4198" w:rsidRPr="00F93137" w:rsidRDefault="00AF4198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 xml:space="preserve">Коск2005 = </w:t>
            </w:r>
            <w:r w:rsidR="00724674" w:rsidRPr="00F93137">
              <w:rPr>
                <w:sz w:val="20"/>
                <w:szCs w:val="20"/>
              </w:rPr>
              <w:t>6,63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6FA8" w:rsidRPr="00F93137" w:rsidRDefault="00AF46B7" w:rsidP="00F93137">
            <w:pPr>
              <w:jc w:val="both"/>
              <w:rPr>
                <w:sz w:val="20"/>
                <w:szCs w:val="20"/>
              </w:rPr>
            </w:pPr>
            <w:r w:rsidRPr="00F93137">
              <w:rPr>
                <w:sz w:val="20"/>
                <w:szCs w:val="20"/>
              </w:rPr>
              <w:t>Нормативного значения нет</w:t>
            </w:r>
          </w:p>
        </w:tc>
      </w:tr>
    </w:tbl>
    <w:p w:rsidR="00A10F1C" w:rsidRPr="00323A0A" w:rsidRDefault="00A10F1C" w:rsidP="00323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30C4" w:rsidRPr="00323A0A" w:rsidRDefault="008130C4" w:rsidP="0031228B">
      <w:pPr>
        <w:pStyle w:val="3"/>
      </w:pPr>
      <w:bookmarkStart w:id="7" w:name="_Toc224200621"/>
      <w:r w:rsidRPr="00323A0A">
        <w:t>1.2. Основные проблемы по исходной информации и оценке</w:t>
      </w:r>
      <w:bookmarkEnd w:id="7"/>
    </w:p>
    <w:p w:rsidR="008130C4" w:rsidRPr="00323A0A" w:rsidRDefault="008130C4" w:rsidP="00323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11EF" w:rsidRPr="00323A0A" w:rsidRDefault="008130C4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 ходе анализа финансового состояния были рассмотрении о</w:t>
      </w:r>
      <w:r w:rsidR="00A557A7" w:rsidRPr="00323A0A">
        <w:rPr>
          <w:sz w:val="28"/>
          <w:szCs w:val="28"/>
        </w:rPr>
        <w:t>сновные финансовые коэффициенты: показатели ликвидности, показатели финансовой устойчивости, показатели интенсивности использования ресурсов и показатели деловой активности.</w:t>
      </w:r>
    </w:p>
    <w:p w:rsidR="00527EAB" w:rsidRPr="00323A0A" w:rsidRDefault="00527EAB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Показатели ликвидности</w:t>
      </w:r>
      <w:r w:rsidRPr="00323A0A">
        <w:rPr>
          <w:sz w:val="28"/>
          <w:szCs w:val="28"/>
        </w:rPr>
        <w:t xml:space="preserve"> в целом проявили динамику на ухудшение.</w:t>
      </w:r>
    </w:p>
    <w:p w:rsidR="008130C4" w:rsidRPr="00323A0A" w:rsidRDefault="008130C4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Общий коэффициент покрытия </w:t>
      </w:r>
      <w:r w:rsidR="00724674" w:rsidRPr="00323A0A">
        <w:rPr>
          <w:sz w:val="28"/>
          <w:szCs w:val="28"/>
        </w:rPr>
        <w:t xml:space="preserve">на начало отчетного периода </w:t>
      </w:r>
      <w:r w:rsidR="00BE292E" w:rsidRPr="00323A0A">
        <w:rPr>
          <w:sz w:val="28"/>
          <w:szCs w:val="28"/>
        </w:rPr>
        <w:t xml:space="preserve">составил </w:t>
      </w:r>
      <w:r w:rsidR="00724674" w:rsidRPr="00323A0A">
        <w:rPr>
          <w:sz w:val="28"/>
          <w:szCs w:val="28"/>
        </w:rPr>
        <w:t>1,02, что соответствует нормативному значению этого показателя</w:t>
      </w:r>
      <w:r w:rsidR="00BE292E" w:rsidRPr="00323A0A">
        <w:rPr>
          <w:sz w:val="28"/>
          <w:szCs w:val="28"/>
        </w:rPr>
        <w:t>, а на конец периода показатель увеличился до 2,05 и превысил верхний уровень нормативного значения</w:t>
      </w:r>
      <w:r w:rsidR="000E5EB2" w:rsidRPr="00323A0A">
        <w:rPr>
          <w:sz w:val="28"/>
          <w:szCs w:val="28"/>
        </w:rPr>
        <w:t xml:space="preserve"> за счет увеличения активов к концу года</w:t>
      </w:r>
      <w:r w:rsidR="00DB478C" w:rsidRPr="00323A0A">
        <w:rPr>
          <w:sz w:val="28"/>
          <w:szCs w:val="28"/>
        </w:rPr>
        <w:t>,</w:t>
      </w:r>
      <w:r w:rsidR="000E5EB2" w:rsidRPr="00323A0A">
        <w:rPr>
          <w:sz w:val="28"/>
          <w:szCs w:val="28"/>
        </w:rPr>
        <w:t xml:space="preserve"> и снижения почти в два раза краткосрочных обязательств</w:t>
      </w:r>
      <w:r w:rsidR="00BE292E" w:rsidRPr="00323A0A">
        <w:rPr>
          <w:sz w:val="28"/>
          <w:szCs w:val="28"/>
        </w:rPr>
        <w:t>.</w:t>
      </w:r>
    </w:p>
    <w:p w:rsidR="00BE292E" w:rsidRPr="00323A0A" w:rsidRDefault="00BE292E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Коэффициент срочной ликвидности на начало периода составил 0,30, а на конец периода 0,93. </w:t>
      </w:r>
      <w:r w:rsidR="000E5EB2" w:rsidRPr="00323A0A">
        <w:rPr>
          <w:sz w:val="28"/>
          <w:szCs w:val="28"/>
        </w:rPr>
        <w:t>Рост показателя произошел вследствие снижения к концу года суммы налога на добавленную стоимость по приобретенным ценностям</w:t>
      </w:r>
      <w:r w:rsidR="00DB478C" w:rsidRPr="00323A0A">
        <w:rPr>
          <w:sz w:val="28"/>
          <w:szCs w:val="28"/>
        </w:rPr>
        <w:t>, и снижения краткосрочных обязательств</w:t>
      </w:r>
      <w:r w:rsidR="000E5EB2" w:rsidRPr="00323A0A">
        <w:rPr>
          <w:sz w:val="28"/>
          <w:szCs w:val="28"/>
        </w:rPr>
        <w:t>.</w:t>
      </w:r>
      <w:r w:rsidR="00B71F3B">
        <w:rPr>
          <w:sz w:val="28"/>
          <w:szCs w:val="28"/>
        </w:rPr>
        <w:t xml:space="preserve"> </w:t>
      </w:r>
      <w:r w:rsidRPr="00323A0A">
        <w:rPr>
          <w:sz w:val="28"/>
          <w:szCs w:val="28"/>
        </w:rPr>
        <w:t>Динамика показателя положительная, но норматива не достигнуто.</w:t>
      </w:r>
    </w:p>
    <w:p w:rsidR="00BE292E" w:rsidRPr="00323A0A" w:rsidRDefault="00BE292E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Коэффициент ликвидности при мобилизации средств на начало отчетного периода составил 0,72, а это немного выше верхнего уровня нормативного значения, но на конец периода этот показатель составил 1,12, что гораздо больше превышает норматив.</w:t>
      </w:r>
      <w:r w:rsidR="00DB478C" w:rsidRPr="00323A0A">
        <w:rPr>
          <w:sz w:val="28"/>
          <w:szCs w:val="28"/>
        </w:rPr>
        <w:t xml:space="preserve"> Это произошло по причине увеличения в два раза к концу отчетного периода суммы нераспределенной прибыли (непокрытого убытка).</w:t>
      </w:r>
    </w:p>
    <w:p w:rsidR="00A557A7" w:rsidRPr="00323A0A" w:rsidRDefault="00A557A7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Что касается </w:t>
      </w:r>
      <w:r w:rsidRPr="00323A0A">
        <w:rPr>
          <w:i/>
          <w:iCs/>
          <w:sz w:val="28"/>
          <w:szCs w:val="28"/>
        </w:rPr>
        <w:t>показателей финансовой устойчивости</w:t>
      </w:r>
      <w:r w:rsidRPr="00323A0A">
        <w:rPr>
          <w:sz w:val="28"/>
          <w:szCs w:val="28"/>
        </w:rPr>
        <w:t>, то они, напротив, показали положительную динамику, т.к. к концу отчетного периода</w:t>
      </w:r>
      <w:r w:rsidR="00671445" w:rsidRPr="00323A0A">
        <w:rPr>
          <w:sz w:val="28"/>
          <w:szCs w:val="28"/>
        </w:rPr>
        <w:t xml:space="preserve"> достигали нормативных значений.</w:t>
      </w:r>
      <w:r w:rsidR="00AF46B7" w:rsidRPr="00323A0A">
        <w:rPr>
          <w:sz w:val="28"/>
          <w:szCs w:val="28"/>
        </w:rPr>
        <w:t xml:space="preserve"> </w:t>
      </w:r>
      <w:r w:rsidR="00671445" w:rsidRPr="00323A0A">
        <w:rPr>
          <w:sz w:val="28"/>
          <w:szCs w:val="28"/>
        </w:rPr>
        <w:t>К</w:t>
      </w:r>
      <w:r w:rsidRPr="00323A0A">
        <w:rPr>
          <w:sz w:val="28"/>
          <w:szCs w:val="28"/>
        </w:rPr>
        <w:t>оэффициент соотношения заемных и собственных средств на начало 2006 года составил 1,31, что намного выше норматива, но к концу периода этот показатель достиг оптимального значения 0,46.</w:t>
      </w:r>
      <w:r w:rsidR="00DB478C" w:rsidRPr="00323A0A">
        <w:rPr>
          <w:sz w:val="28"/>
          <w:szCs w:val="28"/>
        </w:rPr>
        <w:t xml:space="preserve"> Положительную динамику показателя обеспечило снижение краткосрочных обязательств к концу отчетного периода.</w:t>
      </w:r>
    </w:p>
    <w:p w:rsidR="00A557A7" w:rsidRPr="00323A0A" w:rsidRDefault="00A557A7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Коэффициент обеспеченности собственными средствами в начале отчетного периода составил -0,01</w:t>
      </w:r>
      <w:r w:rsidR="000E5EB2" w:rsidRPr="00323A0A">
        <w:rPr>
          <w:sz w:val="28"/>
          <w:szCs w:val="28"/>
        </w:rPr>
        <w:t>, не достигнув и нижней границы нормативного значения, но к концу периода показатель увеличился за счет отсутствия дебиторской задолженности</w:t>
      </w:r>
      <w:r w:rsidR="00671445" w:rsidRPr="00323A0A">
        <w:rPr>
          <w:sz w:val="28"/>
          <w:szCs w:val="28"/>
        </w:rPr>
        <w:t xml:space="preserve"> (платежи по которой ожидаются более, чем через 12 месяцев после отчетной даты)</w:t>
      </w:r>
      <w:r w:rsidR="000E5EB2" w:rsidRPr="00323A0A">
        <w:rPr>
          <w:sz w:val="28"/>
          <w:szCs w:val="28"/>
        </w:rPr>
        <w:t xml:space="preserve"> на конец периода до 0,47 и достиг оптимального значения коэффициента, что показывает значительное улучшение финансового положения предприятия.</w:t>
      </w:r>
    </w:p>
    <w:p w:rsidR="00DB478C" w:rsidRPr="00323A0A" w:rsidRDefault="00DB478C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Коэффициент маневренности собственных оборотных средств на начало года составил 0,29, на конец – 0,45. Оба значения соответствуют нормативу, но к концу периода коэффициент достигает оптимальных значений</w:t>
      </w:r>
      <w:r w:rsidR="00671445" w:rsidRPr="00323A0A">
        <w:rPr>
          <w:sz w:val="28"/>
          <w:szCs w:val="28"/>
        </w:rPr>
        <w:t xml:space="preserve"> (за счет увеличения резервов и ликвидации дебиторской задолженности, платежи по которой ожидаются более чем через 12 месяцев после отчетной даты)</w:t>
      </w:r>
      <w:r w:rsidRPr="00323A0A">
        <w:rPr>
          <w:sz w:val="28"/>
          <w:szCs w:val="28"/>
        </w:rPr>
        <w:t>, что дает больше возможности финансового маневра для предприятия.</w:t>
      </w:r>
    </w:p>
    <w:p w:rsidR="00671445" w:rsidRPr="00323A0A" w:rsidRDefault="00AF46B7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Показатели</w:t>
      </w:r>
      <w:r w:rsidR="00671445" w:rsidRPr="00323A0A">
        <w:rPr>
          <w:i/>
          <w:iCs/>
          <w:sz w:val="28"/>
          <w:szCs w:val="28"/>
        </w:rPr>
        <w:t xml:space="preserve"> интенсивности использования</w:t>
      </w:r>
      <w:r w:rsidR="00671445" w:rsidRPr="00323A0A">
        <w:rPr>
          <w:sz w:val="28"/>
          <w:szCs w:val="28"/>
        </w:rPr>
        <w:t xml:space="preserve"> ресурсов также не показали отрицательной динамики</w:t>
      </w:r>
      <w:r w:rsidR="004A53A1" w:rsidRPr="00323A0A">
        <w:rPr>
          <w:sz w:val="28"/>
          <w:szCs w:val="28"/>
        </w:rPr>
        <w:t xml:space="preserve"> по сравнению с прошлым годом</w:t>
      </w:r>
      <w:r w:rsidR="00671445" w:rsidRPr="00323A0A">
        <w:rPr>
          <w:sz w:val="28"/>
          <w:szCs w:val="28"/>
        </w:rPr>
        <w:t xml:space="preserve">. Рентабельность чистых активов по чистой прибыли оказалась практически неизменной: </w:t>
      </w:r>
      <w:r w:rsidR="004A53A1" w:rsidRPr="00323A0A">
        <w:rPr>
          <w:sz w:val="28"/>
          <w:szCs w:val="28"/>
        </w:rPr>
        <w:t>в 2005 году</w:t>
      </w:r>
      <w:r w:rsidR="00671445" w:rsidRPr="00323A0A">
        <w:rPr>
          <w:sz w:val="28"/>
          <w:szCs w:val="28"/>
        </w:rPr>
        <w:t xml:space="preserve"> показатель составил 0,42, </w:t>
      </w:r>
      <w:r w:rsidR="004A53A1" w:rsidRPr="00323A0A">
        <w:rPr>
          <w:sz w:val="28"/>
          <w:szCs w:val="28"/>
        </w:rPr>
        <w:t>а в 2006</w:t>
      </w:r>
      <w:r w:rsidR="00671445" w:rsidRPr="00323A0A">
        <w:rPr>
          <w:sz w:val="28"/>
          <w:szCs w:val="28"/>
        </w:rPr>
        <w:t xml:space="preserve"> – 0,48. </w:t>
      </w:r>
      <w:r w:rsidR="004A53A1" w:rsidRPr="00323A0A">
        <w:rPr>
          <w:sz w:val="28"/>
          <w:szCs w:val="28"/>
        </w:rPr>
        <w:t>это показывает, что окупаемость вложенных в предприятие средств акционеров составляет около 50%, но тенденция показателя – на увеличение. Это происходит за счет увеличения прибыли в 2006 году в сравнении с 2005 в два раза.</w:t>
      </w:r>
    </w:p>
    <w:p w:rsidR="004A53A1" w:rsidRPr="00323A0A" w:rsidRDefault="004A53A1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Рентабельность реализуемой продукции в 2006 году составила 0,34, что выше показателя 2005 года – тогда он составлял 0,19. Динамика этого показателя свидетельствует о пересмотре цен или усилении контроля над себестоимостью.</w:t>
      </w:r>
    </w:p>
    <w:p w:rsidR="00527EAB" w:rsidRPr="00323A0A" w:rsidRDefault="00527EAB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Показатели</w:t>
      </w:r>
      <w:r w:rsidRPr="00323A0A">
        <w:rPr>
          <w:sz w:val="28"/>
          <w:szCs w:val="28"/>
        </w:rPr>
        <w:t xml:space="preserve"> </w:t>
      </w:r>
      <w:r w:rsidRPr="00323A0A">
        <w:rPr>
          <w:i/>
          <w:iCs/>
          <w:sz w:val="28"/>
          <w:szCs w:val="28"/>
        </w:rPr>
        <w:t>деловой активности</w:t>
      </w:r>
      <w:r w:rsidRPr="00323A0A">
        <w:rPr>
          <w:sz w:val="28"/>
          <w:szCs w:val="28"/>
        </w:rPr>
        <w:t xml:space="preserve"> (коэффициенты оборачиваемости) в 2006 году снизились по сравнению с 2005 годом. Так, коэффициент оборачиваемости оборотного капитала в 2005 году составлял 4,19, а в 2006 году – 3,97. Нормативного значения у показателя нет, но его снижение говорит о замедлении оборачиваемости.</w:t>
      </w:r>
    </w:p>
    <w:p w:rsidR="00AF46B7" w:rsidRPr="00323A0A" w:rsidRDefault="00527EAB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Коэффициент оборачиваемости собственного капитала также снизился в 2006 году и составил 4,05, при том как в 2005 году этот показатель составлял 6,63. Показатель не обеспечивает окупаемости собственных средств, это значит, что их структура не рациональна. При снижении рентабельности собственного капитала необходимо увеличение оборачиваемости.</w:t>
      </w:r>
    </w:p>
    <w:p w:rsidR="00551244" w:rsidRPr="00323A0A" w:rsidRDefault="00AF46B7" w:rsidP="00323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0A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24200622"/>
      <w:r w:rsidRPr="00323A0A">
        <w:rPr>
          <w:rFonts w:ascii="Times New Roman" w:hAnsi="Times New Roman" w:cs="Times New Roman"/>
          <w:sz w:val="28"/>
          <w:szCs w:val="28"/>
        </w:rPr>
        <w:t>2 Разработка заемной политики</w:t>
      </w:r>
      <w:bookmarkEnd w:id="8"/>
    </w:p>
    <w:p w:rsidR="00082EE9" w:rsidRPr="00323A0A" w:rsidRDefault="00082EE9" w:rsidP="00323A0A">
      <w:pPr>
        <w:spacing w:line="360" w:lineRule="auto"/>
        <w:ind w:firstLine="709"/>
        <w:jc w:val="both"/>
        <w:rPr>
          <w:sz w:val="28"/>
          <w:szCs w:val="28"/>
        </w:rPr>
      </w:pPr>
    </w:p>
    <w:p w:rsidR="00551244" w:rsidRPr="00B71F3B" w:rsidRDefault="00551244" w:rsidP="0031228B">
      <w:pPr>
        <w:pStyle w:val="3"/>
        <w:rPr>
          <w:lang w:val="en-US"/>
        </w:rPr>
      </w:pPr>
      <w:bookmarkStart w:id="9" w:name="_Toc224200623"/>
      <w:r w:rsidRPr="00323A0A">
        <w:t>2.1. Содержание политики управления источниками</w:t>
      </w:r>
      <w:bookmarkEnd w:id="9"/>
    </w:p>
    <w:p w:rsidR="00551244" w:rsidRPr="00323A0A" w:rsidRDefault="00551244" w:rsidP="00323A0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551244" w:rsidRPr="00323A0A" w:rsidRDefault="00551244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Структура капитала, используемого предприятием, определяет многие аспекты не только финансовой, но и операционной и инвестиционной его деятельности, оказывает активное воздействие на конечные результаты этой деятельности. Она влияет на коэффициент рентабельности активов</w:t>
      </w:r>
      <w:r w:rsidR="00E83430" w:rsidRPr="00323A0A">
        <w:rPr>
          <w:sz w:val="28"/>
          <w:szCs w:val="28"/>
        </w:rPr>
        <w:t xml:space="preserve"> и собственного капитала (т.е. на уровень экономической и финансовой рентабельности предприятия), определяет систему коэффициентов финансовой устойчивости и платежеспособности (т.е. уровень финансовых рисков) и, в конечном счете, формирует соотношение степени прибыльности и риска в процессе развития предприятия.</w:t>
      </w:r>
    </w:p>
    <w:p w:rsidR="00E83430" w:rsidRPr="00323A0A" w:rsidRDefault="00E834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Формирование структуры капитала неразрывно связано с учетом особенностей каждой из его составных частей.</w:t>
      </w:r>
    </w:p>
    <w:p w:rsidR="00E83430" w:rsidRPr="00323A0A" w:rsidRDefault="00E834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Предприятие, использующее только </w:t>
      </w:r>
      <w:r w:rsidRPr="00323A0A">
        <w:rPr>
          <w:b/>
          <w:bCs/>
          <w:i/>
          <w:iCs/>
          <w:sz w:val="28"/>
          <w:szCs w:val="28"/>
        </w:rPr>
        <w:t>собственный капитал</w:t>
      </w:r>
      <w:r w:rsidRPr="00323A0A">
        <w:rPr>
          <w:sz w:val="28"/>
          <w:szCs w:val="28"/>
        </w:rPr>
        <w:t>, имеет наивысшую финансовую устойчивость (его коэффициент автономии равен единице), но ограничивает темпы своего развития (т.к. не может обеспечить формирование необходимого дополнительного объема активов в периоды благоприятной конъюнктуры рынка) и не использует финансовые возможности прироста прибыли на вложенный капитал.</w:t>
      </w:r>
    </w:p>
    <w:p w:rsidR="00E83430" w:rsidRPr="00323A0A" w:rsidRDefault="00E83430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Предприятие, использующее </w:t>
      </w:r>
      <w:r w:rsidRPr="00323A0A">
        <w:rPr>
          <w:b/>
          <w:bCs/>
          <w:i/>
          <w:iCs/>
          <w:sz w:val="28"/>
          <w:szCs w:val="28"/>
        </w:rPr>
        <w:t>заемный капитал</w:t>
      </w:r>
      <w:r w:rsidRPr="00323A0A">
        <w:rPr>
          <w:sz w:val="28"/>
          <w:szCs w:val="28"/>
        </w:rPr>
        <w:t>, имеет более высокий финансовый потенциал своего развития (за счет формирования дополнительного объема активов</w:t>
      </w:r>
      <w:r w:rsidR="00963695" w:rsidRPr="00323A0A">
        <w:rPr>
          <w:sz w:val="28"/>
          <w:szCs w:val="28"/>
        </w:rPr>
        <w:t>) и возможности прироста финансовой рентабельности деятельности, однако, в большей мере генерирует финансовый риск и угрозу банкротства (возрастающие по мере увеличения удельного веса заемных средств в общей сумме использованного капитала).</w:t>
      </w:r>
    </w:p>
    <w:p w:rsidR="001F3D77" w:rsidRPr="00323A0A" w:rsidRDefault="001F3D77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Эффективная финансовая деятельность предприятия невозможна без постоянного привлечения заемных средств. Использование заемного капитала позволяет существенно расширить объем хозяйственной деятельности предприятия, обеспечить более эффективное использование </w:t>
      </w:r>
      <w:r w:rsidR="00356B23" w:rsidRPr="00323A0A">
        <w:rPr>
          <w:sz w:val="28"/>
          <w:szCs w:val="28"/>
        </w:rPr>
        <w:t>собственного капитала, ускорить формирование различных целевых финансовых фондов, а в конечном счете – повысить рыночную стоимость предприятия.</w:t>
      </w:r>
    </w:p>
    <w:p w:rsidR="00356B23" w:rsidRPr="00323A0A" w:rsidRDefault="00356B23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Хотя основу любого бизнеса составляет собственный капитал, на предприятиях ряда отраслей экономики объем используемых заемных средств значительно превосходит объем собственного капитала. В связи с этим управление привлечением и эффективным использованием заемных средств является одной из важнейших функций финансового менеджмента, направленной на обеспечение движения высоких конечных результатов хозяйственной деятельности предприятия.</w:t>
      </w:r>
    </w:p>
    <w:p w:rsidR="00356B23" w:rsidRPr="00323A0A" w:rsidRDefault="00356B23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Заемный капитал, используемый предприятием, характеризует в совокупности объем его финансовых обязательств (общую сумму долга). Эти финансовые обязательства в современной хозяйственной практике</w:t>
      </w:r>
      <w:r w:rsidR="005626A0" w:rsidRPr="00323A0A">
        <w:rPr>
          <w:sz w:val="28"/>
          <w:szCs w:val="28"/>
        </w:rPr>
        <w:t xml:space="preserve"> дифференцируются следующим образом:</w:t>
      </w:r>
    </w:p>
    <w:p w:rsidR="00E83430" w:rsidRPr="00323A0A" w:rsidRDefault="005626A0" w:rsidP="00323A0A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b/>
          <w:bCs/>
          <w:i/>
          <w:iCs/>
          <w:sz w:val="28"/>
          <w:szCs w:val="28"/>
        </w:rPr>
        <w:t>Долгосрочные финансовые обязательства.</w:t>
      </w:r>
      <w:r w:rsidRPr="00323A0A">
        <w:rPr>
          <w:sz w:val="28"/>
          <w:szCs w:val="28"/>
        </w:rPr>
        <w:t xml:space="preserve"> К ним относятся все формы функционирующего на предприятии заемного капитала со сроком его использования более одного года. Основными формами этих обязательств являются долгосрочные кредиты банков и долгосрочные заемные средства (задолженность по налоговому кредиту; задолженность по эмитированным облигациям; задолженность по финансовой помощи, предоставленной на возвратной основе и т.п.), срок погашения которых еще не наступил или не погашенные в предусмотренный срок.</w:t>
      </w:r>
    </w:p>
    <w:p w:rsidR="007C7C61" w:rsidRPr="00323A0A" w:rsidRDefault="005626A0" w:rsidP="00323A0A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23A0A">
        <w:rPr>
          <w:b/>
          <w:bCs/>
          <w:i/>
          <w:iCs/>
          <w:sz w:val="28"/>
          <w:szCs w:val="28"/>
        </w:rPr>
        <w:t>Краткосрочные финансовые обязательства.</w:t>
      </w:r>
      <w:r w:rsidRPr="00323A0A">
        <w:rPr>
          <w:sz w:val="28"/>
          <w:szCs w:val="28"/>
        </w:rPr>
        <w:t xml:space="preserve"> К ним относятся все формы привлеченного заемного капитала со сроком его использования до одного года. Основными формами этих обязательств являются краткосрочные кредиты банков и краткосрочные заемные средства (как предусмотренные к погашению в предстоящем периоде, </w:t>
      </w:r>
      <w:r w:rsidR="007C7C61" w:rsidRPr="00323A0A">
        <w:rPr>
          <w:sz w:val="28"/>
          <w:szCs w:val="28"/>
        </w:rPr>
        <w:t xml:space="preserve">так </w:t>
      </w:r>
      <w:r w:rsidRPr="00323A0A">
        <w:rPr>
          <w:sz w:val="28"/>
          <w:szCs w:val="28"/>
        </w:rPr>
        <w:t xml:space="preserve">и не </w:t>
      </w:r>
      <w:r w:rsidR="007C7C61" w:rsidRPr="00323A0A">
        <w:rPr>
          <w:sz w:val="28"/>
          <w:szCs w:val="28"/>
        </w:rPr>
        <w:t>погашенные в установленный срок), различные формы кредиторской задолженности предприятия (по товарам, работам и услугам; по выданным векселям; по полученным авансам; по расчетам с бюджетом и внебюджетными фондами; по оплате труда; с дочерними предприятиями; с другими кредиторами) и другие краткосрочные финансовые обязательства.</w:t>
      </w:r>
    </w:p>
    <w:p w:rsidR="007C7C61" w:rsidRPr="00323A0A" w:rsidRDefault="007C7C61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 процессе развития предприятия по мере погашения его финансовых обязательств возникает потребность в привлечении новых заемных средств. Источники и формы привлечения заемных средств предприятием весьма многообразны. Классификация привлекаемых предприятием заемных средств приведена на рисунке 1.</w:t>
      </w:r>
    </w:p>
    <w:p w:rsidR="00842923" w:rsidRPr="00323A0A" w:rsidRDefault="00842923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24F6" w:rsidRDefault="003465B9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8.85pt;height:245.4pt;mso-position-horizontal-relative:char;mso-position-vertical-relative:line" coordorigin="1849,1862" coordsize="7344,4459">
            <o:lock v:ext="edit" aspectratio="t"/>
            <v:shape id="_x0000_s1027" type="#_x0000_t75" style="position:absolute;left:1849;top:1862;width:7344;height:445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97;top:1862;width:988;height:1811">
              <v:textbox style="layout-flow:vertical;mso-layout-flow-alt:bottom-to-top;mso-next-textbox:#_x0000_s1028" inset="6.12pt,3.06pt,6.12pt,3.06pt">
                <w:txbxContent>
                  <w:p w:rsidR="00842923" w:rsidRPr="00B424F6" w:rsidRDefault="00842923" w:rsidP="00842923">
                    <w:pPr>
                      <w:rPr>
                        <w:sz w:val="18"/>
                        <w:szCs w:val="21"/>
                      </w:rPr>
                    </w:pPr>
                    <w:r w:rsidRPr="00B424F6">
                      <w:rPr>
                        <w:sz w:val="18"/>
                        <w:szCs w:val="21"/>
                      </w:rPr>
                      <w:t>Долгосрочный заемный капитал (долгосрочные финансовые обязательства)</w:t>
                    </w:r>
                  </w:p>
                </w:txbxContent>
              </v:textbox>
            </v:shape>
            <v:shape id="_x0000_s1029" type="#_x0000_t202" style="position:absolute;left:2697;top:3952;width:988;height:2369">
              <v:textbox style="layout-flow:vertical;mso-layout-flow-alt:bottom-to-top;mso-next-textbox:#_x0000_s1029" inset="6.12pt,3.06pt,6.12pt,3.06pt">
                <w:txbxContent>
                  <w:p w:rsidR="00842923" w:rsidRPr="00B424F6" w:rsidRDefault="00842923" w:rsidP="00842923">
                    <w:pPr>
                      <w:rPr>
                        <w:sz w:val="18"/>
                        <w:szCs w:val="21"/>
                      </w:rPr>
                    </w:pPr>
                    <w:r w:rsidRPr="00B424F6">
                      <w:rPr>
                        <w:sz w:val="18"/>
                        <w:szCs w:val="21"/>
                      </w:rPr>
                      <w:t>Краткосрочный заемный капитал (краткосрочные финансовые обязательства)</w:t>
                    </w:r>
                  </w:p>
                </w:txbxContent>
              </v:textbox>
            </v:shape>
            <v:shape id="_x0000_s1030" type="#_x0000_t202" style="position:absolute;left:4109;top:1862;width:5081;height:557">
              <v:textbox style="mso-next-textbox:#_x0000_s1030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долгосрочные кредиты банков, срок возврата которых еще не наступил</w:t>
                    </w:r>
                  </w:p>
                </w:txbxContent>
              </v:textbox>
            </v:shape>
            <v:shape id="_x0000_s1031" type="#_x0000_t202" style="position:absolute;left:4109;top:2559;width:5081;height:556">
              <v:textbox style="mso-next-textbox:#_x0000_s1031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Долгосрочные заемные средства, срок возврата которых еще не наступил</w:t>
                    </w:r>
                  </w:p>
                </w:txbxContent>
              </v:textbox>
            </v:shape>
            <v:shape id="_x0000_s1032" type="#_x0000_t202" style="position:absolute;left:4109;top:3256;width:5084;height:418">
              <v:textbox style="mso-next-textbox:#_x0000_s1032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Долгосрочные кредиты и займы, не погашенные в срок</w:t>
                    </w:r>
                  </w:p>
                </w:txbxContent>
              </v:textbox>
            </v:shape>
            <v:shape id="_x0000_s1033" type="#_x0000_t202" style="position:absolute;left:4109;top:3952;width:5081;height:558">
              <v:textbox style="mso-next-textbox:#_x0000_s1033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Краткосрочные кредиты банков, срок возврата которых еще не наступил</w:t>
                    </w:r>
                  </w:p>
                </w:txbxContent>
              </v:textbox>
            </v:shape>
            <v:shape id="_x0000_s1034" type="#_x0000_t202" style="position:absolute;left:4109;top:4649;width:5081;height:557">
              <v:textbox style="mso-next-textbox:#_x0000_s1034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Краткосрочные заемные средства, срок возврата которых еще не наступил</w:t>
                    </w:r>
                  </w:p>
                </w:txbxContent>
              </v:textbox>
            </v:shape>
            <v:shape id="_x0000_s1035" type="#_x0000_t202" style="position:absolute;left:4109;top:5345;width:5081;height:418">
              <v:textbox style="mso-next-textbox:#_x0000_s1035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Расчеты с кредиторами (кредиторская задолженность)</w:t>
                    </w:r>
                  </w:p>
                </w:txbxContent>
              </v:textbox>
            </v:shape>
            <v:shape id="_x0000_s1036" type="#_x0000_t202" style="position:absolute;left:4109;top:5903;width:5081;height:418">
              <v:textbox style="mso-next-textbox:#_x0000_s1036" inset="6.12pt,3.06pt,6.12pt,3.06pt">
                <w:txbxContent>
                  <w:p w:rsidR="00842923" w:rsidRPr="00B424F6" w:rsidRDefault="00842923" w:rsidP="00842923">
                    <w:pPr>
                      <w:rPr>
                        <w:sz w:val="17"/>
                        <w:szCs w:val="20"/>
                      </w:rPr>
                    </w:pPr>
                    <w:r w:rsidRPr="00B424F6">
                      <w:rPr>
                        <w:sz w:val="17"/>
                        <w:szCs w:val="20"/>
                      </w:rPr>
                      <w:t>Другие краткосрочные финансовые обязательства</w:t>
                    </w:r>
                  </w:p>
                </w:txbxContent>
              </v:textbox>
            </v:shape>
            <v:line id="_x0000_s1037" style="position:absolute" from="2274,2837" to="2696,2838">
              <v:stroke endarrow="block"/>
            </v:line>
            <v:line id="_x0000_s1038" style="position:absolute" from="2274,5067" to="2697,5067">
              <v:stroke endarrow="block"/>
            </v:line>
            <v:line id="_x0000_s1039" style="position:absolute" from="3685,2141" to="4110,2142">
              <v:stroke endarrow="block"/>
            </v:line>
            <v:line id="_x0000_s1040" style="position:absolute" from="3685,2698" to="4110,2699">
              <v:stroke endarrow="block"/>
            </v:line>
            <v:line id="_x0000_s1041" style="position:absolute" from="3685,3395" to="4110,3396">
              <v:stroke endarrow="block"/>
            </v:line>
            <v:line id="_x0000_s1042" style="position:absolute" from="3685,4092" to="4110,4093">
              <v:stroke endarrow="block"/>
            </v:line>
            <v:line id="_x0000_s1043" style="position:absolute" from="3685,4788" to="4110,4789">
              <v:stroke endarrow="block"/>
            </v:line>
            <v:line id="_x0000_s1044" style="position:absolute" from="3685,5485" to="4110,5486">
              <v:stroke endarrow="block"/>
            </v:line>
            <v:line id="_x0000_s1045" style="position:absolute" from="3685,6181" to="4110,6182">
              <v:stroke endarrow="block"/>
            </v:line>
            <v:shape id="_x0000_s1046" type="#_x0000_t202" style="position:absolute;left:1849;top:1926;width:497;height:4256">
              <v:textbox style="layout-flow:vertical;mso-layout-flow-alt:bottom-to-top;mso-next-textbox:#_x0000_s1046">
                <w:txbxContent>
                  <w:p w:rsidR="00842923" w:rsidRDefault="00842923" w:rsidP="00842923">
                    <w:pPr>
                      <w:jc w:val="center"/>
                    </w:pPr>
                    <w:r>
                      <w:t>ЗАЕМНЫЙ КАПИТАЛ ПРЕДПРИЯТИЯ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2923" w:rsidRPr="00323A0A" w:rsidRDefault="00842923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Рисунок 1 –</w:t>
      </w:r>
      <w:r w:rsidR="00B424F6" w:rsidRPr="00B424F6">
        <w:rPr>
          <w:sz w:val="28"/>
          <w:szCs w:val="28"/>
        </w:rPr>
        <w:t xml:space="preserve"> </w:t>
      </w:r>
      <w:r w:rsidRPr="00323A0A">
        <w:rPr>
          <w:sz w:val="28"/>
          <w:szCs w:val="28"/>
        </w:rPr>
        <w:t>Формы финансовых обязательств предприятия, отображаемых в его балансе.</w:t>
      </w:r>
    </w:p>
    <w:p w:rsidR="00082EE9" w:rsidRPr="00B424F6" w:rsidRDefault="00082EE9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7C61" w:rsidRPr="00323A0A" w:rsidRDefault="007C7C61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 учетом изложенной классификации организуется управление привлечением заемных средств</w:t>
      </w:r>
      <w:r w:rsidR="00C47510" w:rsidRPr="00323A0A">
        <w:rPr>
          <w:sz w:val="28"/>
          <w:szCs w:val="28"/>
        </w:rPr>
        <w:t>, которое пред</w:t>
      </w:r>
      <w:r w:rsidRPr="00323A0A">
        <w:rPr>
          <w:sz w:val="28"/>
          <w:szCs w:val="28"/>
        </w:rPr>
        <w:t>ставляет</w:t>
      </w:r>
      <w:r w:rsidR="00C47510" w:rsidRPr="00323A0A">
        <w:rPr>
          <w:sz w:val="28"/>
          <w:szCs w:val="28"/>
        </w:rPr>
        <w:t xml:space="preserve"> собой целенаправленный процесс их формирования из различных источников и в разных формах в соответствии с потребностями предприятия в заемном капитале на различных этапах его развития. Многообразие задач, решаемых в процессе этого управления, определяет необходимость разработки специальной финансовой политики в этой области на предприятиях, использующих значительный объем заемного капитала.</w:t>
      </w:r>
    </w:p>
    <w:p w:rsidR="00C47510" w:rsidRPr="00323A0A" w:rsidRDefault="00C47510" w:rsidP="00323A0A">
      <w:pPr>
        <w:tabs>
          <w:tab w:val="left" w:pos="36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23A0A">
        <w:rPr>
          <w:i/>
          <w:iCs/>
          <w:sz w:val="28"/>
          <w:szCs w:val="28"/>
        </w:rPr>
        <w:t>Политика привлечения заемных средств представляет собой часть общей финансовой стратегии,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предприятия.</w:t>
      </w:r>
    </w:p>
    <w:p w:rsidR="00C47510" w:rsidRPr="00323A0A" w:rsidRDefault="00C47510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Процесс формирования политики привлечения предприятием заемных средств предприятием включает следующие основные этапы:</w:t>
      </w:r>
    </w:p>
    <w:p w:rsidR="00C47510" w:rsidRPr="00323A0A" w:rsidRDefault="00C47510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Анализ привлечения и использования заемных с</w:t>
      </w:r>
      <w:r w:rsidR="00305815" w:rsidRPr="00323A0A">
        <w:rPr>
          <w:sz w:val="28"/>
          <w:szCs w:val="28"/>
        </w:rPr>
        <w:t>редств в предшествующем периоде;</w:t>
      </w:r>
    </w:p>
    <w:p w:rsidR="00C47510" w:rsidRPr="00323A0A" w:rsidRDefault="00C47510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Определение целей привлечения</w:t>
      </w:r>
      <w:r w:rsidR="00305815" w:rsidRPr="00323A0A">
        <w:rPr>
          <w:sz w:val="28"/>
          <w:szCs w:val="28"/>
        </w:rPr>
        <w:t xml:space="preserve"> заемных средств в предстоящем периоде;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Определение предельного объема привлечения заемных средств;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Оценка стоимости привлечения заемного капитала из различных источников;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Определение соотношения объема заемных средств, привлекаемых на кратко- и долгосрочной основе;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Определение форм привлечения заемных средств;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Определение состава основных кредиторов;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Формирование эффективных условий привлечения кредитов;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Обеспечение эффективного использования привлеченных кредитов;</w:t>
      </w:r>
    </w:p>
    <w:p w:rsidR="00305815" w:rsidRPr="00323A0A" w:rsidRDefault="00305815" w:rsidP="00323A0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Обеспечение своевременных расчетов по полученным кредитам.</w:t>
      </w:r>
    </w:p>
    <w:p w:rsidR="0098270F" w:rsidRDefault="00305815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23A0A">
        <w:rPr>
          <w:sz w:val="28"/>
          <w:szCs w:val="28"/>
        </w:rPr>
        <w:t>На предприятиях, привлекающих большой объем заемных средств в форме финансового и товарного (коммерческого) кредита, общая политика привлечения заемных средств может быть детализирована затем в разрезе указанных форм кредита.</w:t>
      </w:r>
    </w:p>
    <w:p w:rsidR="00305815" w:rsidRPr="00B424F6" w:rsidRDefault="00B424F6" w:rsidP="00B424F6">
      <w:pPr>
        <w:tabs>
          <w:tab w:val="left" w:pos="36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B424F6">
        <w:rPr>
          <w:sz w:val="28"/>
          <w:szCs w:val="28"/>
        </w:rPr>
        <w:br w:type="page"/>
      </w:r>
      <w:bookmarkStart w:id="10" w:name="_Toc224200624"/>
      <w:r w:rsidR="0098270F" w:rsidRPr="00B424F6">
        <w:rPr>
          <w:b/>
          <w:sz w:val="28"/>
          <w:szCs w:val="28"/>
        </w:rPr>
        <w:t>2.2. Анализ структуры источников финансирования предприятия и эффективности использования заемных средств</w:t>
      </w:r>
      <w:bookmarkEnd w:id="10"/>
    </w:p>
    <w:p w:rsidR="0098270F" w:rsidRPr="00323A0A" w:rsidRDefault="0098270F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74" w:type="dxa"/>
        <w:jc w:val="center"/>
        <w:tblLayout w:type="fixed"/>
        <w:tblLook w:val="0000" w:firstRow="0" w:lastRow="0" w:firstColumn="0" w:lastColumn="0" w:noHBand="0" w:noVBand="0"/>
      </w:tblPr>
      <w:tblGrid>
        <w:gridCol w:w="1740"/>
        <w:gridCol w:w="1313"/>
        <w:gridCol w:w="736"/>
        <w:gridCol w:w="1161"/>
        <w:gridCol w:w="809"/>
        <w:gridCol w:w="1234"/>
        <w:gridCol w:w="736"/>
        <w:gridCol w:w="845"/>
      </w:tblGrid>
      <w:tr w:rsidR="0098270F" w:rsidRPr="00B424F6" w:rsidTr="00B424F6">
        <w:trPr>
          <w:trHeight w:val="335"/>
          <w:jc w:val="center"/>
        </w:trPr>
        <w:tc>
          <w:tcPr>
            <w:tcW w:w="8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Таблица 2 - Аналитический баланс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на начало периода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на конец периода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изменение</w:t>
            </w:r>
          </w:p>
        </w:tc>
      </w:tr>
      <w:tr w:rsidR="0098270F" w:rsidRPr="00B424F6" w:rsidTr="00B424F6">
        <w:trPr>
          <w:trHeight w:val="684"/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тыс.руб.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тыс.руб.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абсолютное, тыс.руб.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относительное, 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структуры, %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ПАССИВ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1. Собственный капитал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3192884,00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43,22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6357614,00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68,62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3164730,00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99,12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25,41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1.1. Уставный капитал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409211,00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409211,00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4,42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-1,12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1.2. Добавочный капитал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1175063,00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15,90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1169940,00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12,63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-5123,00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-0,44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-3,28</w:t>
            </w:r>
          </w:p>
        </w:tc>
      </w:tr>
      <w:tr w:rsidR="0098270F" w:rsidRPr="00B424F6" w:rsidTr="00B424F6">
        <w:trPr>
          <w:trHeight w:val="456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1.3. Нераспределенная прибыль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1608610,00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21,77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4778463,00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51,58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3169853,00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197,06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29,80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 Заемный капитал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4195426,00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56,78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2907115,00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31,38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-1288311,00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-30,71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-25,41</w:t>
            </w:r>
          </w:p>
        </w:tc>
      </w:tr>
      <w:tr w:rsidR="0098270F" w:rsidRPr="00B424F6" w:rsidTr="00B424F6">
        <w:trPr>
          <w:trHeight w:val="456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2.1. Долгосрочные обязательства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118021,00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230124,00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2,48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112103,00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94,99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0,89</w:t>
            </w:r>
          </w:p>
        </w:tc>
      </w:tr>
      <w:tr w:rsidR="0098270F" w:rsidRPr="00B424F6" w:rsidTr="00B424F6">
        <w:trPr>
          <w:trHeight w:val="456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2.2. Краткосрочные обязательства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4077405,00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55,19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2676991,00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28,89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-1400414,00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-34,35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-26,29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2.2.1. Краткосрочные кредиты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2541745,00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1126802,00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12,16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-1414943,00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-55,67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-22,24</w:t>
            </w:r>
          </w:p>
        </w:tc>
      </w:tr>
      <w:tr w:rsidR="0098270F" w:rsidRPr="00B424F6" w:rsidTr="00B424F6">
        <w:trPr>
          <w:trHeight w:val="456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2.2.2. Кредиторская задолженность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1535660,00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1550189,00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16,73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14529,00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-4,05</w:t>
            </w:r>
          </w:p>
        </w:tc>
      </w:tr>
      <w:tr w:rsidR="0098270F" w:rsidRPr="00B424F6" w:rsidTr="00B424F6">
        <w:trPr>
          <w:trHeight w:val="509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2.2.3. Прочие краткосрочные обязательства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0,00</w:t>
            </w:r>
          </w:p>
        </w:tc>
      </w:tr>
      <w:tr w:rsidR="0098270F" w:rsidRPr="00B424F6" w:rsidTr="00B424F6">
        <w:trPr>
          <w:trHeight w:val="22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Итого (источники средств)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7388310,00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9264729,00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1876419,00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8270F" w:rsidRPr="00B424F6" w:rsidTr="00B424F6">
        <w:trPr>
          <w:trHeight w:val="47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Чистые активы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70F" w:rsidRPr="00B424F6" w:rsidRDefault="0098270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:rsidR="0072001F" w:rsidRPr="00323A0A" w:rsidRDefault="0072001F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br w:type="page"/>
      </w:r>
    </w:p>
    <w:tbl>
      <w:tblPr>
        <w:tblW w:w="8491" w:type="dxa"/>
        <w:jc w:val="center"/>
        <w:tblLook w:val="0000" w:firstRow="0" w:lastRow="0" w:firstColumn="0" w:lastColumn="0" w:noHBand="0" w:noVBand="0"/>
      </w:tblPr>
      <w:tblGrid>
        <w:gridCol w:w="2307"/>
        <w:gridCol w:w="1275"/>
        <w:gridCol w:w="1266"/>
        <w:gridCol w:w="1266"/>
        <w:gridCol w:w="1166"/>
        <w:gridCol w:w="1211"/>
      </w:tblGrid>
      <w:tr w:rsidR="0072001F" w:rsidRPr="00B424F6" w:rsidTr="00B424F6">
        <w:trPr>
          <w:trHeight w:val="229"/>
          <w:jc w:val="center"/>
        </w:trPr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Таблица 3 - Аналитическая форма отчета о прибылях и убытках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Строки формы №2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2005 год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2006 год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Изменение</w:t>
            </w:r>
          </w:p>
        </w:tc>
      </w:tr>
      <w:tr w:rsidR="0072001F" w:rsidRPr="00B424F6" w:rsidTr="00B424F6">
        <w:trPr>
          <w:trHeight w:val="458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абс., тыс.руб.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относит., %</w:t>
            </w:r>
          </w:p>
        </w:tc>
      </w:tr>
      <w:tr w:rsidR="0072001F" w:rsidRPr="00B424F6" w:rsidTr="00B424F6">
        <w:trPr>
          <w:trHeight w:val="458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Доходы и расходы от операционной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72001F" w:rsidRPr="00B424F6" w:rsidTr="00B424F6">
        <w:trPr>
          <w:trHeight w:val="687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1. Выручка от продажи товаров, продукции,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16799160,00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19416808,00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2617648,00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15,58</w:t>
            </w:r>
          </w:p>
        </w:tc>
      </w:tr>
      <w:tr w:rsidR="0072001F" w:rsidRPr="00B424F6" w:rsidTr="00B424F6">
        <w:trPr>
          <w:trHeight w:val="687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 Себестоимость проданных товаров, продукции,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12491799,00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12915923,00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424124,00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3,40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3. Валовая прибыль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4307361,00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6500885,00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2193524,00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50,93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4. Коммерческие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620047,00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560031,00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-60016,00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-9,68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5. Управленческие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954765,00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1032638,00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77873,00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8,16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6. Прибыль от продаж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2732549,00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4908216,00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2175667,00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79,62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7. Прочие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363263,00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347236,00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-16027,00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-4,41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8. Прочие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693655,00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639460,00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-54195,00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-7,81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9. ПВПН (EBIT)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050+090-100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2402157,00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4615992,00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2213835,00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92,16</w:t>
            </w:r>
          </w:p>
        </w:tc>
      </w:tr>
      <w:tr w:rsidR="0072001F" w:rsidRPr="00B424F6" w:rsidTr="00B424F6">
        <w:trPr>
          <w:trHeight w:val="458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10. Амортизация основных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1627508,00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1831865,00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204357,00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12,56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11. EBITDA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4029665,00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6447857,00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2418192,00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60,01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12. Проценты к уплате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384647,00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214033,00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-170614,00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-44,36</w:t>
            </w:r>
          </w:p>
        </w:tc>
      </w:tr>
      <w:tr w:rsidR="0072001F" w:rsidRPr="00B424F6" w:rsidTr="00B424F6">
        <w:trPr>
          <w:trHeight w:val="458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13. Финансовые и инвестиционные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060+080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634,00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186,00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-448,00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-70,66</w:t>
            </w:r>
          </w:p>
        </w:tc>
      </w:tr>
      <w:tr w:rsidR="0072001F" w:rsidRPr="00B424F6" w:rsidTr="00B424F6">
        <w:trPr>
          <w:trHeight w:val="458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14. Прибыль до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2018144,00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4402145,00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2384001,00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118,13</w:t>
            </w:r>
          </w:p>
        </w:tc>
      </w:tr>
      <w:tr w:rsidR="0072001F" w:rsidRPr="00B424F6" w:rsidTr="00B424F6">
        <w:trPr>
          <w:trHeight w:val="229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B424F6">
              <w:rPr>
                <w:b/>
                <w:bCs/>
                <w:sz w:val="20"/>
                <w:szCs w:val="20"/>
                <w:lang w:eastAsia="zh-CN"/>
              </w:rPr>
              <w:t>15. Чистая прибыль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1460352,00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3223151,00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1762799,00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120,71</w:t>
            </w:r>
          </w:p>
        </w:tc>
      </w:tr>
    </w:tbl>
    <w:p w:rsidR="0098270F" w:rsidRPr="00323A0A" w:rsidRDefault="0098270F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001F" w:rsidRDefault="0072001F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23A0A">
        <w:rPr>
          <w:sz w:val="28"/>
          <w:szCs w:val="28"/>
        </w:rPr>
        <w:t>Таблица 4 – Управленческая форма Отчета о прибылях и убытках</w:t>
      </w:r>
    </w:p>
    <w:p w:rsidR="00B424F6" w:rsidRPr="00B424F6" w:rsidRDefault="00B424F6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6000" w:type="dxa"/>
        <w:jc w:val="center"/>
        <w:tblLook w:val="0000" w:firstRow="0" w:lastRow="0" w:firstColumn="0" w:lastColumn="0" w:noHBand="0" w:noVBand="0"/>
      </w:tblPr>
      <w:tblGrid>
        <w:gridCol w:w="2960"/>
        <w:gridCol w:w="1600"/>
        <w:gridCol w:w="1440"/>
      </w:tblGrid>
      <w:tr w:rsidR="0072001F" w:rsidRPr="00B424F6" w:rsidTr="00B424F6">
        <w:trPr>
          <w:trHeight w:val="25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2005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2006 год</w:t>
            </w:r>
          </w:p>
        </w:tc>
      </w:tr>
      <w:tr w:rsidR="0072001F" w:rsidRPr="00B424F6" w:rsidTr="00B424F6">
        <w:trPr>
          <w:trHeight w:val="76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1. Выручка от продажи товаров, продукции, работ, услуг, тыс.руб.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16799160,00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19416808,00</w:t>
            </w:r>
          </w:p>
        </w:tc>
      </w:tr>
      <w:tr w:rsidR="0072001F" w:rsidRPr="00B424F6" w:rsidTr="00B424F6">
        <w:trPr>
          <w:trHeight w:val="25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2. ПВПН, тыс.руб.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2402157,00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4615992,00</w:t>
            </w:r>
          </w:p>
        </w:tc>
      </w:tr>
      <w:tr w:rsidR="0072001F" w:rsidRPr="00B424F6" w:rsidTr="00B424F6">
        <w:trPr>
          <w:trHeight w:val="51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3. Затраты общие (п.1-п.2), тыс.руб.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14397003,00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14800816,00</w:t>
            </w:r>
          </w:p>
        </w:tc>
      </w:tr>
      <w:tr w:rsidR="0072001F" w:rsidRPr="00B424F6" w:rsidTr="00B424F6">
        <w:trPr>
          <w:trHeight w:val="51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4. Затраты переменные, тыс.руб.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8638201,80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8880489,60</w:t>
            </w:r>
          </w:p>
        </w:tc>
      </w:tr>
      <w:tr w:rsidR="0072001F" w:rsidRPr="00B424F6" w:rsidTr="00B424F6">
        <w:trPr>
          <w:trHeight w:val="25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5. Валовая маржа, тыс.руб.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8160958,20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10536318,40</w:t>
            </w:r>
          </w:p>
        </w:tc>
      </w:tr>
      <w:tr w:rsidR="0072001F" w:rsidRPr="00B424F6" w:rsidTr="00B424F6">
        <w:trPr>
          <w:trHeight w:val="51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6. Затраты постоянные (без финансовых), тыс.руб.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5758801,20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5920326,40</w:t>
            </w:r>
          </w:p>
        </w:tc>
      </w:tr>
      <w:tr w:rsidR="0072001F" w:rsidRPr="00B424F6" w:rsidTr="00B424F6">
        <w:trPr>
          <w:trHeight w:val="25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1F" w:rsidRPr="00B424F6" w:rsidRDefault="0072001F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5. СВОР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01F" w:rsidRPr="00B424F6" w:rsidRDefault="009A70E3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0E3" w:rsidRPr="00B424F6" w:rsidRDefault="009A70E3" w:rsidP="00B424F6">
            <w:pPr>
              <w:jc w:val="both"/>
              <w:rPr>
                <w:sz w:val="20"/>
                <w:szCs w:val="20"/>
                <w:lang w:eastAsia="zh-CN"/>
              </w:rPr>
            </w:pPr>
            <w:r w:rsidRPr="00B424F6">
              <w:rPr>
                <w:sz w:val="20"/>
                <w:szCs w:val="20"/>
                <w:lang w:eastAsia="zh-CN"/>
              </w:rPr>
              <w:t>3,21</w:t>
            </w:r>
          </w:p>
        </w:tc>
      </w:tr>
    </w:tbl>
    <w:p w:rsidR="0072001F" w:rsidRPr="00323A0A" w:rsidRDefault="0072001F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0182" w:rsidRPr="00323A0A" w:rsidRDefault="00172E78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Показатель </w:t>
      </w:r>
      <w:r w:rsidR="009A70E3" w:rsidRPr="00323A0A">
        <w:rPr>
          <w:sz w:val="28"/>
          <w:szCs w:val="28"/>
        </w:rPr>
        <w:t>СВОР показывает оценку предпринимательского риска</w:t>
      </w:r>
      <w:r w:rsidRPr="00323A0A">
        <w:rPr>
          <w:sz w:val="28"/>
          <w:szCs w:val="28"/>
        </w:rPr>
        <w:t>. В 2006 году (отчетном), по сравнению с 2005 годом, показатель снизился с отметки 5,99 до 3,21, а это значит, что при изменении выручки на 1% ПВПН изменится на 3,21%.</w:t>
      </w:r>
    </w:p>
    <w:p w:rsidR="00172E78" w:rsidRPr="00323A0A" w:rsidRDefault="00EB4269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Снижение СВОР говорит о возможности увеличения доли заемных средств.</w:t>
      </w:r>
    </w:p>
    <w:p w:rsidR="00172E78" w:rsidRPr="00323A0A" w:rsidRDefault="00172E78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0182" w:rsidRPr="00323A0A" w:rsidRDefault="00D3018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Таблица 5 – Исходные </w:t>
      </w:r>
      <w:r w:rsidR="009A70E3" w:rsidRPr="00323A0A">
        <w:rPr>
          <w:sz w:val="28"/>
          <w:szCs w:val="28"/>
        </w:rPr>
        <w:t>данные дл</w:t>
      </w:r>
      <w:r w:rsidRPr="00323A0A">
        <w:rPr>
          <w:sz w:val="28"/>
          <w:szCs w:val="28"/>
        </w:rPr>
        <w:t>я анализа инвестиционной и инновационной деятельности за отчетный год, тыс. руб. (Форма №5)</w:t>
      </w:r>
    </w:p>
    <w:tbl>
      <w:tblPr>
        <w:tblW w:w="7491" w:type="dxa"/>
        <w:jc w:val="center"/>
        <w:tblLook w:val="0000" w:firstRow="0" w:lastRow="0" w:firstColumn="0" w:lastColumn="0" w:noHBand="0" w:noVBand="0"/>
      </w:tblPr>
      <w:tblGrid>
        <w:gridCol w:w="2054"/>
        <w:gridCol w:w="1421"/>
        <w:gridCol w:w="1401"/>
        <w:gridCol w:w="1194"/>
        <w:gridCol w:w="1421"/>
      </w:tblGrid>
      <w:tr w:rsidR="00D30182" w:rsidRPr="0031228B" w:rsidTr="0031228B">
        <w:trPr>
          <w:trHeight w:val="4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На начало года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Поступило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Выбыло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На конец года</w:t>
            </w:r>
          </w:p>
        </w:tc>
      </w:tr>
      <w:tr w:rsidR="00D30182" w:rsidRPr="0031228B" w:rsidTr="0031228B">
        <w:trPr>
          <w:trHeight w:val="206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Нематериальные активы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1538,00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1543,00</w:t>
            </w:r>
          </w:p>
        </w:tc>
      </w:tr>
      <w:tr w:rsidR="00D30182" w:rsidRPr="0031228B" w:rsidTr="0031228B">
        <w:trPr>
          <w:trHeight w:val="206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Основные средства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4495647,00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349742,00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66081,00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4779308,00</w:t>
            </w:r>
          </w:p>
        </w:tc>
      </w:tr>
      <w:tr w:rsidR="00D30182" w:rsidRPr="0031228B" w:rsidTr="0031228B">
        <w:trPr>
          <w:trHeight w:val="618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в т.ч. Машины и оборудование, транспортные средства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2315730,00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324037,00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54134,00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2585633,00</w:t>
            </w:r>
          </w:p>
        </w:tc>
      </w:tr>
      <w:tr w:rsidR="00D30182" w:rsidRPr="0031228B" w:rsidTr="0031228B">
        <w:trPr>
          <w:trHeight w:val="618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Амортизация машин и оборудования, транспортных средств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858231,00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182" w:rsidRPr="0031228B" w:rsidRDefault="00D30182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1042315,00</w:t>
            </w:r>
          </w:p>
        </w:tc>
      </w:tr>
    </w:tbl>
    <w:p w:rsidR="00172E78" w:rsidRPr="00323A0A" w:rsidRDefault="00172E78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2E78" w:rsidRPr="00323A0A" w:rsidRDefault="002D2F0E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Из таблицы 5 видно, что инвестиционная </w:t>
      </w:r>
      <w:r w:rsidR="008A2FC9" w:rsidRPr="00323A0A">
        <w:rPr>
          <w:sz w:val="28"/>
          <w:szCs w:val="28"/>
        </w:rPr>
        <w:t xml:space="preserve">и инновационная </w:t>
      </w:r>
      <w:r w:rsidRPr="00323A0A">
        <w:rPr>
          <w:sz w:val="28"/>
          <w:szCs w:val="28"/>
        </w:rPr>
        <w:t xml:space="preserve">деятельность предприятия приносит ему положительный результат. Так, сумма нематериальных активов увеличилась на 5 тыс. руб. в связи с их дополнительным поступлением в отчетном году, сумма основных средств также увеличилась на </w:t>
      </w:r>
      <w:r w:rsidR="008A2FC9" w:rsidRPr="00323A0A">
        <w:rPr>
          <w:sz w:val="28"/>
          <w:szCs w:val="28"/>
        </w:rPr>
        <w:t>283661 тыс. руб. за счет большего поступления машин и оборудования, транспортных средств, нежели выбытия.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Рассчитаем силу воздействия финансового рычага и </w:t>
      </w:r>
      <w:r w:rsidR="00172E78" w:rsidRPr="00323A0A">
        <w:rPr>
          <w:sz w:val="28"/>
          <w:szCs w:val="28"/>
        </w:rPr>
        <w:t>дадим оценку финансовому риску на предприятии</w:t>
      </w:r>
      <w:r w:rsidRPr="00323A0A">
        <w:rPr>
          <w:sz w:val="28"/>
          <w:szCs w:val="28"/>
        </w:rPr>
        <w:t>:</w:t>
      </w:r>
    </w:p>
    <w:p w:rsidR="0072001F" w:rsidRPr="00323A0A" w:rsidRDefault="0037771C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position w:val="-24"/>
          <w:sz w:val="28"/>
          <w:szCs w:val="28"/>
        </w:rPr>
        <w:object w:dxaOrig="2240" w:dyaOrig="660">
          <v:shape id="_x0000_i1036" type="#_x0000_t75" style="width:111.75pt;height:33pt" o:ole="">
            <v:imagedata r:id="rId27" o:title=""/>
          </v:shape>
          <o:OLEObject Type="Embed" ProgID="Equation.3" ShapeID="_x0000_i1036" DrawAspect="Content" ObjectID="_1458747511" r:id="rId28"/>
        </w:object>
      </w:r>
      <w:r w:rsidRPr="00323A0A">
        <w:rPr>
          <w:sz w:val="28"/>
          <w:szCs w:val="28"/>
        </w:rPr>
        <w:t>;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23A0A">
        <w:rPr>
          <w:sz w:val="28"/>
          <w:szCs w:val="28"/>
        </w:rPr>
        <w:t xml:space="preserve">где </w:t>
      </w:r>
      <w:r w:rsidRPr="00323A0A">
        <w:rPr>
          <w:i/>
          <w:iCs/>
          <w:sz w:val="28"/>
          <w:szCs w:val="28"/>
        </w:rPr>
        <w:t xml:space="preserve">Проц.кред – </w:t>
      </w:r>
      <w:r w:rsidRPr="00323A0A">
        <w:rPr>
          <w:sz w:val="28"/>
          <w:szCs w:val="28"/>
        </w:rPr>
        <w:t>проценты за кредит;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 xml:space="preserve">ПВПН – </w:t>
      </w:r>
      <w:r w:rsidRPr="00323A0A">
        <w:rPr>
          <w:sz w:val="28"/>
          <w:szCs w:val="28"/>
        </w:rPr>
        <w:t>прибыль до выплаты процентов и налогов.</w:t>
      </w:r>
    </w:p>
    <w:p w:rsidR="0037771C" w:rsidRPr="00323A0A" w:rsidRDefault="0037771C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СВФР2005 = 1+(384647/2402157) = 1,16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СВФР2006 = 1+(214033/4615992) = 1,05</w:t>
      </w:r>
    </w:p>
    <w:p w:rsidR="00172E78" w:rsidRPr="00323A0A" w:rsidRDefault="00172E78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СВФР показывает, что чистая прибыль на акцию в 2006 году изменится на 1,05% при изменении ПВПН на 1%</w:t>
      </w:r>
      <w:r w:rsidR="00EC4B4F" w:rsidRPr="00323A0A">
        <w:rPr>
          <w:sz w:val="28"/>
          <w:szCs w:val="28"/>
        </w:rPr>
        <w:t>. В 2005 году показатель был немного выше и составлял 1,16.</w:t>
      </w:r>
    </w:p>
    <w:p w:rsidR="007F4604" w:rsidRPr="00323A0A" w:rsidRDefault="00EC4B4F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Рассчитаем уровень эффекта финансового рычага для того, чтобы узнать изменение рентабельности собственных средств</w:t>
      </w:r>
      <w:r w:rsidR="00EB3A88" w:rsidRPr="00323A0A">
        <w:rPr>
          <w:sz w:val="28"/>
          <w:szCs w:val="28"/>
        </w:rPr>
        <w:t>: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position w:val="-24"/>
          <w:sz w:val="28"/>
          <w:szCs w:val="28"/>
        </w:rPr>
        <w:object w:dxaOrig="4160" w:dyaOrig="620">
          <v:shape id="_x0000_i1037" type="#_x0000_t75" style="width:207.75pt;height:30.75pt" o:ole="">
            <v:imagedata r:id="rId29" o:title=""/>
          </v:shape>
          <o:OLEObject Type="Embed" ProgID="Equation.3" ShapeID="_x0000_i1037" DrawAspect="Content" ObjectID="_1458747512" r:id="rId30"/>
        </w:object>
      </w:r>
      <w:r w:rsidRPr="00323A0A">
        <w:rPr>
          <w:sz w:val="28"/>
          <w:szCs w:val="28"/>
        </w:rPr>
        <w:t>;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где </w:t>
      </w:r>
      <w:r w:rsidRPr="00323A0A">
        <w:rPr>
          <w:i/>
          <w:iCs/>
          <w:sz w:val="28"/>
          <w:szCs w:val="28"/>
        </w:rPr>
        <w:t>Нп</w:t>
      </w:r>
      <w:r w:rsidRPr="00323A0A">
        <w:rPr>
          <w:sz w:val="28"/>
          <w:szCs w:val="28"/>
        </w:rPr>
        <w:t xml:space="preserve"> – налог на прибыль (24%);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Рсов.кап.</w:t>
      </w:r>
      <w:r w:rsidRPr="00323A0A">
        <w:rPr>
          <w:sz w:val="28"/>
          <w:szCs w:val="28"/>
        </w:rPr>
        <w:t xml:space="preserve"> – рентабельность совокупного капитала;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ЗС</w:t>
      </w:r>
      <w:r w:rsidRPr="00323A0A">
        <w:rPr>
          <w:sz w:val="28"/>
          <w:szCs w:val="28"/>
        </w:rPr>
        <w:t xml:space="preserve"> – заемные средства;</w:t>
      </w:r>
    </w:p>
    <w:p w:rsidR="00E036B2" w:rsidRPr="00323A0A" w:rsidRDefault="00E036B2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СС</w:t>
      </w:r>
      <w:r w:rsidRPr="00323A0A">
        <w:rPr>
          <w:sz w:val="28"/>
          <w:szCs w:val="28"/>
        </w:rPr>
        <w:t xml:space="preserve"> – собственные средства.</w:t>
      </w:r>
    </w:p>
    <w:p w:rsidR="007F4604" w:rsidRPr="00323A0A" w:rsidRDefault="007F4604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УЭФР2005 = (1 – 0,24)*(</w:t>
      </w:r>
      <w:r w:rsidR="00622037" w:rsidRPr="00323A0A">
        <w:rPr>
          <w:sz w:val="28"/>
          <w:szCs w:val="28"/>
        </w:rPr>
        <w:t>0,23 – 0,19)*1,04=0,03</w:t>
      </w:r>
    </w:p>
    <w:p w:rsidR="00622037" w:rsidRPr="00323A0A" w:rsidRDefault="00622037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УЭФР2006 = (1 – 0,24)*(0,2 – 0,15)*0,4= </w:t>
      </w:r>
      <w:r w:rsidR="00547EF1" w:rsidRPr="00323A0A">
        <w:rPr>
          <w:sz w:val="28"/>
          <w:szCs w:val="28"/>
        </w:rPr>
        <w:t>0,02</w:t>
      </w:r>
    </w:p>
    <w:p w:rsidR="00547EF1" w:rsidRPr="00323A0A" w:rsidRDefault="00547EF1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УЭФР приращен к рентабельности собственных средств, полученной благодаря использованию кредитов. В 2005 году показатель составил 0,02, это значит, что рентабельность собственных средств увеличилась на 2%. В 2006 году УЭФР составил 0,03, т.е. рентабельность собственных средств увеличилась по сравнению с предыдущим периодом на 3%.</w:t>
      </w:r>
    </w:p>
    <w:p w:rsidR="00547EF1" w:rsidRPr="00323A0A" w:rsidRDefault="00547EF1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Если новое заимствование приносит предприятию увеличение УЭФР, то такое заимствование выгодно. Разумный финансовый менеджер не станет любой ценой увеличивать финансовый рычаг, а будет регулировать его в зависимости от разницы рентабельности совокупного капитала и средней расчетной ставки процента.</w:t>
      </w:r>
    </w:p>
    <w:p w:rsidR="00547EF1" w:rsidRPr="00323A0A" w:rsidRDefault="00547EF1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7EF1" w:rsidRPr="00323A0A" w:rsidRDefault="00547EF1" w:rsidP="0031228B">
      <w:pPr>
        <w:pStyle w:val="3"/>
      </w:pPr>
      <w:bookmarkStart w:id="11" w:name="_Toc224200625"/>
      <w:r w:rsidRPr="00323A0A">
        <w:t xml:space="preserve">2.3. </w:t>
      </w:r>
      <w:r w:rsidR="00E56175" w:rsidRPr="00323A0A">
        <w:t>Анализ факторов, влияющих на структуру источников финансирования</w:t>
      </w:r>
      <w:bookmarkEnd w:id="11"/>
    </w:p>
    <w:p w:rsidR="00E56175" w:rsidRPr="00323A0A" w:rsidRDefault="00E56175" w:rsidP="00323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6175" w:rsidRPr="00323A0A" w:rsidRDefault="00E56175" w:rsidP="00323A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>При формировании структуры источников финансирования необходимо учитывать следующие факторы:</w:t>
      </w:r>
    </w:p>
    <w:p w:rsidR="002D2F0E" w:rsidRPr="00323A0A" w:rsidRDefault="00E56175" w:rsidP="00323A0A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3A0A">
        <w:rPr>
          <w:bCs/>
          <w:i/>
          <w:iCs/>
          <w:sz w:val="28"/>
          <w:szCs w:val="28"/>
        </w:rPr>
        <w:t>Отраслевые особе</w:t>
      </w:r>
      <w:r w:rsidR="00867B86" w:rsidRPr="00323A0A">
        <w:rPr>
          <w:bCs/>
          <w:i/>
          <w:iCs/>
          <w:sz w:val="28"/>
          <w:szCs w:val="28"/>
        </w:rPr>
        <w:t xml:space="preserve">нности деятельности предприятия: </w:t>
      </w:r>
      <w:r w:rsidR="00454B19" w:rsidRPr="00323A0A">
        <w:rPr>
          <w:bCs/>
          <w:sz w:val="28"/>
          <w:szCs w:val="28"/>
        </w:rPr>
        <w:t>в 2005 году</w:t>
      </w:r>
      <w:r w:rsidR="00867B86" w:rsidRPr="00323A0A">
        <w:rPr>
          <w:bCs/>
          <w:sz w:val="28"/>
          <w:szCs w:val="28"/>
        </w:rPr>
        <w:t xml:space="preserve"> кредитов и займов у предприятия было 2541745 тыс. руб., в отчетном же году эта сумма составила 1</w:t>
      </w:r>
      <w:r w:rsidR="005C4F7F" w:rsidRPr="00323A0A">
        <w:rPr>
          <w:bCs/>
          <w:sz w:val="28"/>
          <w:szCs w:val="28"/>
        </w:rPr>
        <w:t>180710 тыс. руб. (см. Форму №5)</w:t>
      </w:r>
      <w:r w:rsidR="002D2F0E" w:rsidRPr="00323A0A">
        <w:rPr>
          <w:bCs/>
          <w:sz w:val="28"/>
          <w:szCs w:val="28"/>
        </w:rPr>
        <w:t>. Уменьшение показателя говорит об увеличении доли собственных средств.</w:t>
      </w:r>
      <w:r w:rsidR="005C4F7F" w:rsidRPr="00323A0A">
        <w:rPr>
          <w:bCs/>
          <w:sz w:val="28"/>
          <w:szCs w:val="28"/>
        </w:rPr>
        <w:t xml:space="preserve">СВОР снизился с </w:t>
      </w:r>
      <w:r w:rsidR="005C4F7F" w:rsidRPr="00323A0A">
        <w:rPr>
          <w:sz w:val="28"/>
          <w:szCs w:val="28"/>
        </w:rPr>
        <w:t>отметки 5,99 до 3,21</w:t>
      </w:r>
      <w:r w:rsidR="002D2F0E" w:rsidRPr="00323A0A">
        <w:rPr>
          <w:sz w:val="28"/>
          <w:szCs w:val="28"/>
        </w:rPr>
        <w:t>.</w:t>
      </w:r>
      <w:r w:rsidR="002D2F0E" w:rsidRPr="00323A0A">
        <w:rPr>
          <w:bCs/>
          <w:sz w:val="28"/>
          <w:szCs w:val="28"/>
        </w:rPr>
        <w:t xml:space="preserve"> С</w:t>
      </w:r>
      <w:r w:rsidR="005C4F7F" w:rsidRPr="00323A0A">
        <w:rPr>
          <w:bCs/>
          <w:sz w:val="28"/>
          <w:szCs w:val="28"/>
        </w:rPr>
        <w:t>труктура активов имеет положительную динамику: сумма активов ув</w:t>
      </w:r>
      <w:r w:rsidR="000B3EBC" w:rsidRPr="00323A0A">
        <w:rPr>
          <w:bCs/>
          <w:sz w:val="28"/>
          <w:szCs w:val="28"/>
        </w:rPr>
        <w:t xml:space="preserve">еличилась на </w:t>
      </w:r>
      <w:r w:rsidR="002D2F0E" w:rsidRPr="00323A0A">
        <w:rPr>
          <w:bCs/>
          <w:sz w:val="28"/>
          <w:szCs w:val="28"/>
        </w:rPr>
        <w:t xml:space="preserve">1884304 тыс. руб., </w:t>
      </w:r>
      <w:r w:rsidR="000B3EBC" w:rsidRPr="00323A0A">
        <w:rPr>
          <w:bCs/>
          <w:sz w:val="28"/>
          <w:szCs w:val="28"/>
        </w:rPr>
        <w:t xml:space="preserve">из которых внеоборотные – на </w:t>
      </w:r>
      <w:r w:rsidR="002D2F0E" w:rsidRPr="00323A0A">
        <w:rPr>
          <w:bCs/>
          <w:sz w:val="28"/>
          <w:szCs w:val="28"/>
        </w:rPr>
        <w:t>530033 тыс. руб., а</w:t>
      </w:r>
      <w:r w:rsidR="000B3EBC" w:rsidRPr="00323A0A">
        <w:rPr>
          <w:bCs/>
          <w:sz w:val="28"/>
          <w:szCs w:val="28"/>
        </w:rPr>
        <w:t xml:space="preserve"> оборотные – на </w:t>
      </w:r>
      <w:r w:rsidR="002D2F0E" w:rsidRPr="00323A0A">
        <w:rPr>
          <w:bCs/>
          <w:sz w:val="28"/>
          <w:szCs w:val="28"/>
        </w:rPr>
        <w:t>1354271 тыс. руб.</w:t>
      </w:r>
    </w:p>
    <w:p w:rsidR="002D2F0E" w:rsidRPr="00323A0A" w:rsidRDefault="005C4F7F" w:rsidP="00323A0A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3A0A">
        <w:rPr>
          <w:bCs/>
          <w:i/>
          <w:iCs/>
          <w:sz w:val="28"/>
          <w:szCs w:val="28"/>
        </w:rPr>
        <w:t>Длитель</w:t>
      </w:r>
      <w:r w:rsidR="00867B86" w:rsidRPr="00323A0A">
        <w:rPr>
          <w:bCs/>
          <w:i/>
          <w:iCs/>
          <w:sz w:val="28"/>
          <w:szCs w:val="28"/>
        </w:rPr>
        <w:t>ность операционного цикла:</w:t>
      </w:r>
      <w:r w:rsidR="00867B86" w:rsidRPr="00323A0A">
        <w:rPr>
          <w:bCs/>
          <w:sz w:val="28"/>
          <w:szCs w:val="28"/>
        </w:rPr>
        <w:t xml:space="preserve"> период оборота оборотных средств в 2005 году составил </w:t>
      </w:r>
      <w:r w:rsidR="00454B19" w:rsidRPr="00323A0A">
        <w:rPr>
          <w:bCs/>
          <w:sz w:val="28"/>
          <w:szCs w:val="28"/>
        </w:rPr>
        <w:t>91 день, в 2006 году – 104 дня. Увеличение этого периода показывает у</w:t>
      </w:r>
      <w:r w:rsidR="00890752" w:rsidRPr="00323A0A">
        <w:rPr>
          <w:bCs/>
          <w:sz w:val="28"/>
          <w:szCs w:val="28"/>
        </w:rPr>
        <w:t>меньшение доли заемных средств.</w:t>
      </w:r>
    </w:p>
    <w:p w:rsidR="002D2F0E" w:rsidRPr="00323A0A" w:rsidRDefault="00890752" w:rsidP="00323A0A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3A0A">
        <w:rPr>
          <w:bCs/>
          <w:i/>
          <w:iCs/>
          <w:sz w:val="28"/>
          <w:szCs w:val="28"/>
        </w:rPr>
        <w:t>Стадия жизненного цикла:</w:t>
      </w:r>
      <w:r w:rsidRPr="00323A0A">
        <w:rPr>
          <w:sz w:val="28"/>
          <w:szCs w:val="28"/>
        </w:rPr>
        <w:t xml:space="preserve"> предприятие находится в стадии зрелости (рост продаж), это говорит о том, что необходимо в большей степени использовать собственные средства. Для такого предприятия возможна эмиссия акций (</w:t>
      </w:r>
      <w:r w:rsidRPr="00323A0A">
        <w:rPr>
          <w:sz w:val="28"/>
          <w:szCs w:val="28"/>
          <w:lang w:val="en-US"/>
        </w:rPr>
        <w:t>IPO</w:t>
      </w:r>
      <w:r w:rsidRPr="00323A0A">
        <w:rPr>
          <w:sz w:val="28"/>
          <w:szCs w:val="28"/>
        </w:rPr>
        <w:t>) – первичное их размещение.</w:t>
      </w:r>
    </w:p>
    <w:p w:rsidR="00C446A2" w:rsidRPr="00323A0A" w:rsidRDefault="00890752" w:rsidP="00323A0A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3A0A">
        <w:rPr>
          <w:bCs/>
          <w:i/>
          <w:iCs/>
          <w:sz w:val="28"/>
          <w:szCs w:val="28"/>
        </w:rPr>
        <w:t>Конъюнктура товарного рынка:</w:t>
      </w:r>
      <w:r w:rsidRPr="00323A0A">
        <w:rPr>
          <w:sz w:val="28"/>
          <w:szCs w:val="28"/>
        </w:rPr>
        <w:t xml:space="preserve"> </w:t>
      </w:r>
      <w:r w:rsidR="00C446A2" w:rsidRPr="00323A0A">
        <w:rPr>
          <w:sz w:val="28"/>
          <w:szCs w:val="28"/>
        </w:rPr>
        <w:t>спрос на продукцию стабильный, о чем говорит увеличение выручки и прибыли в 2006 году по сравнению с 2005</w:t>
      </w:r>
      <w:r w:rsidR="00EB4269" w:rsidRPr="00323A0A">
        <w:rPr>
          <w:sz w:val="28"/>
          <w:szCs w:val="28"/>
        </w:rPr>
        <w:t>, а это значит, что использование заемных средств безопасно. При неблагоприятной конъюнктуре и сокращении объема следует снижать долю заемных средств.</w:t>
      </w:r>
    </w:p>
    <w:p w:rsidR="00EB4269" w:rsidRPr="00323A0A" w:rsidRDefault="00EB4269" w:rsidP="00323A0A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23A0A">
        <w:rPr>
          <w:bCs/>
          <w:i/>
          <w:iCs/>
          <w:sz w:val="28"/>
          <w:szCs w:val="28"/>
        </w:rPr>
        <w:t>Уровень рентабельности основной деятельности (рентабельность активов):</w:t>
      </w:r>
      <w:r w:rsidRPr="00323A0A">
        <w:rPr>
          <w:sz w:val="28"/>
          <w:szCs w:val="28"/>
        </w:rPr>
        <w:t xml:space="preserve"> в 2005 году рентабельность активов составила 19,63%, а в 2006 году увеличилась до 34,57%. Увеличение показателя расширяет потенциал возможности использования заемных средств.</w:t>
      </w:r>
    </w:p>
    <w:p w:rsidR="002928E3" w:rsidRPr="00323A0A" w:rsidRDefault="002928E3" w:rsidP="0031228B">
      <w:pPr>
        <w:pStyle w:val="3"/>
      </w:pPr>
    </w:p>
    <w:p w:rsidR="00CF1A45" w:rsidRPr="00323A0A" w:rsidRDefault="00CF1A45" w:rsidP="0031228B">
      <w:pPr>
        <w:pStyle w:val="3"/>
      </w:pPr>
      <w:bookmarkStart w:id="12" w:name="_Toc224200626"/>
      <w:r w:rsidRPr="00323A0A">
        <w:t>2.4. Организационные аспекты реализации политики</w:t>
      </w:r>
      <w:bookmarkEnd w:id="12"/>
    </w:p>
    <w:p w:rsidR="00CF1A45" w:rsidRPr="00323A0A" w:rsidRDefault="00CF1A45" w:rsidP="00323A0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F1A45" w:rsidRPr="00323A0A" w:rsidRDefault="00CF1A45" w:rsidP="00323A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23A0A">
        <w:rPr>
          <w:bCs/>
          <w:sz w:val="28"/>
          <w:szCs w:val="28"/>
        </w:rPr>
        <w:t xml:space="preserve">Все операции учета </w:t>
      </w:r>
      <w:r w:rsidR="00A4494E" w:rsidRPr="00323A0A">
        <w:rPr>
          <w:bCs/>
          <w:sz w:val="28"/>
          <w:szCs w:val="28"/>
        </w:rPr>
        <w:t xml:space="preserve">и изменения </w:t>
      </w:r>
      <w:r w:rsidRPr="00323A0A">
        <w:rPr>
          <w:bCs/>
          <w:sz w:val="28"/>
          <w:szCs w:val="28"/>
        </w:rPr>
        <w:t>источников финансирования на предприятии выполняет только финансово-экономический отдел (ФЭС). Также отдел занимается мониторингом и анализом следующих областей:</w:t>
      </w:r>
    </w:p>
    <w:p w:rsidR="00CF1A45" w:rsidRPr="00323A0A" w:rsidRDefault="00CF1A45" w:rsidP="00323A0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фондовый рынок (возможности финансовых вложений, инвестиций для приращения капитала; мониторинг биржевой системы и брокерских компаний)</w:t>
      </w:r>
      <w:r w:rsidR="00A4494E" w:rsidRPr="00323A0A">
        <w:rPr>
          <w:sz w:val="28"/>
          <w:szCs w:val="28"/>
        </w:rPr>
        <w:t>;</w:t>
      </w:r>
    </w:p>
    <w:p w:rsidR="00CF1A45" w:rsidRPr="00323A0A" w:rsidRDefault="00CF1A45" w:rsidP="00323A0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кредитный рынок (мониторинг банков, их требований к заемщикам; отслеживание изменений процентных ставок по кредитам;</w:t>
      </w:r>
      <w:r w:rsidR="00A4494E" w:rsidRPr="00323A0A">
        <w:rPr>
          <w:sz w:val="28"/>
          <w:szCs w:val="28"/>
        </w:rPr>
        <w:t xml:space="preserve"> анализ кредитных продуктов, условий заимствования);</w:t>
      </w:r>
    </w:p>
    <w:p w:rsidR="0096115E" w:rsidRPr="00323A0A" w:rsidRDefault="00A4494E" w:rsidP="00323A0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взаимоотношения с поставщиками (мониторинг и анализ возможности использования товарных кредитов).</w:t>
      </w:r>
    </w:p>
    <w:p w:rsidR="00082EE9" w:rsidRPr="00323A0A" w:rsidRDefault="0096115E" w:rsidP="00323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0A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24200627"/>
      <w:r w:rsidRPr="00323A0A">
        <w:rPr>
          <w:rFonts w:ascii="Times New Roman" w:hAnsi="Times New Roman" w:cs="Times New Roman"/>
          <w:sz w:val="28"/>
          <w:szCs w:val="28"/>
        </w:rPr>
        <w:t>3 ПРОГНОЗИРОВАНИЕ ФИНАНСОВЫХ ПОКАЗАТЕЛЕЙ</w:t>
      </w:r>
      <w:bookmarkEnd w:id="13"/>
    </w:p>
    <w:p w:rsidR="0096115E" w:rsidRPr="00323A0A" w:rsidRDefault="0096115E" w:rsidP="00323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5E" w:rsidRPr="00323A0A" w:rsidRDefault="0096115E" w:rsidP="0031228B">
      <w:pPr>
        <w:pStyle w:val="3"/>
      </w:pPr>
      <w:bookmarkStart w:id="14" w:name="_Toc224200628"/>
      <w:r w:rsidRPr="00323A0A">
        <w:t>3.1. Определение потребностей предприятия во внешних источниках финансирования (метод процента от продаж)</w:t>
      </w:r>
      <w:bookmarkEnd w:id="14"/>
    </w:p>
    <w:p w:rsidR="00FF65CC" w:rsidRPr="00323A0A" w:rsidRDefault="00FF65CC" w:rsidP="00323A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55" w:type="dxa"/>
        <w:jc w:val="center"/>
        <w:tblLook w:val="0000" w:firstRow="0" w:lastRow="0" w:firstColumn="0" w:lastColumn="0" w:noHBand="0" w:noVBand="0"/>
      </w:tblPr>
      <w:tblGrid>
        <w:gridCol w:w="2715"/>
        <w:gridCol w:w="2520"/>
        <w:gridCol w:w="2520"/>
        <w:gridCol w:w="900"/>
      </w:tblGrid>
      <w:tr w:rsidR="00124D97" w:rsidRPr="0031228B" w:rsidTr="0031228B">
        <w:trPr>
          <w:trHeight w:val="345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Таблица 6 - Агрегированный прогнозный баланс, тыс.руб.на 31.01.07</w:t>
            </w:r>
          </w:p>
        </w:tc>
      </w:tr>
      <w:tr w:rsidR="00124D97" w:rsidRPr="0031228B" w:rsidTr="0031228B">
        <w:trPr>
          <w:gridAfter w:val="1"/>
          <w:wAfter w:w="900" w:type="dxa"/>
          <w:trHeight w:val="390"/>
          <w:jc w:val="center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4D97" w:rsidRPr="0031228B" w:rsidRDefault="00124D97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4D97" w:rsidRPr="0031228B" w:rsidRDefault="00124D97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отчетный баланс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4D97" w:rsidRPr="0031228B" w:rsidRDefault="00124D97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прогнозный баланс</w:t>
            </w:r>
          </w:p>
        </w:tc>
      </w:tr>
      <w:tr w:rsidR="00124D97" w:rsidRPr="0031228B" w:rsidTr="0031228B">
        <w:trPr>
          <w:gridAfter w:val="1"/>
          <w:wAfter w:w="900" w:type="dxa"/>
          <w:trHeight w:val="45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АКТИВ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124D97" w:rsidRPr="0031228B" w:rsidTr="0031228B">
        <w:trPr>
          <w:gridAfter w:val="1"/>
          <w:wAfter w:w="900" w:type="dxa"/>
          <w:trHeight w:val="31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Внеоборотные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3752686,00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4315588,90</w:t>
            </w:r>
          </w:p>
        </w:tc>
      </w:tr>
      <w:tr w:rsidR="00124D97" w:rsidRPr="0031228B" w:rsidTr="0031228B">
        <w:trPr>
          <w:gridAfter w:val="1"/>
          <w:wAfter w:w="900" w:type="dxa"/>
          <w:trHeight w:val="3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Оборотные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5570257,00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6405795,55</w:t>
            </w:r>
          </w:p>
        </w:tc>
      </w:tr>
      <w:tr w:rsidR="00124D97" w:rsidRPr="0031228B" w:rsidTr="0031228B">
        <w:trPr>
          <w:gridAfter w:val="1"/>
          <w:wAfter w:w="900" w:type="dxa"/>
          <w:trHeight w:val="51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Запасы (без расходов будущих периодов), НДС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2944782,00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3386499,30</w:t>
            </w:r>
          </w:p>
        </w:tc>
      </w:tr>
      <w:tr w:rsidR="00124D97" w:rsidRPr="0031228B" w:rsidTr="0031228B">
        <w:trPr>
          <w:gridAfter w:val="1"/>
          <w:wAfter w:w="900" w:type="dxa"/>
          <w:trHeight w:val="3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Дебиторская задолженность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2508121,00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2884339,15</w:t>
            </w:r>
          </w:p>
        </w:tc>
      </w:tr>
      <w:tr w:rsidR="00124D97" w:rsidRPr="0031228B" w:rsidTr="0031228B">
        <w:trPr>
          <w:gridAfter w:val="1"/>
          <w:wAfter w:w="900" w:type="dxa"/>
          <w:trHeight w:val="3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Денежные средства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4439,00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5104,85</w:t>
            </w:r>
          </w:p>
        </w:tc>
      </w:tr>
      <w:tr w:rsidR="00124D97" w:rsidRPr="0031228B" w:rsidTr="0031228B">
        <w:trPr>
          <w:gridAfter w:val="1"/>
          <w:wAfter w:w="900" w:type="dxa"/>
          <w:trHeight w:val="420"/>
          <w:jc w:val="center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sz w:val="20"/>
                <w:szCs w:val="20"/>
                <w:lang w:eastAsia="zh-CN"/>
              </w:rPr>
              <w:t>БАЛАНС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sz w:val="20"/>
                <w:szCs w:val="20"/>
                <w:lang w:eastAsia="zh-CN"/>
              </w:rPr>
              <w:t>9322943,00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sz w:val="20"/>
                <w:szCs w:val="20"/>
                <w:lang w:eastAsia="zh-CN"/>
              </w:rPr>
              <w:t>10721384,45</w:t>
            </w:r>
          </w:p>
        </w:tc>
      </w:tr>
      <w:tr w:rsidR="00124D97" w:rsidRPr="0031228B" w:rsidTr="0031228B">
        <w:trPr>
          <w:gridAfter w:val="1"/>
          <w:wAfter w:w="900" w:type="dxa"/>
          <w:trHeight w:val="36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ПАССИВ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124D97" w:rsidRPr="0031228B" w:rsidTr="0031228B">
        <w:trPr>
          <w:gridAfter w:val="1"/>
          <w:wAfter w:w="900" w:type="dxa"/>
          <w:trHeight w:val="3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Уставный капитал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409211,00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409211,00</w:t>
            </w:r>
          </w:p>
        </w:tc>
      </w:tr>
      <w:tr w:rsidR="00124D97" w:rsidRPr="0031228B" w:rsidTr="0031228B">
        <w:trPr>
          <w:gridAfter w:val="1"/>
          <w:wAfter w:w="900" w:type="dxa"/>
          <w:trHeight w:val="51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Добавочный капитал, резервный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1190400,00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1368960,00</w:t>
            </w:r>
          </w:p>
        </w:tc>
      </w:tr>
      <w:tr w:rsidR="00124D97" w:rsidRPr="0031228B" w:rsidTr="0031228B">
        <w:trPr>
          <w:gridAfter w:val="1"/>
          <w:wAfter w:w="900" w:type="dxa"/>
          <w:trHeight w:val="33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Нераспределенная прибыль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4778463,00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5973078,75</w:t>
            </w:r>
          </w:p>
        </w:tc>
      </w:tr>
      <w:tr w:rsidR="00124D97" w:rsidRPr="0031228B" w:rsidTr="0031228B">
        <w:trPr>
          <w:gridAfter w:val="1"/>
          <w:wAfter w:w="900" w:type="dxa"/>
          <w:trHeight w:val="3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Долгосрочные обязательства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230124,00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230124,00</w:t>
            </w:r>
          </w:p>
        </w:tc>
      </w:tr>
      <w:tr w:rsidR="00124D97" w:rsidRPr="0031228B" w:rsidTr="0031228B">
        <w:trPr>
          <w:gridAfter w:val="1"/>
          <w:wAfter w:w="900" w:type="dxa"/>
          <w:trHeight w:val="3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Краткосрочные кредиты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2714745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957293,35</w:t>
            </w:r>
          </w:p>
        </w:tc>
      </w:tr>
      <w:tr w:rsidR="00124D97" w:rsidRPr="0031228B" w:rsidTr="0031228B">
        <w:trPr>
          <w:gridAfter w:val="1"/>
          <w:wAfter w:w="900" w:type="dxa"/>
          <w:trHeight w:val="36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Кредиторская задолженность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1550189,00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1782717,35</w:t>
            </w:r>
          </w:p>
        </w:tc>
      </w:tr>
      <w:tr w:rsidR="00124D97" w:rsidRPr="0031228B" w:rsidTr="0031228B">
        <w:trPr>
          <w:gridAfter w:val="1"/>
          <w:wAfter w:w="900" w:type="dxa"/>
          <w:trHeight w:val="420"/>
          <w:jc w:val="center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D97" w:rsidRPr="0031228B" w:rsidRDefault="00124D97" w:rsidP="0031228B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sz w:val="20"/>
                <w:szCs w:val="20"/>
                <w:lang w:eastAsia="zh-CN"/>
              </w:rPr>
              <w:t>БАЛАНС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sz w:val="20"/>
                <w:szCs w:val="20"/>
                <w:lang w:eastAsia="zh-CN"/>
              </w:rPr>
              <w:t>9322943,00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4D97" w:rsidRPr="0031228B" w:rsidRDefault="00124D97" w:rsidP="0031228B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sz w:val="20"/>
                <w:szCs w:val="20"/>
                <w:lang w:eastAsia="zh-CN"/>
              </w:rPr>
              <w:t>10721384,45</w:t>
            </w:r>
          </w:p>
        </w:tc>
      </w:tr>
    </w:tbl>
    <w:p w:rsidR="00FF65CC" w:rsidRPr="00323A0A" w:rsidRDefault="00FF65CC" w:rsidP="00323A0A">
      <w:pPr>
        <w:spacing w:line="360" w:lineRule="auto"/>
        <w:ind w:firstLine="709"/>
        <w:jc w:val="both"/>
        <w:rPr>
          <w:sz w:val="28"/>
          <w:szCs w:val="28"/>
        </w:rPr>
      </w:pPr>
    </w:p>
    <w:p w:rsidR="0012313B" w:rsidRDefault="0012313B" w:rsidP="00323A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23A0A">
        <w:rPr>
          <w:sz w:val="28"/>
          <w:szCs w:val="28"/>
        </w:rPr>
        <w:t xml:space="preserve">По данным прогнозного бухгалтерского баланса </w:t>
      </w:r>
      <w:r w:rsidR="00124D97" w:rsidRPr="00323A0A">
        <w:rPr>
          <w:sz w:val="28"/>
          <w:szCs w:val="28"/>
        </w:rPr>
        <w:t>ежегодный объем прироста продаж составит 15%, рентабельность продаж по чистой прибыли (абсолютное изменение показателя) снизится на 2%, норма распределения чистой прибыли на дивиденды составит 25%. Это приведет к увеличению выручки от продажи товаров, работ, услуг.</w:t>
      </w:r>
    </w:p>
    <w:p w:rsidR="0031228B" w:rsidRDefault="0031228B" w:rsidP="00323A0A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31228B" w:rsidSect="00323A0A">
          <w:footerReference w:type="even" r:id="rId3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6823" w:type="dxa"/>
        <w:jc w:val="center"/>
        <w:tblLook w:val="0000" w:firstRow="0" w:lastRow="0" w:firstColumn="0" w:lastColumn="0" w:noHBand="0" w:noVBand="0"/>
      </w:tblPr>
      <w:tblGrid>
        <w:gridCol w:w="2988"/>
        <w:gridCol w:w="2009"/>
        <w:gridCol w:w="1483"/>
        <w:gridCol w:w="343"/>
      </w:tblGrid>
      <w:tr w:rsidR="0012313B" w:rsidRPr="0031228B" w:rsidTr="0031228B">
        <w:trPr>
          <w:trHeight w:val="236"/>
          <w:jc w:val="center"/>
        </w:trPr>
        <w:tc>
          <w:tcPr>
            <w:tcW w:w="6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228B" w:rsidRPr="0031228B" w:rsidRDefault="0031228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</w:rPr>
              <w:br w:type="page"/>
            </w:r>
            <w:r w:rsidRPr="0031228B">
              <w:rPr>
                <w:sz w:val="20"/>
                <w:szCs w:val="20"/>
              </w:rPr>
              <w:br w:type="page"/>
            </w:r>
            <w:r w:rsidR="0012313B" w:rsidRPr="0031228B">
              <w:rPr>
                <w:sz w:val="20"/>
                <w:szCs w:val="20"/>
                <w:lang w:eastAsia="zh-CN"/>
              </w:rPr>
              <w:t xml:space="preserve">Таблица 7 </w:t>
            </w:r>
            <w:r w:rsidRPr="0031228B">
              <w:rPr>
                <w:sz w:val="20"/>
                <w:szCs w:val="20"/>
                <w:lang w:eastAsia="zh-CN"/>
              </w:rPr>
              <w:t>–</w:t>
            </w:r>
            <w:r w:rsidR="0012313B" w:rsidRPr="0031228B">
              <w:rPr>
                <w:sz w:val="20"/>
                <w:szCs w:val="20"/>
                <w:lang w:eastAsia="zh-CN"/>
              </w:rPr>
              <w:t xml:space="preserve"> </w:t>
            </w:r>
          </w:p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Бюджет доход</w:t>
            </w:r>
            <w:r w:rsidR="00124D97" w:rsidRPr="0031228B">
              <w:rPr>
                <w:sz w:val="20"/>
                <w:szCs w:val="20"/>
                <w:lang w:eastAsia="zh-CN"/>
              </w:rPr>
              <w:t>ов и расходов на 2007 год (тыс.</w:t>
            </w:r>
            <w:r w:rsidRPr="0031228B">
              <w:rPr>
                <w:sz w:val="20"/>
                <w:szCs w:val="20"/>
                <w:lang w:eastAsia="zh-CN"/>
              </w:rPr>
              <w:t>руб.)</w:t>
            </w:r>
          </w:p>
        </w:tc>
      </w:tr>
      <w:tr w:rsidR="0012313B" w:rsidRPr="0031228B" w:rsidTr="0031228B">
        <w:trPr>
          <w:gridAfter w:val="1"/>
          <w:wAfter w:w="343" w:type="dxa"/>
          <w:trHeight w:val="305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3B" w:rsidRPr="0031228B" w:rsidRDefault="0012313B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3B" w:rsidRPr="0031228B" w:rsidRDefault="0012313B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Текущий период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3B" w:rsidRPr="0031228B" w:rsidRDefault="0012313B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Прогноз</w:t>
            </w:r>
          </w:p>
        </w:tc>
      </w:tr>
      <w:tr w:rsidR="0012313B" w:rsidRPr="0031228B" w:rsidTr="0031228B">
        <w:trPr>
          <w:gridAfter w:val="1"/>
          <w:wAfter w:w="343" w:type="dxa"/>
          <w:trHeight w:val="50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Выручка от продажи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19416808,00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22329329,20</w:t>
            </w:r>
          </w:p>
        </w:tc>
      </w:tr>
      <w:tr w:rsidR="0012313B" w:rsidRPr="0031228B" w:rsidTr="0031228B">
        <w:trPr>
          <w:gridAfter w:val="1"/>
          <w:wAfter w:w="343" w:type="dxa"/>
          <w:trHeight w:val="722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Рентабельность продаж по чистой прибыли, 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6,02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5,90</w:t>
            </w:r>
          </w:p>
        </w:tc>
      </w:tr>
      <w:tr w:rsidR="0012313B" w:rsidRPr="0031228B" w:rsidTr="0031228B">
        <w:trPr>
          <w:gridAfter w:val="1"/>
          <w:wAfter w:w="343" w:type="dxa"/>
          <w:trHeight w:val="487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Чистая прибыль, д.е. в т.ч: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3223151,00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3706623,65</w:t>
            </w:r>
          </w:p>
        </w:tc>
      </w:tr>
      <w:tr w:rsidR="0012313B" w:rsidRPr="0031228B" w:rsidTr="0031228B">
        <w:trPr>
          <w:gridAfter w:val="1"/>
          <w:wAfter w:w="343" w:type="dxa"/>
          <w:trHeight w:val="68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нераспределенная прибыль (реинвестированная)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2417363,25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2779967,74</w:t>
            </w:r>
          </w:p>
        </w:tc>
      </w:tr>
      <w:tr w:rsidR="0012313B" w:rsidRPr="0031228B" w:rsidTr="0031228B">
        <w:trPr>
          <w:gridAfter w:val="1"/>
          <w:wAfter w:w="343" w:type="dxa"/>
          <w:trHeight w:val="43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дивиденды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805787,75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3B" w:rsidRPr="0031228B" w:rsidRDefault="0012313B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926655,91</w:t>
            </w:r>
          </w:p>
        </w:tc>
      </w:tr>
    </w:tbl>
    <w:p w:rsidR="00124D97" w:rsidRPr="00323A0A" w:rsidRDefault="00124D97" w:rsidP="00323A0A">
      <w:pPr>
        <w:spacing w:line="360" w:lineRule="auto"/>
        <w:ind w:firstLine="709"/>
        <w:jc w:val="both"/>
        <w:rPr>
          <w:sz w:val="28"/>
          <w:szCs w:val="28"/>
        </w:rPr>
      </w:pPr>
    </w:p>
    <w:p w:rsidR="0012313B" w:rsidRPr="00323A0A" w:rsidRDefault="00124D97" w:rsidP="0031228B">
      <w:pPr>
        <w:pStyle w:val="3"/>
      </w:pPr>
      <w:bookmarkStart w:id="15" w:name="_Toc224200629"/>
      <w:r w:rsidRPr="00323A0A">
        <w:t>3.2. Составление БДДС (косвенным методом)</w:t>
      </w:r>
      <w:bookmarkEnd w:id="15"/>
    </w:p>
    <w:p w:rsidR="005C4F7F" w:rsidRPr="00323A0A" w:rsidRDefault="005C4F7F" w:rsidP="00323A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294" w:type="dxa"/>
        <w:jc w:val="center"/>
        <w:tblLook w:val="0000" w:firstRow="0" w:lastRow="0" w:firstColumn="0" w:lastColumn="0" w:noHBand="0" w:noVBand="0"/>
      </w:tblPr>
      <w:tblGrid>
        <w:gridCol w:w="5852"/>
        <w:gridCol w:w="1442"/>
      </w:tblGrid>
      <w:tr w:rsidR="005C4F7F" w:rsidRPr="0031228B" w:rsidTr="0031228B">
        <w:trPr>
          <w:trHeight w:val="252"/>
          <w:jc w:val="center"/>
        </w:trPr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Таблица 8 - Бюджет движения денежных средств на 2007 год</w:t>
            </w:r>
          </w:p>
        </w:tc>
      </w:tr>
      <w:tr w:rsidR="005C4F7F" w:rsidRPr="0031228B" w:rsidTr="0031228B">
        <w:trPr>
          <w:trHeight w:val="406"/>
          <w:jc w:val="center"/>
        </w:trPr>
        <w:tc>
          <w:tcPr>
            <w:tcW w:w="5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Текущая деятельность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1135519,00</w:t>
            </w:r>
          </w:p>
        </w:tc>
      </w:tr>
      <w:tr w:rsidR="005C4F7F" w:rsidRPr="0031228B" w:rsidTr="0031228B">
        <w:trPr>
          <w:trHeight w:val="32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Чистая прибыль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3223151,00</w:t>
            </w:r>
          </w:p>
        </w:tc>
      </w:tr>
      <w:tr w:rsidR="005C4F7F" w:rsidRPr="0031228B" w:rsidTr="0031228B">
        <w:trPr>
          <w:trHeight w:val="350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плюс</w:t>
            </w:r>
            <w:r w:rsidR="00335543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Амортизационные отчисления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1831865,00</w:t>
            </w:r>
          </w:p>
        </w:tc>
      </w:tr>
      <w:tr w:rsidR="005C4F7F" w:rsidRPr="0031228B" w:rsidTr="0031228B">
        <w:trPr>
          <w:trHeight w:val="32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минус</w:t>
            </w:r>
            <w:r w:rsidR="00B71F3B" w:rsidRPr="0031228B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Изменение суммы текущих активов, в т.ч.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5469686,00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Краткосрочные финансовые вложения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485,00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Дебиторская задолженность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2508121,00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Запасы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2961080,00</w:t>
            </w:r>
          </w:p>
        </w:tc>
      </w:tr>
      <w:tr w:rsidR="005C4F7F" w:rsidRPr="0031228B" w:rsidTr="0031228B">
        <w:trPr>
          <w:trHeight w:val="32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плюс</w:t>
            </w:r>
            <w:r w:rsidR="00335543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Изменение суммы текущих обязательств, в т.ч.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1550189,00</w:t>
            </w:r>
          </w:p>
        </w:tc>
      </w:tr>
      <w:tr w:rsidR="005C4F7F" w:rsidRPr="0031228B" w:rsidTr="0031228B">
        <w:trPr>
          <w:trHeight w:val="25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Кредиторская задолженность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1550189,00</w:t>
            </w:r>
          </w:p>
        </w:tc>
      </w:tr>
      <w:tr w:rsidR="005C4F7F" w:rsidRPr="0031228B" w:rsidTr="0031228B">
        <w:trPr>
          <w:trHeight w:val="350"/>
          <w:jc w:val="center"/>
        </w:trPr>
        <w:tc>
          <w:tcPr>
            <w:tcW w:w="5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Инвестиционная деятельность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-262059,00</w:t>
            </w:r>
          </w:p>
        </w:tc>
      </w:tr>
      <w:tr w:rsidR="005C4F7F" w:rsidRPr="0031228B" w:rsidTr="0031228B">
        <w:trPr>
          <w:trHeight w:val="39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минус</w:t>
            </w:r>
            <w:r w:rsidR="00B71F3B" w:rsidRPr="0031228B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Изменение суммы долгосрочных активов, в т.ч.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3485210,00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Нематериальные активы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527,00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Основные средства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2947443,00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Незавершенные капитальные вложения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428985,00</w:t>
            </w:r>
          </w:p>
        </w:tc>
      </w:tr>
      <w:tr w:rsidR="005C4F7F" w:rsidRPr="0031228B" w:rsidTr="0031228B">
        <w:trPr>
          <w:trHeight w:val="25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Долгосрочные финансовые вложения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108255,00</w:t>
            </w:r>
          </w:p>
        </w:tc>
      </w:tr>
      <w:tr w:rsidR="005C4F7F" w:rsidRPr="0031228B" w:rsidTr="0031228B">
        <w:trPr>
          <w:trHeight w:val="350"/>
          <w:jc w:val="center"/>
        </w:trPr>
        <w:tc>
          <w:tcPr>
            <w:tcW w:w="5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Финансовая деятельность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4833532,00</w:t>
            </w:r>
          </w:p>
        </w:tc>
      </w:tr>
      <w:tr w:rsidR="005C4F7F" w:rsidRPr="0031228B" w:rsidTr="0031228B">
        <w:trPr>
          <w:trHeight w:val="336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плюс</w:t>
            </w:r>
            <w:r w:rsidR="00335543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Изменение суммы задолженности, в т.ч.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1180710,00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Краткосрочные кредиты и займы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1126802,00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Долгосрочные кредиты и займы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53908,00</w:t>
            </w:r>
          </w:p>
        </w:tc>
      </w:tr>
      <w:tr w:rsidR="005C4F7F" w:rsidRPr="0031228B" w:rsidTr="0031228B">
        <w:trPr>
          <w:trHeight w:val="350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плюс</w:t>
            </w:r>
            <w:r w:rsidR="00335543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Изменение суммы собственных средств, в т.ч.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429671,00</w:t>
            </w:r>
          </w:p>
        </w:tc>
      </w:tr>
      <w:tr w:rsidR="005C4F7F" w:rsidRPr="0031228B" w:rsidTr="0031228B">
        <w:trPr>
          <w:trHeight w:val="238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Уставный капитал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409211,00</w:t>
            </w:r>
          </w:p>
        </w:tc>
      </w:tr>
      <w:tr w:rsidR="005C4F7F" w:rsidRPr="0031228B" w:rsidTr="0031228B">
        <w:trPr>
          <w:trHeight w:val="252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Резервный капитал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20460,00</w:t>
            </w:r>
          </w:p>
        </w:tc>
      </w:tr>
      <w:tr w:rsidR="005C4F7F" w:rsidRPr="0031228B" w:rsidTr="0031228B">
        <w:trPr>
          <w:trHeight w:val="406"/>
          <w:jc w:val="center"/>
        </w:trPr>
        <w:tc>
          <w:tcPr>
            <w:tcW w:w="5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Суммарное изменение денежных средств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F7F" w:rsidRPr="0031228B" w:rsidRDefault="005C4F7F" w:rsidP="0031228B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31228B">
              <w:rPr>
                <w:b/>
                <w:bCs/>
                <w:i/>
                <w:iCs/>
                <w:sz w:val="20"/>
                <w:szCs w:val="20"/>
                <w:lang w:eastAsia="zh-CN"/>
              </w:rPr>
              <w:t>3227590,00</w:t>
            </w:r>
          </w:p>
        </w:tc>
      </w:tr>
      <w:tr w:rsidR="005C4F7F" w:rsidRPr="0031228B" w:rsidTr="0031228B">
        <w:trPr>
          <w:trHeight w:val="322"/>
          <w:jc w:val="center"/>
        </w:trPr>
        <w:tc>
          <w:tcPr>
            <w:tcW w:w="5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плюс</w:t>
            </w:r>
            <w:r w:rsidR="00335543">
              <w:rPr>
                <w:sz w:val="20"/>
                <w:szCs w:val="20"/>
                <w:lang w:eastAsia="zh-CN"/>
              </w:rPr>
              <w:t xml:space="preserve"> </w:t>
            </w:r>
            <w:r w:rsidRPr="0031228B">
              <w:rPr>
                <w:sz w:val="20"/>
                <w:szCs w:val="20"/>
                <w:lang w:eastAsia="zh-CN"/>
              </w:rPr>
              <w:t>Денежные средства на начало периода, в т.ч.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4439,00</w:t>
            </w:r>
          </w:p>
        </w:tc>
      </w:tr>
      <w:tr w:rsidR="005C4F7F" w:rsidRPr="0031228B" w:rsidTr="0031228B">
        <w:trPr>
          <w:trHeight w:val="252"/>
          <w:jc w:val="center"/>
        </w:trPr>
        <w:tc>
          <w:tcPr>
            <w:tcW w:w="5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335543" w:rsidP="0031228B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  <w:r w:rsidR="005C4F7F" w:rsidRPr="0031228B">
              <w:rPr>
                <w:sz w:val="20"/>
                <w:szCs w:val="20"/>
                <w:lang w:eastAsia="zh-CN"/>
              </w:rPr>
              <w:t>Денежные средства на конец периода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4F7F" w:rsidRPr="0031228B" w:rsidRDefault="005C4F7F" w:rsidP="0031228B">
            <w:pPr>
              <w:jc w:val="both"/>
              <w:rPr>
                <w:sz w:val="20"/>
                <w:szCs w:val="20"/>
                <w:lang w:eastAsia="zh-CN"/>
              </w:rPr>
            </w:pPr>
            <w:r w:rsidRPr="0031228B">
              <w:rPr>
                <w:sz w:val="20"/>
                <w:szCs w:val="20"/>
                <w:lang w:eastAsia="zh-CN"/>
              </w:rPr>
              <w:t>4439,00</w:t>
            </w:r>
          </w:p>
        </w:tc>
      </w:tr>
    </w:tbl>
    <w:p w:rsidR="0031228B" w:rsidRDefault="0031228B" w:rsidP="00323A0A">
      <w:pPr>
        <w:spacing w:line="360" w:lineRule="auto"/>
        <w:ind w:firstLine="709"/>
        <w:jc w:val="both"/>
        <w:rPr>
          <w:sz w:val="28"/>
          <w:szCs w:val="28"/>
        </w:rPr>
        <w:sectPr w:rsidR="0031228B" w:rsidSect="00323A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2FC9" w:rsidRPr="00323A0A" w:rsidRDefault="008A2FC9" w:rsidP="0031228B">
      <w:pPr>
        <w:pStyle w:val="3"/>
      </w:pPr>
      <w:bookmarkStart w:id="16" w:name="_Toc224200630"/>
      <w:r w:rsidRPr="00323A0A">
        <w:t>3.3. Расчет возможного роста объема продаж (модель устойчивого экономического роста)</w:t>
      </w:r>
      <w:bookmarkEnd w:id="16"/>
    </w:p>
    <w:p w:rsidR="008A2FC9" w:rsidRPr="00323A0A" w:rsidRDefault="008A2FC9" w:rsidP="00323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A2FC9" w:rsidRPr="00323A0A" w:rsidRDefault="008A2FC9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Модель устойчивого экономического роста (МУЭР) позволяет определить возможный прирост продаж (выручки) без нарушения финансовой устойчивости. МУЭР определяется по формуле:</w:t>
      </w:r>
    </w:p>
    <w:p w:rsidR="008A2FC9" w:rsidRPr="00323A0A" w:rsidRDefault="003465B9" w:rsidP="00323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2.25pt;height:33.75pt">
            <v:imagedata r:id="rId32" o:title=""/>
          </v:shape>
        </w:pict>
      </w:r>
      <w:r w:rsidR="008A2FC9" w:rsidRPr="00323A0A">
        <w:rPr>
          <w:sz w:val="28"/>
          <w:szCs w:val="28"/>
        </w:rPr>
        <w:t>,</w:t>
      </w:r>
    </w:p>
    <w:p w:rsidR="00106AAC" w:rsidRPr="00323A0A" w:rsidRDefault="008A2FC9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гд</w:t>
      </w:r>
      <w:r w:rsidR="00106AAC" w:rsidRPr="00323A0A">
        <w:rPr>
          <w:sz w:val="28"/>
          <w:szCs w:val="28"/>
        </w:rPr>
        <w:t>е:</w:t>
      </w:r>
      <w:r w:rsidR="00B71F3B">
        <w:rPr>
          <w:sz w:val="28"/>
          <w:szCs w:val="28"/>
        </w:rPr>
        <w:t xml:space="preserve"> </w:t>
      </w:r>
      <w:r w:rsidR="00106AAC" w:rsidRPr="00323A0A">
        <w:rPr>
          <w:sz w:val="28"/>
          <w:szCs w:val="28"/>
        </w:rPr>
        <w:t>ККП – коэффициент капитализации прибыли (доля чистой реинвестируемой прибыли) = 0,7.</w:t>
      </w:r>
    </w:p>
    <w:p w:rsidR="00106AAC" w:rsidRPr="00323A0A" w:rsidRDefault="00106AAC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МУЭР = </w:t>
      </w:r>
      <w:r w:rsidR="00666443" w:rsidRPr="00323A0A">
        <w:rPr>
          <w:sz w:val="28"/>
          <w:szCs w:val="28"/>
        </w:rPr>
        <w:object w:dxaOrig="6240" w:dyaOrig="660">
          <v:shape id="_x0000_i1039" type="#_x0000_t75" style="width:312pt;height:33pt" o:ole="">
            <v:imagedata r:id="rId33" o:title=""/>
          </v:shape>
          <o:OLEObject Type="Embed" ProgID="Equation.3" ShapeID="_x0000_i1039" DrawAspect="Content" ObjectID="_1458747513" r:id="rId34"/>
        </w:object>
      </w:r>
    </w:p>
    <w:p w:rsidR="00666443" w:rsidRPr="00323A0A" w:rsidRDefault="00666443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Возможный прирост продаж при изменении параметров финансовой политики составит 23,52%.</w:t>
      </w:r>
    </w:p>
    <w:p w:rsidR="00264C2A" w:rsidRPr="00323A0A" w:rsidRDefault="00082EE9" w:rsidP="003122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3A0A">
        <w:rPr>
          <w:rFonts w:ascii="Times New Roman" w:hAnsi="Times New Roman" w:cs="Times New Roman"/>
          <w:sz w:val="28"/>
          <w:szCs w:val="28"/>
        </w:rPr>
        <w:br w:type="page"/>
      </w:r>
      <w:bookmarkStart w:id="17" w:name="_Toc224200631"/>
      <w:r w:rsidR="00264C2A" w:rsidRPr="00323A0A">
        <w:rPr>
          <w:rFonts w:ascii="Times New Roman" w:hAnsi="Times New Roman" w:cs="Times New Roman"/>
          <w:sz w:val="28"/>
          <w:szCs w:val="28"/>
        </w:rPr>
        <w:t>Заключение</w:t>
      </w:r>
      <w:bookmarkEnd w:id="17"/>
    </w:p>
    <w:p w:rsidR="00264C2A" w:rsidRPr="00323A0A" w:rsidRDefault="00264C2A" w:rsidP="00323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4C2A" w:rsidRPr="00323A0A" w:rsidRDefault="00264C2A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Курсовой</w:t>
      </w:r>
      <w:r w:rsidRPr="00323A0A">
        <w:rPr>
          <w:sz w:val="28"/>
          <w:szCs w:val="28"/>
        </w:rPr>
        <w:tab/>
        <w:t>проект основывается на бухгалтерской отчетности предприятия, дополнительных данных управленческого учета, показателей развития предприятия. Цель данного курсового проекта заключалась в разработки финансовой политики предприятия, а также основными задачами являлось изучение теоретических основ управления финансами, был проведен анализ финансового состояния предприятия и выполнение прогнозных финансовых показателей.</w:t>
      </w:r>
    </w:p>
    <w:p w:rsidR="00264C2A" w:rsidRPr="00323A0A" w:rsidRDefault="00264C2A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 ходе анализа финансового состояния были рассмотрении основные финансовые коэффициенты</w:t>
      </w:r>
    </w:p>
    <w:p w:rsidR="00264C2A" w:rsidRPr="00323A0A" w:rsidRDefault="00264C2A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Показатели ликвидности</w:t>
      </w:r>
      <w:r w:rsidRPr="00323A0A">
        <w:rPr>
          <w:sz w:val="28"/>
          <w:szCs w:val="28"/>
        </w:rPr>
        <w:t xml:space="preserve"> в целом проявили динамику на ухудшение. Что касается </w:t>
      </w:r>
      <w:r w:rsidRPr="00323A0A">
        <w:rPr>
          <w:i/>
          <w:iCs/>
          <w:sz w:val="28"/>
          <w:szCs w:val="28"/>
        </w:rPr>
        <w:t>показателей финансовой устойчивости</w:t>
      </w:r>
      <w:r w:rsidRPr="00323A0A">
        <w:rPr>
          <w:sz w:val="28"/>
          <w:szCs w:val="28"/>
        </w:rPr>
        <w:t xml:space="preserve">, то они, напротив, показали положительную динамику, т.к. к концу отчетного периода достигали нормативных значений. </w:t>
      </w:r>
    </w:p>
    <w:p w:rsidR="00264C2A" w:rsidRPr="00323A0A" w:rsidRDefault="00264C2A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Показатели интенсивности использования</w:t>
      </w:r>
      <w:r w:rsidRPr="00323A0A">
        <w:rPr>
          <w:sz w:val="28"/>
          <w:szCs w:val="28"/>
        </w:rPr>
        <w:t xml:space="preserve"> ресурсов также не показали отрицательной динамики по сравнению с прошлым годом. Рентабельность чистых активов по чистой прибыли оказалась практически неизменной: в 2005 году показатель составил 0,42, а в 2006 – 0,48. это показывает, что окупаемость вложенных в предприятие средств акционеров составляет около 50%, но тенденция показателя – на увеличение. Это происходит за счет увеличения прибыли в 2006 году в сравнении с 2005 в два раза. Рентабельность реализуемой продукции в 2006 году составила 0,34, что выше показателя 2005 года – тогда он составлял 0,19. Динамика этого показателя свидетельствует о пересмотре цен или усилении контроля над себестоимостью.</w:t>
      </w:r>
    </w:p>
    <w:p w:rsidR="00264C2A" w:rsidRPr="00323A0A" w:rsidRDefault="00264C2A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i/>
          <w:iCs/>
          <w:sz w:val="28"/>
          <w:szCs w:val="28"/>
        </w:rPr>
        <w:t>Показатели</w:t>
      </w:r>
      <w:r w:rsidRPr="00323A0A">
        <w:rPr>
          <w:sz w:val="28"/>
          <w:szCs w:val="28"/>
        </w:rPr>
        <w:t xml:space="preserve"> </w:t>
      </w:r>
      <w:r w:rsidRPr="00323A0A">
        <w:rPr>
          <w:i/>
          <w:iCs/>
          <w:sz w:val="28"/>
          <w:szCs w:val="28"/>
        </w:rPr>
        <w:t>деловой активности</w:t>
      </w:r>
      <w:r w:rsidRPr="00323A0A">
        <w:rPr>
          <w:sz w:val="28"/>
          <w:szCs w:val="28"/>
        </w:rPr>
        <w:t xml:space="preserve"> (коэффициенты оборачиваемости) в 2006 году снизились по сравнению с 2005 годом. Так, коэффициент оборачиваемости оборотного капитала в 2005 году составлял 4,19, а в 2006 году – 3,97.</w:t>
      </w:r>
    </w:p>
    <w:p w:rsidR="00264C2A" w:rsidRPr="00323A0A" w:rsidRDefault="00264C2A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Показатель СВОР показывает оценку предпринимательского риска. В 2006 году (отчетном), по сравнению с 2005 годом, показатель снизился с отметки 5,99 до 3,21, а это значит, что при изменении выручки на 1% ПВПН изменится на 3,21%. Снижение СВОР говорит о возможности увеличения доли заемных средств.</w:t>
      </w:r>
    </w:p>
    <w:p w:rsidR="00264C2A" w:rsidRPr="00323A0A" w:rsidRDefault="00264C2A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Инвестиционная и инновационная деятельность предприятия приносит ему положительный результат. Так, сумма нематериальных активов увеличилась на 5 тыс. руб. в связи с их дополнительным поступлением в отчетном году, сумма основных средств также увеличилась на 283661 тыс. руб. за счет большего поступления машин и оборудования, транспортных средств, нежели выбытия.</w:t>
      </w:r>
    </w:p>
    <w:p w:rsidR="00264C2A" w:rsidRPr="00323A0A" w:rsidRDefault="00264C2A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СВФР показывает, что чистая прибыль на акцию в 2006 году изменится на 1,05% при изменении ПВПН на 1%. В 2005 году показатель был немного выше и составлял 1,16.</w:t>
      </w:r>
    </w:p>
    <w:p w:rsidR="00264C2A" w:rsidRPr="00323A0A" w:rsidRDefault="00264C2A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УЭФР приращен к рентабельности собственных средств, полученной благодаря использованию кредитов. В 2005 году показатель составил 0,02, это значит, что рентабельность собственных средств увеличилась на 2%. В 2006 году УЭФР составил 0,03, т.е. рентабельность собственных средств увеличилась по сравнению с предыдущим периодом на 3%.</w:t>
      </w:r>
    </w:p>
    <w:p w:rsidR="00392B7C" w:rsidRPr="00323A0A" w:rsidRDefault="00264C2A" w:rsidP="00323A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Если новое заимствование приносит предприятию увеличение УЭФР, то такое заимствование выгодно. Разумный финансовый менеджер не станет любой ценой увеличивать финансовый рычаг, а будет регулировать его в зависимости от разницы рентабельности совокупного капитала и средней расчетной ставки процента.</w:t>
      </w:r>
      <w:r w:rsidR="00392B7C" w:rsidRPr="00323A0A">
        <w:rPr>
          <w:sz w:val="28"/>
          <w:szCs w:val="28"/>
        </w:rPr>
        <w:t>По данным прогнозного бухгалтерского баланса ежегодный объем прироста продаж составит 15%, рентабельность продаж по чистой прибыли (абсолютное изменение показателя) снизится на 2%, норма распределения чистой прибыли на дивиденды составит 25%. Это приведет к увеличению выручки от продажи товаров, работ, услуг.</w:t>
      </w:r>
    </w:p>
    <w:p w:rsidR="00392B7C" w:rsidRPr="00323A0A" w:rsidRDefault="00392B7C" w:rsidP="00323A0A">
      <w:pPr>
        <w:spacing w:line="360" w:lineRule="auto"/>
        <w:ind w:firstLine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Возможный прирост продаж при изменении параметров финансовой политики составит 23,52%.</w:t>
      </w:r>
    </w:p>
    <w:p w:rsidR="00A4494E" w:rsidRDefault="00264C2A" w:rsidP="003122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3A0A">
        <w:rPr>
          <w:rFonts w:ascii="Times New Roman" w:hAnsi="Times New Roman" w:cs="Times New Roman"/>
          <w:sz w:val="28"/>
          <w:szCs w:val="28"/>
        </w:rPr>
        <w:br w:type="page"/>
      </w:r>
      <w:bookmarkStart w:id="18" w:name="_Toc224200632"/>
      <w:r w:rsidR="00082EE9" w:rsidRPr="00323A0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8"/>
    </w:p>
    <w:p w:rsidR="0031228B" w:rsidRPr="0031228B" w:rsidRDefault="0031228B" w:rsidP="0031228B">
      <w:pPr>
        <w:rPr>
          <w:lang w:val="en-US"/>
        </w:rPr>
      </w:pP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Бланк И.А. Основы финансового менеджмента:</w:t>
      </w:r>
      <w:r w:rsidR="00335543">
        <w:rPr>
          <w:sz w:val="28"/>
          <w:szCs w:val="28"/>
        </w:rPr>
        <w:t xml:space="preserve"> </w:t>
      </w:r>
      <w:r w:rsidRPr="00323A0A">
        <w:rPr>
          <w:sz w:val="28"/>
          <w:szCs w:val="28"/>
        </w:rPr>
        <w:t>2 т. К.: Ника-Центр, 2004. Т.1. 592 с. Т.2. 512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Ван Хорн Дж. К. Основы управления финансами/ Пер. с англ. М.: Финансы и статистика, 2000. 800c.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Ковалев В.В. Введение в финансовый менеджмент. М.: Финансы и статистика, 2005. 768 c.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Незамайкин В.Н., Юрзинова И.Л. Финансы организации:</w:t>
      </w:r>
      <w:r w:rsidRPr="00323A0A">
        <w:rPr>
          <w:sz w:val="28"/>
          <w:szCs w:val="28"/>
          <w:lang w:val="en-US"/>
        </w:rPr>
        <w:t> </w:t>
      </w:r>
      <w:r w:rsidRPr="00323A0A">
        <w:rPr>
          <w:sz w:val="28"/>
          <w:szCs w:val="28"/>
        </w:rPr>
        <w:t>менеджмент и анализ: учебное пособие.-2-е изд. Перераб. И доп.- М.: Эксмо, 2005.-512с.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Финансовый менеджмент: теория и практика: Учебник/ Под ред. Е.С.</w:t>
      </w:r>
      <w:r w:rsidR="00335543" w:rsidRPr="00335543">
        <w:rPr>
          <w:sz w:val="28"/>
          <w:szCs w:val="28"/>
        </w:rPr>
        <w:t xml:space="preserve"> </w:t>
      </w:r>
      <w:r w:rsidRPr="00323A0A">
        <w:rPr>
          <w:sz w:val="28"/>
          <w:szCs w:val="28"/>
        </w:rPr>
        <w:t>Стояновой.- 5- е изд., перераб. и доп. М.: Изд-во «Перспектива », 2005. 656 c.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Хелферт Э. Техника</w:t>
      </w:r>
      <w:r w:rsidR="00B71F3B">
        <w:rPr>
          <w:sz w:val="28"/>
          <w:szCs w:val="28"/>
        </w:rPr>
        <w:t xml:space="preserve"> </w:t>
      </w:r>
      <w:r w:rsidRPr="00323A0A">
        <w:rPr>
          <w:spacing w:val="20"/>
          <w:sz w:val="28"/>
          <w:szCs w:val="28"/>
        </w:rPr>
        <w:t>финансового</w:t>
      </w:r>
      <w:r w:rsidR="00B71F3B">
        <w:rPr>
          <w:spacing w:val="20"/>
          <w:sz w:val="28"/>
          <w:szCs w:val="28"/>
        </w:rPr>
        <w:t xml:space="preserve"> </w:t>
      </w:r>
      <w:r w:rsidRPr="00323A0A">
        <w:rPr>
          <w:spacing w:val="20"/>
          <w:sz w:val="28"/>
          <w:szCs w:val="28"/>
        </w:rPr>
        <w:t>анализа</w:t>
      </w:r>
      <w:r w:rsidRPr="00323A0A">
        <w:rPr>
          <w:sz w:val="28"/>
          <w:szCs w:val="28"/>
        </w:rPr>
        <w:t xml:space="preserve">. М.: Аудит, ЮНИТИ, 1996. 663 с. 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Уолш К. Ключевые показатели менеджмента: Как анализировать, сравнивать и контролировать данные, определяющие стоимость компании: пер. с англ. / К. Уолш. – 8-е изд. – М : Дело, 2001.–360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Управление финансами предприятия. Задачи и деловые ситуации по дисциплине « Финансовый менеджмент»/ Гузанова Н.В.Екатеринбург: ГОУ ВПО « УГТУ-УПИ»,2006.-98</w:t>
      </w:r>
      <w:r w:rsidRPr="00323A0A">
        <w:rPr>
          <w:sz w:val="28"/>
          <w:szCs w:val="28"/>
          <w:lang w:val="en-US"/>
        </w:rPr>
        <w:t>c</w:t>
      </w:r>
      <w:r w:rsidRPr="00323A0A">
        <w:rPr>
          <w:sz w:val="28"/>
          <w:szCs w:val="28"/>
        </w:rPr>
        <w:t>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Управление движением денежных средств. Методические указания по дисциплине « Финансовый менеджмент»/ Гузанова Н.В.Екатеринбург: ГОУ ВПО « УГТУ-УПИ»,2006.-66</w:t>
      </w:r>
      <w:r w:rsidRPr="00323A0A">
        <w:rPr>
          <w:sz w:val="28"/>
          <w:szCs w:val="28"/>
          <w:lang w:val="en-US"/>
        </w:rPr>
        <w:t>c</w:t>
      </w:r>
      <w:r w:rsidRPr="00323A0A">
        <w:rPr>
          <w:sz w:val="28"/>
          <w:szCs w:val="28"/>
        </w:rPr>
        <w:t>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Лобанов Е. Н., Лимитовский М.А. Управление финансами: 17-модульная программа для менеджеров “Управление развитием организации”. Модуль </w:t>
      </w:r>
      <w:smartTag w:uri="urn:schemas-microsoft-com:office:smarttags" w:element="metricconverter">
        <w:smartTagPr>
          <w:attr w:name="ProductID" w:val="14. М"/>
        </w:smartTagPr>
        <w:r w:rsidRPr="00323A0A">
          <w:rPr>
            <w:sz w:val="28"/>
            <w:szCs w:val="28"/>
          </w:rPr>
          <w:t>14. М</w:t>
        </w:r>
      </w:smartTag>
      <w:r w:rsidRPr="00323A0A">
        <w:rPr>
          <w:sz w:val="28"/>
          <w:szCs w:val="28"/>
        </w:rPr>
        <w:t>.: ИНФРА-М, 1999. 288c.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Васина А.А. Финансовая диагностика и оценка проектов.- СПб.: Питер</w:t>
      </w:r>
      <w:r w:rsidRPr="00323A0A">
        <w:rPr>
          <w:sz w:val="28"/>
          <w:szCs w:val="28"/>
          <w:lang w:val="en-US"/>
        </w:rPr>
        <w:t>,</w:t>
      </w:r>
      <w:r w:rsidRPr="00323A0A">
        <w:rPr>
          <w:sz w:val="28"/>
          <w:szCs w:val="28"/>
        </w:rPr>
        <w:t xml:space="preserve"> 2004.-448с.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Савицкая Г.В. Анализ хозяйственной деятельности: 5-е изд. Мн.: ООО «Новое знание»,2004. 688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Семь нот менеджмента. / А.Бочкарев, В.Кондратьев, В.Краснова и др. Изд. третье, дополненное. М.: ЗАО « Журнал Эксперт », 1998. 424 c.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Финансовый менеджмент. Руководство по технике эффективного менеджмента. CARANA Corporation. M.1998. 290 c.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Теплова Т.В. Финансовый менеджмент: управление капиталом и инвестициями: Учебник для вузов. – М.: ГУ ВШЭ, 2000. 504с.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Бондаревская Е.Н. Управленческий учет: Бюджетирование и контроль: Практические задания. СПб: ИМИСП, 2000. 87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Карлин Т.Р., Маклин А.Р. Анализ финансовых отчетов (на основе </w:t>
      </w:r>
      <w:r w:rsidRPr="00323A0A">
        <w:rPr>
          <w:sz w:val="28"/>
          <w:szCs w:val="28"/>
          <w:lang w:val="en-US"/>
        </w:rPr>
        <w:t>GAAP</w:t>
      </w:r>
      <w:r w:rsidRPr="00323A0A">
        <w:rPr>
          <w:sz w:val="28"/>
          <w:szCs w:val="28"/>
        </w:rPr>
        <w:t>): Учебник. М.:ИНФА-М, 2000. 448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Кинг Альфред М. Тотальное управление деньгами / Пер. с англ. СПб.: Полигон, 1999. 448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Казак А.Ю. Финансовая политика хозяйствующих субъектов: проблемы разработки и внедрения / А. Ю. Казак, О.Б. Веретенникова, В. И. Майданик. </w:t>
      </w:r>
      <w:r w:rsidRPr="00323A0A">
        <w:rPr>
          <w:sz w:val="28"/>
          <w:szCs w:val="28"/>
        </w:rPr>
        <w:softHyphen/>
      </w:r>
      <w:r w:rsidRPr="00323A0A">
        <w:rPr>
          <w:sz w:val="28"/>
          <w:szCs w:val="28"/>
        </w:rPr>
        <w:softHyphen/>
        <w:t>– Екатеринбург : АМБ, 2003. – 308 с.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>Лихачева О.Н,</w:t>
      </w:r>
      <w:r w:rsidR="00B71F3B">
        <w:rPr>
          <w:sz w:val="28"/>
          <w:szCs w:val="28"/>
        </w:rPr>
        <w:t xml:space="preserve"> </w:t>
      </w:r>
      <w:r w:rsidRPr="00323A0A">
        <w:rPr>
          <w:sz w:val="28"/>
          <w:szCs w:val="28"/>
        </w:rPr>
        <w:t>Щуров С.А. Долгосрочная и краткосрочная финансовая политика предприятия: Учеб. пособие / Под ред. И.Я. Лукасевича- М.:.Вузовский учебник, 2007/-288</w:t>
      </w:r>
      <w:r w:rsidRPr="00323A0A">
        <w:rPr>
          <w:sz w:val="28"/>
          <w:szCs w:val="28"/>
          <w:lang w:val="en-US"/>
        </w:rPr>
        <w:t>c</w:t>
      </w:r>
      <w:r w:rsidRPr="00323A0A">
        <w:rPr>
          <w:sz w:val="28"/>
          <w:szCs w:val="28"/>
        </w:rPr>
        <w:t>.</w:t>
      </w:r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Федеральный закон Об акционерных обществах. </w:t>
      </w:r>
    </w:p>
    <w:p w:rsidR="00082EE9" w:rsidRPr="00323A0A" w:rsidRDefault="003465B9" w:rsidP="0031228B">
      <w:pPr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hyperlink r:id="rId35" w:history="1">
        <w:r w:rsidR="00082EE9" w:rsidRPr="00323A0A">
          <w:rPr>
            <w:rStyle w:val="a3"/>
            <w:sz w:val="28"/>
            <w:szCs w:val="28"/>
            <w:lang w:val="en-US"/>
          </w:rPr>
          <w:t>www</w:t>
        </w:r>
        <w:r w:rsidR="00082EE9" w:rsidRPr="00323A0A">
          <w:rPr>
            <w:rStyle w:val="a3"/>
            <w:sz w:val="28"/>
            <w:szCs w:val="28"/>
          </w:rPr>
          <w:t>.</w:t>
        </w:r>
        <w:r w:rsidR="00082EE9" w:rsidRPr="00323A0A">
          <w:rPr>
            <w:rStyle w:val="a3"/>
            <w:sz w:val="28"/>
            <w:szCs w:val="28"/>
            <w:lang w:val="en-US"/>
          </w:rPr>
          <w:t>financ</w:t>
        </w:r>
        <w:r w:rsidR="00082EE9" w:rsidRPr="00323A0A">
          <w:rPr>
            <w:rStyle w:val="a3"/>
            <w:sz w:val="28"/>
            <w:szCs w:val="28"/>
          </w:rPr>
          <w:t>.</w:t>
        </w:r>
        <w:r w:rsidR="00082EE9" w:rsidRPr="00323A0A">
          <w:rPr>
            <w:rStyle w:val="a3"/>
            <w:sz w:val="28"/>
            <w:szCs w:val="28"/>
            <w:lang w:val="en-US"/>
          </w:rPr>
          <w:t>ru</w:t>
        </w:r>
      </w:hyperlink>
    </w:p>
    <w:p w:rsidR="00082EE9" w:rsidRPr="00323A0A" w:rsidRDefault="00082EE9" w:rsidP="0031228B">
      <w:pPr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23A0A">
        <w:rPr>
          <w:sz w:val="28"/>
          <w:szCs w:val="28"/>
          <w:lang w:val="en-US"/>
        </w:rPr>
        <w:t>www</w:t>
      </w:r>
      <w:r w:rsidRPr="00323A0A">
        <w:rPr>
          <w:sz w:val="28"/>
          <w:szCs w:val="28"/>
        </w:rPr>
        <w:t>.</w:t>
      </w:r>
      <w:r w:rsidRPr="00323A0A">
        <w:rPr>
          <w:sz w:val="28"/>
          <w:szCs w:val="28"/>
          <w:lang w:val="en-US"/>
        </w:rPr>
        <w:t>fd</w:t>
      </w:r>
      <w:r w:rsidRPr="00323A0A">
        <w:rPr>
          <w:sz w:val="28"/>
          <w:szCs w:val="28"/>
        </w:rPr>
        <w:t>.</w:t>
      </w:r>
      <w:r w:rsidRPr="00323A0A">
        <w:rPr>
          <w:sz w:val="28"/>
          <w:szCs w:val="28"/>
          <w:lang w:val="en-US"/>
        </w:rPr>
        <w:t>ru</w:t>
      </w:r>
      <w:bookmarkStart w:id="19" w:name="_GoBack"/>
      <w:bookmarkEnd w:id="19"/>
    </w:p>
    <w:sectPr w:rsidR="00082EE9" w:rsidRPr="00323A0A" w:rsidSect="00323A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37" w:rsidRDefault="00F93137">
      <w:r>
        <w:separator/>
      </w:r>
    </w:p>
  </w:endnote>
  <w:endnote w:type="continuationSeparator" w:id="0">
    <w:p w:rsidR="00F93137" w:rsidRDefault="00F9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E9" w:rsidRDefault="00082EE9" w:rsidP="008A128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2EE9" w:rsidRDefault="00082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37" w:rsidRDefault="00F93137">
      <w:r>
        <w:separator/>
      </w:r>
    </w:p>
  </w:footnote>
  <w:footnote w:type="continuationSeparator" w:id="0">
    <w:p w:rsidR="00F93137" w:rsidRDefault="00F9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E94"/>
    <w:multiLevelType w:val="hybridMultilevel"/>
    <w:tmpl w:val="70A4E07E"/>
    <w:lvl w:ilvl="0" w:tplc="FE1E4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432390C"/>
    <w:multiLevelType w:val="multilevel"/>
    <w:tmpl w:val="638EAD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24F218B9"/>
    <w:multiLevelType w:val="hybridMultilevel"/>
    <w:tmpl w:val="521666B6"/>
    <w:lvl w:ilvl="0" w:tplc="FE1E4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B657558"/>
    <w:multiLevelType w:val="hybridMultilevel"/>
    <w:tmpl w:val="1D2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52D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8FA1FA1"/>
    <w:multiLevelType w:val="hybridMultilevel"/>
    <w:tmpl w:val="8466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F43039"/>
    <w:multiLevelType w:val="hybridMultilevel"/>
    <w:tmpl w:val="9E7C7A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9B81FB7"/>
    <w:multiLevelType w:val="hybridMultilevel"/>
    <w:tmpl w:val="A8BCAF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A46479B"/>
    <w:multiLevelType w:val="hybridMultilevel"/>
    <w:tmpl w:val="CCEC24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7E72753"/>
    <w:multiLevelType w:val="hybridMultilevel"/>
    <w:tmpl w:val="9D320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D2B"/>
    <w:rsid w:val="00082EE9"/>
    <w:rsid w:val="000B3EBC"/>
    <w:rsid w:val="000E5EB2"/>
    <w:rsid w:val="00103D2B"/>
    <w:rsid w:val="00106AAC"/>
    <w:rsid w:val="0012313B"/>
    <w:rsid w:val="00124D97"/>
    <w:rsid w:val="00172E78"/>
    <w:rsid w:val="001E2730"/>
    <w:rsid w:val="001E7E94"/>
    <w:rsid w:val="001F3D77"/>
    <w:rsid w:val="0020198D"/>
    <w:rsid w:val="00264C2A"/>
    <w:rsid w:val="002928E3"/>
    <w:rsid w:val="0029577B"/>
    <w:rsid w:val="002B7D3B"/>
    <w:rsid w:val="002D2F0E"/>
    <w:rsid w:val="002F2317"/>
    <w:rsid w:val="00305815"/>
    <w:rsid w:val="0031228B"/>
    <w:rsid w:val="00323A0A"/>
    <w:rsid w:val="00335543"/>
    <w:rsid w:val="003465B9"/>
    <w:rsid w:val="00356B23"/>
    <w:rsid w:val="003703F3"/>
    <w:rsid w:val="0037771C"/>
    <w:rsid w:val="00392B7C"/>
    <w:rsid w:val="003D658A"/>
    <w:rsid w:val="003F30C8"/>
    <w:rsid w:val="004311EF"/>
    <w:rsid w:val="00454B19"/>
    <w:rsid w:val="00456C2F"/>
    <w:rsid w:val="004A53A1"/>
    <w:rsid w:val="004E005F"/>
    <w:rsid w:val="0051118A"/>
    <w:rsid w:val="00527EAB"/>
    <w:rsid w:val="00547EF1"/>
    <w:rsid w:val="00551244"/>
    <w:rsid w:val="0055754E"/>
    <w:rsid w:val="005626A0"/>
    <w:rsid w:val="005C4F7F"/>
    <w:rsid w:val="00614075"/>
    <w:rsid w:val="00622037"/>
    <w:rsid w:val="00666443"/>
    <w:rsid w:val="00671445"/>
    <w:rsid w:val="0072001F"/>
    <w:rsid w:val="00724674"/>
    <w:rsid w:val="00746FA8"/>
    <w:rsid w:val="007833F4"/>
    <w:rsid w:val="00790F48"/>
    <w:rsid w:val="007C7C61"/>
    <w:rsid w:val="007D07D6"/>
    <w:rsid w:val="007F0B0A"/>
    <w:rsid w:val="007F4604"/>
    <w:rsid w:val="008130C4"/>
    <w:rsid w:val="00842923"/>
    <w:rsid w:val="00867B86"/>
    <w:rsid w:val="00890752"/>
    <w:rsid w:val="008A1285"/>
    <w:rsid w:val="008A2FC9"/>
    <w:rsid w:val="009348D5"/>
    <w:rsid w:val="0096115E"/>
    <w:rsid w:val="00963695"/>
    <w:rsid w:val="0098270F"/>
    <w:rsid w:val="009A70E3"/>
    <w:rsid w:val="00A10F1C"/>
    <w:rsid w:val="00A174DF"/>
    <w:rsid w:val="00A4494E"/>
    <w:rsid w:val="00A557A7"/>
    <w:rsid w:val="00AF4198"/>
    <w:rsid w:val="00AF46B7"/>
    <w:rsid w:val="00B424F6"/>
    <w:rsid w:val="00B71F3B"/>
    <w:rsid w:val="00BE292E"/>
    <w:rsid w:val="00C446A2"/>
    <w:rsid w:val="00C47510"/>
    <w:rsid w:val="00C541CF"/>
    <w:rsid w:val="00CF1A45"/>
    <w:rsid w:val="00D30182"/>
    <w:rsid w:val="00DB478C"/>
    <w:rsid w:val="00DD4630"/>
    <w:rsid w:val="00E036B2"/>
    <w:rsid w:val="00E56175"/>
    <w:rsid w:val="00E83430"/>
    <w:rsid w:val="00EB3A88"/>
    <w:rsid w:val="00EB4269"/>
    <w:rsid w:val="00EC4B4F"/>
    <w:rsid w:val="00ED25AB"/>
    <w:rsid w:val="00F365AE"/>
    <w:rsid w:val="00F76D0A"/>
    <w:rsid w:val="00F93137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CBDCFA70-0EF5-4BFB-83AF-9E4A5961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4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27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31228B"/>
    <w:pPr>
      <w:keepNext/>
      <w:tabs>
        <w:tab w:val="left" w:pos="6804"/>
      </w:tabs>
      <w:suppressAutoHyphens/>
      <w:autoSpaceDE w:val="0"/>
      <w:autoSpaceDN w:val="0"/>
      <w:spacing w:line="360" w:lineRule="auto"/>
      <w:ind w:left="70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rsid w:val="00DD4630"/>
    <w:pPr>
      <w:tabs>
        <w:tab w:val="right" w:leader="dot" w:pos="9345"/>
      </w:tabs>
      <w:spacing w:before="120" w:after="120" w:line="360" w:lineRule="auto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semiHidden/>
    <w:rsid w:val="001E2730"/>
    <w:pPr>
      <w:ind w:left="240"/>
    </w:pPr>
    <w:rPr>
      <w:smallCaps/>
      <w:sz w:val="20"/>
    </w:rPr>
  </w:style>
  <w:style w:type="character" w:styleId="a3">
    <w:name w:val="Hyperlink"/>
    <w:uiPriority w:val="99"/>
    <w:rsid w:val="001E2730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rsid w:val="001E2730"/>
    <w:pPr>
      <w:ind w:left="480"/>
    </w:pPr>
    <w:rPr>
      <w:i/>
      <w:iCs/>
      <w:sz w:val="20"/>
    </w:rPr>
  </w:style>
  <w:style w:type="paragraph" w:customStyle="1" w:styleId="-2">
    <w:name w:val="_Мохнатый-2"/>
    <w:basedOn w:val="2"/>
    <w:autoRedefine/>
    <w:rsid w:val="00551244"/>
    <w:pPr>
      <w:suppressAutoHyphens/>
    </w:pPr>
    <w:rPr>
      <w:rFonts w:ascii="Times New Roman" w:hAnsi="Times New Roman" w:cs="Times New Roman"/>
      <w:i w:val="0"/>
    </w:rPr>
  </w:style>
  <w:style w:type="paragraph" w:customStyle="1" w:styleId="-1-">
    <w:name w:val="_Мохнатый-1 - ГЛАВА"/>
    <w:basedOn w:val="a"/>
    <w:autoRedefine/>
    <w:rsid w:val="00746FA8"/>
    <w:pPr>
      <w:keepNext/>
      <w:pageBreakBefore/>
      <w:suppressAutoHyphens/>
      <w:spacing w:before="240" w:after="60"/>
      <w:jc w:val="center"/>
      <w:outlineLvl w:val="0"/>
    </w:pPr>
    <w:rPr>
      <w:b/>
      <w:bCs/>
      <w:caps/>
      <w:kern w:val="32"/>
      <w:sz w:val="28"/>
      <w:szCs w:val="20"/>
    </w:rPr>
  </w:style>
  <w:style w:type="paragraph" w:styleId="a4">
    <w:name w:val="footnote text"/>
    <w:basedOn w:val="a"/>
    <w:link w:val="a5"/>
    <w:uiPriority w:val="99"/>
    <w:semiHidden/>
    <w:rsid w:val="001E273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1E2730"/>
    <w:rPr>
      <w:rFonts w:cs="Times New Roman"/>
      <w:vertAlign w:val="superscript"/>
    </w:rPr>
  </w:style>
  <w:style w:type="table" w:styleId="a7">
    <w:name w:val="Table Grid"/>
    <w:basedOn w:val="a1"/>
    <w:uiPriority w:val="59"/>
    <w:rsid w:val="0074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index 1"/>
    <w:basedOn w:val="a"/>
    <w:next w:val="a"/>
    <w:autoRedefine/>
    <w:uiPriority w:val="99"/>
    <w:semiHidden/>
    <w:rsid w:val="00A4494E"/>
    <w:pPr>
      <w:ind w:left="240" w:hanging="240"/>
    </w:pPr>
    <w:rPr>
      <w:sz w:val="20"/>
    </w:rPr>
  </w:style>
  <w:style w:type="paragraph" w:styleId="22">
    <w:name w:val="index 2"/>
    <w:basedOn w:val="a"/>
    <w:next w:val="a"/>
    <w:autoRedefine/>
    <w:uiPriority w:val="99"/>
    <w:semiHidden/>
    <w:rsid w:val="00A4494E"/>
    <w:pPr>
      <w:ind w:left="480" w:hanging="240"/>
    </w:pPr>
    <w:rPr>
      <w:sz w:val="20"/>
    </w:rPr>
  </w:style>
  <w:style w:type="paragraph" w:styleId="32">
    <w:name w:val="index 3"/>
    <w:basedOn w:val="a"/>
    <w:next w:val="a"/>
    <w:autoRedefine/>
    <w:uiPriority w:val="99"/>
    <w:semiHidden/>
    <w:rsid w:val="00A4494E"/>
    <w:pPr>
      <w:ind w:left="720" w:hanging="240"/>
    </w:pPr>
    <w:rPr>
      <w:sz w:val="20"/>
    </w:rPr>
  </w:style>
  <w:style w:type="paragraph" w:styleId="4">
    <w:name w:val="index 4"/>
    <w:basedOn w:val="a"/>
    <w:next w:val="a"/>
    <w:autoRedefine/>
    <w:uiPriority w:val="99"/>
    <w:semiHidden/>
    <w:rsid w:val="00A4494E"/>
    <w:pPr>
      <w:ind w:left="960" w:hanging="240"/>
    </w:pPr>
    <w:rPr>
      <w:sz w:val="20"/>
    </w:rPr>
  </w:style>
  <w:style w:type="paragraph" w:styleId="5">
    <w:name w:val="index 5"/>
    <w:basedOn w:val="a"/>
    <w:next w:val="a"/>
    <w:autoRedefine/>
    <w:uiPriority w:val="99"/>
    <w:semiHidden/>
    <w:rsid w:val="00A4494E"/>
    <w:pPr>
      <w:ind w:left="1200" w:hanging="240"/>
    </w:pPr>
    <w:rPr>
      <w:sz w:val="20"/>
    </w:rPr>
  </w:style>
  <w:style w:type="paragraph" w:styleId="6">
    <w:name w:val="index 6"/>
    <w:basedOn w:val="a"/>
    <w:next w:val="a"/>
    <w:autoRedefine/>
    <w:uiPriority w:val="99"/>
    <w:semiHidden/>
    <w:rsid w:val="00A4494E"/>
    <w:pPr>
      <w:ind w:left="1440" w:hanging="240"/>
    </w:pPr>
    <w:rPr>
      <w:sz w:val="20"/>
    </w:rPr>
  </w:style>
  <w:style w:type="paragraph" w:styleId="7">
    <w:name w:val="index 7"/>
    <w:basedOn w:val="a"/>
    <w:next w:val="a"/>
    <w:autoRedefine/>
    <w:uiPriority w:val="99"/>
    <w:semiHidden/>
    <w:rsid w:val="00A4494E"/>
    <w:pPr>
      <w:ind w:left="1680" w:hanging="240"/>
    </w:pPr>
    <w:rPr>
      <w:sz w:val="20"/>
    </w:rPr>
  </w:style>
  <w:style w:type="paragraph" w:styleId="8">
    <w:name w:val="index 8"/>
    <w:basedOn w:val="a"/>
    <w:next w:val="a"/>
    <w:autoRedefine/>
    <w:uiPriority w:val="99"/>
    <w:semiHidden/>
    <w:rsid w:val="00A4494E"/>
    <w:pPr>
      <w:ind w:left="1920" w:hanging="240"/>
    </w:pPr>
    <w:rPr>
      <w:sz w:val="20"/>
    </w:rPr>
  </w:style>
  <w:style w:type="paragraph" w:styleId="9">
    <w:name w:val="index 9"/>
    <w:basedOn w:val="a"/>
    <w:next w:val="a"/>
    <w:autoRedefine/>
    <w:uiPriority w:val="99"/>
    <w:semiHidden/>
    <w:rsid w:val="00A4494E"/>
    <w:pPr>
      <w:ind w:left="2160" w:hanging="240"/>
    </w:pPr>
    <w:rPr>
      <w:sz w:val="20"/>
    </w:rPr>
  </w:style>
  <w:style w:type="paragraph" w:styleId="a8">
    <w:name w:val="index heading"/>
    <w:basedOn w:val="a"/>
    <w:next w:val="12"/>
    <w:uiPriority w:val="99"/>
    <w:semiHidden/>
    <w:rsid w:val="00A4494E"/>
    <w:pPr>
      <w:spacing w:before="120" w:after="120"/>
    </w:pPr>
    <w:rPr>
      <w:b/>
      <w:bCs/>
      <w:i/>
      <w:iCs/>
      <w:sz w:val="20"/>
    </w:rPr>
  </w:style>
  <w:style w:type="paragraph" w:styleId="40">
    <w:name w:val="toc 4"/>
    <w:basedOn w:val="a"/>
    <w:next w:val="a"/>
    <w:autoRedefine/>
    <w:uiPriority w:val="39"/>
    <w:semiHidden/>
    <w:rsid w:val="00A4494E"/>
    <w:pPr>
      <w:ind w:left="720"/>
    </w:pPr>
    <w:rPr>
      <w:sz w:val="18"/>
      <w:szCs w:val="21"/>
    </w:rPr>
  </w:style>
  <w:style w:type="paragraph" w:styleId="50">
    <w:name w:val="toc 5"/>
    <w:basedOn w:val="a"/>
    <w:next w:val="a"/>
    <w:autoRedefine/>
    <w:uiPriority w:val="39"/>
    <w:semiHidden/>
    <w:rsid w:val="00A4494E"/>
    <w:pPr>
      <w:ind w:left="960"/>
    </w:pPr>
    <w:rPr>
      <w:sz w:val="18"/>
      <w:szCs w:val="21"/>
    </w:rPr>
  </w:style>
  <w:style w:type="paragraph" w:styleId="60">
    <w:name w:val="toc 6"/>
    <w:basedOn w:val="a"/>
    <w:next w:val="a"/>
    <w:autoRedefine/>
    <w:uiPriority w:val="39"/>
    <w:semiHidden/>
    <w:rsid w:val="00A4494E"/>
    <w:pPr>
      <w:ind w:left="1200"/>
    </w:pPr>
    <w:rPr>
      <w:sz w:val="18"/>
      <w:szCs w:val="21"/>
    </w:rPr>
  </w:style>
  <w:style w:type="paragraph" w:styleId="70">
    <w:name w:val="toc 7"/>
    <w:basedOn w:val="a"/>
    <w:next w:val="a"/>
    <w:autoRedefine/>
    <w:uiPriority w:val="39"/>
    <w:semiHidden/>
    <w:rsid w:val="00A4494E"/>
    <w:pPr>
      <w:ind w:left="1440"/>
    </w:pPr>
    <w:rPr>
      <w:sz w:val="18"/>
      <w:szCs w:val="21"/>
    </w:rPr>
  </w:style>
  <w:style w:type="paragraph" w:styleId="80">
    <w:name w:val="toc 8"/>
    <w:basedOn w:val="a"/>
    <w:next w:val="a"/>
    <w:autoRedefine/>
    <w:uiPriority w:val="39"/>
    <w:semiHidden/>
    <w:rsid w:val="00A4494E"/>
    <w:pPr>
      <w:ind w:left="1680"/>
    </w:pPr>
    <w:rPr>
      <w:sz w:val="18"/>
      <w:szCs w:val="21"/>
    </w:rPr>
  </w:style>
  <w:style w:type="paragraph" w:styleId="90">
    <w:name w:val="toc 9"/>
    <w:basedOn w:val="a"/>
    <w:next w:val="a"/>
    <w:autoRedefine/>
    <w:uiPriority w:val="39"/>
    <w:semiHidden/>
    <w:rsid w:val="00A4494E"/>
    <w:pPr>
      <w:ind w:left="1920"/>
    </w:pPr>
    <w:rPr>
      <w:sz w:val="18"/>
      <w:szCs w:val="21"/>
    </w:rPr>
  </w:style>
  <w:style w:type="paragraph" w:styleId="a9">
    <w:name w:val="footer"/>
    <w:basedOn w:val="a"/>
    <w:link w:val="aa"/>
    <w:uiPriority w:val="99"/>
    <w:rsid w:val="00082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082EE9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323A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23A0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yperlink" Target="http://www.fina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33860</CharactersWithSpaces>
  <SharedDoc>false</SharedDoc>
  <HLinks>
    <vt:vector size="6" baseType="variant">
      <vt:variant>
        <vt:i4>1441865</vt:i4>
      </vt:variant>
      <vt:variant>
        <vt:i4>42</vt:i4>
      </vt:variant>
      <vt:variant>
        <vt:i4>0</vt:i4>
      </vt:variant>
      <vt:variant>
        <vt:i4>5</vt:i4>
      </vt:variant>
      <vt:variant>
        <vt:lpwstr>http://www.financ.ru/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Котенок</dc:creator>
  <cp:keywords/>
  <dc:description/>
  <cp:lastModifiedBy>admin</cp:lastModifiedBy>
  <cp:revision>2</cp:revision>
  <cp:lastPrinted>2008-12-28T22:29:00Z</cp:lastPrinted>
  <dcterms:created xsi:type="dcterms:W3CDTF">2014-04-11T15:52:00Z</dcterms:created>
  <dcterms:modified xsi:type="dcterms:W3CDTF">2014-04-11T15:52:00Z</dcterms:modified>
</cp:coreProperties>
</file>