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EC" w:rsidRPr="00157035" w:rsidRDefault="00BC3FEC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065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C6065" w:rsidRDefault="008C6065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</w:p>
    <w:p w:rsidR="00BC3FEC" w:rsidRPr="00157035" w:rsidRDefault="00BC3FEC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Важнейшая цель антикризисной программы 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–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устойчивость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работы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предприятия, что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проявляется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не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только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в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достижении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требуемых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показателей платежеспособности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и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доходности,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но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и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в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поддержании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их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уровня, предотвращающего повторный кризис.</w:t>
      </w:r>
    </w:p>
    <w:p w:rsidR="00BC3FEC" w:rsidRPr="00157035" w:rsidRDefault="00B235CE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  <w:r>
        <w:rPr>
          <w:rFonts w:ascii="Times New Roman" w:hAnsi="Times New Roman"/>
          <w:color w:val="000000"/>
          <w:sz w:val="28"/>
          <w:szCs w:val="28"/>
          <w:lang w:eastAsia="pt-PT"/>
        </w:rPr>
        <w:t xml:space="preserve">При разработке и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реализации антикризисных программ важно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обращать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внимание на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повышение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их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эффективности,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т.е.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лучшее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использование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выделяемых ресурсов. Критерий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эффективности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–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отношение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приращения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чистого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дохода предприятия,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получаемого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за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счет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инвестирования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программы,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к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объему инвестиций. Показателем эффективности может служить также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срок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="00BC3FEC" w:rsidRPr="00157035">
        <w:rPr>
          <w:rFonts w:ascii="Times New Roman" w:hAnsi="Times New Roman"/>
          <w:color w:val="000000"/>
          <w:sz w:val="28"/>
          <w:szCs w:val="28"/>
          <w:lang w:eastAsia="pt-PT"/>
        </w:rPr>
        <w:t>окупаемости вложений.</w:t>
      </w:r>
    </w:p>
    <w:p w:rsidR="00BC3FEC" w:rsidRPr="00157035" w:rsidRDefault="00BC3FEC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Программный комплекс ProjectExpert 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>–</w:t>
      </w:r>
      <w:r w:rsidR="00157035" w:rsidRP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это набор профессиональных инструментов для финансового управления бизнесом.</w:t>
      </w:r>
    </w:p>
    <w:p w:rsidR="00BC3FEC" w:rsidRPr="00157035" w:rsidRDefault="00BC3FEC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Используя их, можно построить финансовую модель предприятия и окружения, в котором оно работает. Не производя реальных затрат оценить и проанализировать последствия и результаты планируемых решений. На основе сценарного подхода сравнить решения между собой и выбрать для реализации наиболее эффективное. Определить устойчивость бизнеса к изменениям параметров внешней и внутренней среды. Рассчитать стоимость бизнеса и доходы его участников, определить эффективность работы подразделений, вклад каждого продукта или услуги которые произведете и многое другое.</w:t>
      </w:r>
    </w:p>
    <w:p w:rsidR="00BC3FEC" w:rsidRPr="00157035" w:rsidRDefault="00BC3FEC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В результате можно получить стратегический план развития компании. В ходе его реализации можно ввести фактические данные, оперативно получить расхождения от плана и оценить последствия этих расхождений.</w:t>
      </w:r>
    </w:p>
    <w:p w:rsidR="00BC3FEC" w:rsidRPr="00157035" w:rsidRDefault="00BC3FEC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При этом используются данные бухгалтерской отчетности, результаты представлены в соответствии с Международными стандартами бухгалтерского учета, при расчете используется методика, рекомендованная Международным банком развития.</w:t>
      </w:r>
    </w:p>
    <w:p w:rsidR="00BC3FEC" w:rsidRDefault="00BC3FEC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Применение системы ProjectExpert позволяет разработать планы развития предприятия и провести анализ инвестиционных проектов. С помощью ProjectExpert можно создавать проекты любой сложности </w:t>
      </w:r>
      <w:r w:rsidR="00157035">
        <w:rPr>
          <w:rFonts w:ascii="Times New Roman" w:hAnsi="Times New Roman"/>
          <w:color w:val="000000"/>
          <w:sz w:val="28"/>
          <w:szCs w:val="28"/>
          <w:lang w:eastAsia="pt-PT"/>
        </w:rPr>
        <w:t>–</w:t>
      </w:r>
      <w:r w:rsidR="00157035" w:rsidRPr="00157035">
        <w:rPr>
          <w:rFonts w:ascii="Times New Roman" w:hAnsi="Times New Roman"/>
          <w:color w:val="000000"/>
          <w:sz w:val="28"/>
          <w:szCs w:val="28"/>
          <w:lang w:eastAsia="pt-PT"/>
        </w:rPr>
        <w:t xml:space="preserve"> </w:t>
      </w:r>
      <w:r w:rsidRPr="00157035">
        <w:rPr>
          <w:rFonts w:ascii="Times New Roman" w:hAnsi="Times New Roman"/>
          <w:color w:val="000000"/>
          <w:sz w:val="28"/>
          <w:szCs w:val="28"/>
          <w:lang w:eastAsia="pt-PT"/>
        </w:rPr>
        <w:t>от расчета окупаемости нового оборудования до оценки эффективности диверсификации деятельности предприятия. ProjectExpert позволяет отбирать оптимальные варианты стратегии развития предприятия из ряда альтернативных, определять потребность в привлеченных денежных средствах, рассматривать различные варианты схем финансирования, включая сроки и условия кредитования, оценивать и отслеживать рост стоимости, запас прочности предприятия, факторы, влияющие на жизнеспособность предприятия и допустимый уровень риска. В системе определяется общая эффективность проекта, эффективность вложений в него для каждого из участников, выбираются варианты производства, закупок и сбыта, ведется контроль реализации проекта, а также разрабатывается качественный бизнес-план.</w:t>
      </w:r>
    </w:p>
    <w:p w:rsidR="008C6065" w:rsidRDefault="008C6065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</w:p>
    <w:p w:rsidR="008C6065" w:rsidRPr="00157035" w:rsidRDefault="008C6065" w:rsidP="00157035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pt-PT"/>
        </w:rPr>
      </w:pPr>
    </w:p>
    <w:p w:rsidR="00BC3FEC" w:rsidRPr="008C6065" w:rsidRDefault="00157035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b/>
          <w:color w:val="000000"/>
        </w:rPr>
      </w:pPr>
      <w:r w:rsidRPr="00157035">
        <w:rPr>
          <w:rStyle w:val="PEStyleFont3"/>
          <w:rFonts w:cs="Times New Roman"/>
          <w:color w:val="000000"/>
        </w:rPr>
        <w:br w:type="page"/>
      </w:r>
      <w:r w:rsidR="00BC3FEC" w:rsidRPr="008C6065">
        <w:rPr>
          <w:rStyle w:val="PEStyleFont3"/>
          <w:rFonts w:cs="Times New Roman"/>
          <w:b/>
          <w:color w:val="000000"/>
        </w:rPr>
        <w:t>Описание модели</w:t>
      </w:r>
    </w:p>
    <w:p w:rsidR="008C6065" w:rsidRDefault="008C6065" w:rsidP="00157035">
      <w:pPr>
        <w:pStyle w:val="a8"/>
        <w:spacing w:line="360" w:lineRule="auto"/>
        <w:ind w:firstLine="709"/>
        <w:jc w:val="both"/>
        <w:rPr>
          <w:rStyle w:val="PEStyleFont3"/>
          <w:rFonts w:cs="Times New Roman"/>
          <w:color w:val="000000"/>
        </w:rPr>
      </w:pP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 xml:space="preserve">Название проекта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Построение бизнес модели деятельности предприятия.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 xml:space="preserve">Вариант проекта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Кейс 8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 xml:space="preserve">Дата начала проекта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01.01.2011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 xml:space="preserve">Продолжительность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15</w:t>
      </w:r>
      <w:r w:rsidR="00157035">
        <w:rPr>
          <w:rStyle w:val="PEStyleFont3"/>
          <w:rFonts w:cs="Times New Roman"/>
          <w:color w:val="000000"/>
        </w:rPr>
        <w:t> </w:t>
      </w:r>
      <w:r w:rsidR="00157035" w:rsidRPr="00157035">
        <w:rPr>
          <w:rStyle w:val="PEStyleFont3"/>
          <w:rFonts w:cs="Times New Roman"/>
          <w:color w:val="000000"/>
        </w:rPr>
        <w:t>мес</w:t>
      </w:r>
      <w:r w:rsidRPr="00157035">
        <w:rPr>
          <w:rStyle w:val="PEStyleFont3"/>
          <w:rFonts w:cs="Times New Roman"/>
          <w:color w:val="000000"/>
        </w:rPr>
        <w:t>.</w:t>
      </w:r>
    </w:p>
    <w:p w:rsidR="00BC3FEC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3"/>
          <w:rFonts w:cs="Times New Roman"/>
          <w:color w:val="000000"/>
        </w:rPr>
      </w:pPr>
      <w:r w:rsidRPr="00157035">
        <w:rPr>
          <w:rStyle w:val="PEStyleFont2"/>
          <w:rFonts w:cs="Times New Roman"/>
          <w:color w:val="000000"/>
        </w:rPr>
        <w:t>Цель проекта – а</w:t>
      </w:r>
      <w:r w:rsidRPr="00157035">
        <w:rPr>
          <w:rStyle w:val="PEStyleFont3"/>
          <w:rFonts w:cs="Times New Roman"/>
          <w:color w:val="000000"/>
        </w:rPr>
        <w:t>нализ деятельности компании по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последним 4 кварталам, с учетом прогноза на 5</w:t>
      </w:r>
      <w:r w:rsidR="00157035">
        <w:rPr>
          <w:rStyle w:val="PEStyleFont3"/>
          <w:rFonts w:cs="Times New Roman"/>
          <w:color w:val="000000"/>
        </w:rPr>
        <w:t>-</w:t>
      </w:r>
      <w:r w:rsidR="00157035" w:rsidRPr="00157035">
        <w:rPr>
          <w:rStyle w:val="PEStyleFont3"/>
          <w:rFonts w:cs="Times New Roman"/>
          <w:color w:val="000000"/>
        </w:rPr>
        <w:t>т</w:t>
      </w:r>
      <w:r w:rsidRPr="00157035">
        <w:rPr>
          <w:rStyle w:val="PEStyleFont3"/>
          <w:rFonts w:cs="Times New Roman"/>
          <w:color w:val="000000"/>
        </w:rPr>
        <w:t>ый квартал.</w:t>
      </w:r>
    </w:p>
    <w:p w:rsidR="008C6065" w:rsidRPr="004F0F19" w:rsidRDefault="00756679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3"/>
          <w:rFonts w:cs="Times New Roman"/>
          <w:color w:val="FFFFFF"/>
        </w:rPr>
      </w:pPr>
      <w:r w:rsidRPr="004F0F19">
        <w:rPr>
          <w:rStyle w:val="PEStyleFont3"/>
          <w:color w:val="FFFFFF"/>
        </w:rPr>
        <w:t xml:space="preserve">предприятие </w:t>
      </w:r>
      <w:r w:rsidR="00B235CE" w:rsidRPr="004F0F19">
        <w:rPr>
          <w:rStyle w:val="PEStyleFont3"/>
          <w:color w:val="FFFFFF"/>
        </w:rPr>
        <w:t>эффективность</w:t>
      </w:r>
      <w:r w:rsidRPr="004F0F19">
        <w:rPr>
          <w:rStyle w:val="PEStyleFont3"/>
          <w:color w:val="FFFFFF"/>
        </w:rPr>
        <w:t xml:space="preserve"> инвестиционный стратегия</w:t>
      </w:r>
    </w:p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157035">
        <w:rPr>
          <w:rStyle w:val="PEStyleFont2"/>
          <w:rFonts w:cs="Times New Roman"/>
          <w:b/>
          <w:color w:val="000000"/>
        </w:rPr>
        <w:t>Общая информация</w:t>
      </w:r>
    </w:p>
    <w:p w:rsidR="008C6065" w:rsidRDefault="008C6065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Компания конкурирует на рынке с большим количеством компаний, которые производят и продают такую же продукцию,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в том же географическом регионе. Компания может производить и продавать до трех видов продукции, которые четко не определены, но представляют группу потребительских товаров длительного пользования.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 xml:space="preserve">Рынок разделен на 2 географических региона традиционной розничной продажи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 xml:space="preserve">Евросоюз (евро-рынок) и Северо-Американское свободное торговое соглашение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NAFTA (доллар-рынок). В то же время,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есть возможность работать с потребителями этих регионов и всего остального мира при помощи Интернета.</w:t>
      </w:r>
    </w:p>
    <w:p w:rsidR="00BC3FEC" w:rsidRDefault="00BC3FEC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 xml:space="preserve">На рынке Евросоюза торговля осуществляется в евро, на территории NAFTA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 xml:space="preserve">в долларах США, в Интернете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в долларах США.</w:t>
      </w:r>
    </w:p>
    <w:p w:rsidR="008C6065" w:rsidRPr="008C6065" w:rsidRDefault="008C6065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2"/>
          <w:rFonts w:cs="Times New Roman"/>
          <w:color w:val="000000"/>
        </w:rPr>
      </w:pPr>
    </w:p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157035">
        <w:rPr>
          <w:rStyle w:val="PEStyleFont2"/>
          <w:rFonts w:cs="Times New Roman"/>
          <w:b/>
          <w:color w:val="000000"/>
        </w:rPr>
        <w:t>Основные виды выпускаемой продукции или оказываемых услуг</w:t>
      </w:r>
    </w:p>
    <w:p w:rsidR="008C6065" w:rsidRDefault="008C6065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Группу потребительских товаров длительного пользования, по 3 вида продукта для 3</w:t>
      </w:r>
      <w:r w:rsidR="00157035">
        <w:rPr>
          <w:rStyle w:val="PEStyleFont3"/>
          <w:rFonts w:cs="Times New Roman"/>
          <w:color w:val="000000"/>
        </w:rPr>
        <w:t>-</w:t>
      </w:r>
      <w:r w:rsidR="00157035" w:rsidRPr="00157035">
        <w:rPr>
          <w:rStyle w:val="PEStyleFont3"/>
          <w:rFonts w:cs="Times New Roman"/>
          <w:color w:val="000000"/>
        </w:rPr>
        <w:t>х</w:t>
      </w:r>
      <w:r w:rsidRPr="00157035">
        <w:rPr>
          <w:rStyle w:val="PEStyleFont3"/>
          <w:rFonts w:cs="Times New Roman"/>
          <w:color w:val="000000"/>
        </w:rPr>
        <w:t xml:space="preserve"> основных рынков.</w:t>
      </w:r>
    </w:p>
    <w:p w:rsidR="00157035" w:rsidRDefault="008C6065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Style w:val="PEStyleFont2"/>
          <w:rFonts w:cs="Times New Roman"/>
          <w:b/>
          <w:color w:val="000000"/>
        </w:rPr>
        <w:br w:type="page"/>
      </w:r>
      <w:r w:rsidR="00BC3FEC" w:rsidRPr="00157035">
        <w:rPr>
          <w:rStyle w:val="PEStyleFont2"/>
          <w:rFonts w:cs="Times New Roman"/>
          <w:b/>
          <w:color w:val="000000"/>
        </w:rPr>
        <w:t>Основные потребители</w:t>
      </w:r>
    </w:p>
    <w:p w:rsidR="008C6065" w:rsidRDefault="008C6065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Продажи продукции в различных регионах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зависят от количества населения и социальной структуры рынка.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Европейский Сою (ЕС), население 368 млн.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НАФТА, население 278 млн.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Остальная часть мира, население 2 468 млн.</w:t>
      </w:r>
    </w:p>
    <w:p w:rsidR="008C6065" w:rsidRPr="008C6065" w:rsidRDefault="008C6065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2"/>
          <w:rFonts w:cs="Times New Roman"/>
          <w:color w:val="000000"/>
        </w:rPr>
      </w:pPr>
    </w:p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157035">
        <w:rPr>
          <w:rStyle w:val="PEStyleFont2"/>
          <w:rFonts w:cs="Times New Roman"/>
          <w:b/>
          <w:color w:val="000000"/>
        </w:rPr>
        <w:t>Персонал</w:t>
      </w:r>
    </w:p>
    <w:p w:rsidR="008C6065" w:rsidRDefault="008C6065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В Компании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работают сотрудники 4 категорий:</w:t>
      </w:r>
    </w:p>
    <w:p w:rsidR="00BC3FEC" w:rsidRPr="00157035" w:rsidRDefault="00157035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Style w:val="PEStyleFont3"/>
          <w:rFonts w:cs="Times New Roman"/>
          <w:color w:val="000000"/>
        </w:rPr>
        <w:t>– </w:t>
      </w:r>
      <w:r w:rsidR="00BC3FEC" w:rsidRPr="00157035">
        <w:rPr>
          <w:rStyle w:val="PEStyleFont3"/>
          <w:rFonts w:cs="Times New Roman"/>
          <w:color w:val="000000"/>
        </w:rPr>
        <w:t>менеджмент высшего звена;</w:t>
      </w:r>
    </w:p>
    <w:p w:rsidR="00BC3FEC" w:rsidRPr="00157035" w:rsidRDefault="00157035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Style w:val="PEStyleFont3"/>
          <w:rFonts w:cs="Times New Roman"/>
          <w:color w:val="000000"/>
        </w:rPr>
        <w:t>– </w:t>
      </w:r>
      <w:r w:rsidR="00BC3FEC" w:rsidRPr="00157035">
        <w:rPr>
          <w:rStyle w:val="PEStyleFont3"/>
          <w:rFonts w:cs="Times New Roman"/>
          <w:color w:val="000000"/>
        </w:rPr>
        <w:t xml:space="preserve">дополнительные работники </w:t>
      </w:r>
      <w:r>
        <w:rPr>
          <w:rStyle w:val="PEStyleFont3"/>
          <w:rFonts w:cs="Times New Roman"/>
          <w:color w:val="000000"/>
        </w:rPr>
        <w:t>–</w:t>
      </w:r>
      <w:r w:rsidRPr="00157035">
        <w:rPr>
          <w:rStyle w:val="PEStyleFont3"/>
          <w:rFonts w:cs="Times New Roman"/>
          <w:color w:val="000000"/>
        </w:rPr>
        <w:t xml:space="preserve"> </w:t>
      </w:r>
      <w:r w:rsidR="00BC3FEC" w:rsidRPr="00157035">
        <w:rPr>
          <w:rStyle w:val="PEStyleFont3"/>
          <w:rFonts w:cs="Times New Roman"/>
          <w:color w:val="000000"/>
        </w:rPr>
        <w:t>кладовщики, клерки, бухгалтера, закупщики, кладовщики, исследователи, менеджмент низшего звена и др.;</w:t>
      </w:r>
    </w:p>
    <w:p w:rsidR="00BC3FEC" w:rsidRPr="00157035" w:rsidRDefault="00157035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Style w:val="PEStyleFont3"/>
          <w:rFonts w:cs="Times New Roman"/>
          <w:color w:val="000000"/>
        </w:rPr>
        <w:t>– </w:t>
      </w:r>
      <w:r w:rsidR="00BC3FEC" w:rsidRPr="00157035">
        <w:rPr>
          <w:rStyle w:val="PEStyleFont3"/>
          <w:rFonts w:cs="Times New Roman"/>
          <w:color w:val="000000"/>
        </w:rPr>
        <w:t>неквалифицированные операторы станков (механики);</w:t>
      </w:r>
    </w:p>
    <w:p w:rsidR="00BC3FEC" w:rsidRPr="00157035" w:rsidRDefault="00157035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Style w:val="PEStyleFont3"/>
          <w:rFonts w:cs="Times New Roman"/>
          <w:color w:val="000000"/>
        </w:rPr>
        <w:t xml:space="preserve">– </w:t>
      </w:r>
      <w:r w:rsidRPr="00157035">
        <w:rPr>
          <w:rStyle w:val="PEStyleFont3"/>
          <w:rFonts w:cs="Times New Roman"/>
          <w:color w:val="000000"/>
        </w:rPr>
        <w:t>к</w:t>
      </w:r>
      <w:r w:rsidR="00BC3FEC" w:rsidRPr="00157035">
        <w:rPr>
          <w:rStyle w:val="PEStyleFont3"/>
          <w:rFonts w:cs="Times New Roman"/>
          <w:color w:val="000000"/>
        </w:rPr>
        <w:t>валифицированные сборщики, которые выпускают готовую продукцию из деталей.</w:t>
      </w:r>
    </w:p>
    <w:p w:rsidR="008C6065" w:rsidRPr="008C6065" w:rsidRDefault="008C6065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2"/>
          <w:rFonts w:cs="Times New Roman"/>
          <w:color w:val="000000"/>
        </w:rPr>
      </w:pPr>
    </w:p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157035">
        <w:rPr>
          <w:rStyle w:val="PEStyleFont2"/>
          <w:rFonts w:cs="Times New Roman"/>
          <w:b/>
          <w:color w:val="000000"/>
        </w:rPr>
        <w:t>Финансовые показатели</w:t>
      </w:r>
    </w:p>
    <w:p w:rsidR="008C6065" w:rsidRDefault="008C6065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Отчет о прибылях и убытках. Расчет прибыли и убытков проводится двумя частями. Первая часть рассчитывает валовую прибыль, вторая</w:t>
      </w:r>
      <w:r w:rsidR="00157035">
        <w:rPr>
          <w:rStyle w:val="PEStyleFont3"/>
          <w:rFonts w:cs="Times New Roman"/>
          <w:color w:val="000000"/>
        </w:rPr>
        <w:t xml:space="preserve"> –</w:t>
      </w:r>
      <w:r w:rsidR="00157035" w:rsidRPr="00157035">
        <w:rPr>
          <w:rStyle w:val="PEStyleFont3"/>
          <w:rFonts w:cs="Times New Roman"/>
          <w:color w:val="000000"/>
        </w:rPr>
        <w:t xml:space="preserve"> по</w:t>
      </w:r>
      <w:r w:rsidRPr="00157035">
        <w:rPr>
          <w:rStyle w:val="PEStyleFont3"/>
          <w:rFonts w:cs="Times New Roman"/>
          <w:color w:val="000000"/>
        </w:rPr>
        <w:t>казывает чистую прибыль.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Баланс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 xml:space="preserve">Компании состоит из 3 частей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активы, обязательства и согласование активов с акционерными фондами.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Отчет о движении денежных средств показывает, какие исходящие и входящие потоки финансовых средств проходили в Компании за последний квартал.</w:t>
      </w:r>
    </w:p>
    <w:p w:rsidR="00BC3FEC" w:rsidRDefault="00BC3FEC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 xml:space="preserve">Практика учёта </w:t>
      </w:r>
      <w:r w:rsidR="00157035">
        <w:rPr>
          <w:rStyle w:val="PEStyleFont3"/>
          <w:rFonts w:cs="Times New Roman"/>
          <w:color w:val="000000"/>
        </w:rPr>
        <w:t xml:space="preserve">– </w:t>
      </w:r>
      <w:r w:rsidRPr="00157035">
        <w:rPr>
          <w:rStyle w:val="PEStyleFont3"/>
          <w:rFonts w:cs="Times New Roman"/>
          <w:color w:val="000000"/>
        </w:rPr>
        <w:t>все операции проводятся в евро. В тех случаях, где платеж должен быть произведен в долларах, он должен быть конвертирован в евро по обменному курсу прошлого квартала.</w:t>
      </w:r>
    </w:p>
    <w:p w:rsidR="008C6065" w:rsidRPr="008C6065" w:rsidRDefault="008C6065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2"/>
          <w:rFonts w:cs="Times New Roman"/>
          <w:color w:val="000000"/>
        </w:rPr>
      </w:pPr>
    </w:p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157035">
        <w:rPr>
          <w:rStyle w:val="PEStyleFont2"/>
          <w:rFonts w:cs="Times New Roman"/>
          <w:b/>
          <w:color w:val="000000"/>
        </w:rPr>
        <w:t>Сырье и поставки</w:t>
      </w:r>
    </w:p>
    <w:p w:rsidR="008C6065" w:rsidRDefault="008C6065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Для производства продукции сырье может быть заказано на фьючерсном рынке с доставкой через 3 или 6 месяцев, либо по цене немедленной оплаты наличными для доставки в следующем квартале.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Сырье, заказанное на фьючерсном рынке, не требует расходов на хранение, но оно уже принадлежит Вам с момента заказа. После доставки материалов начинается оплата за их хранение на складе.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 xml:space="preserve">Счет за сырье, заказанное на следующий квартал, выставляется также в следующем квартале. Счет основан на ценах, указанных в евро в предыдущем квартале. Эквивалентная сумма в долларах потом оплачивается двумя частями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5</w:t>
      </w:r>
      <w:r w:rsidR="00157035" w:rsidRPr="00157035">
        <w:rPr>
          <w:rStyle w:val="PEStyleFont3"/>
          <w:rFonts w:cs="Times New Roman"/>
          <w:color w:val="000000"/>
        </w:rPr>
        <w:t>0</w:t>
      </w:r>
      <w:r w:rsidR="00157035">
        <w:rPr>
          <w:rStyle w:val="PEStyleFont3"/>
          <w:rFonts w:cs="Times New Roman"/>
          <w:color w:val="000000"/>
        </w:rPr>
        <w:t>%</w:t>
      </w:r>
      <w:r w:rsidRPr="00157035">
        <w:rPr>
          <w:rStyle w:val="PEStyleFont3"/>
          <w:rFonts w:cs="Times New Roman"/>
          <w:color w:val="000000"/>
        </w:rPr>
        <w:t xml:space="preserve"> сразу и 5</w:t>
      </w:r>
      <w:r w:rsidR="00157035" w:rsidRPr="00157035">
        <w:rPr>
          <w:rStyle w:val="PEStyleFont3"/>
          <w:rFonts w:cs="Times New Roman"/>
          <w:color w:val="000000"/>
        </w:rPr>
        <w:t>0</w:t>
      </w:r>
      <w:r w:rsidR="00157035">
        <w:rPr>
          <w:rStyle w:val="PEStyleFont3"/>
          <w:rFonts w:cs="Times New Roman"/>
          <w:color w:val="000000"/>
        </w:rPr>
        <w:t>%</w:t>
      </w:r>
      <w:r w:rsidRPr="00157035">
        <w:rPr>
          <w:rStyle w:val="PEStyleFont3"/>
          <w:rFonts w:cs="Times New Roman"/>
          <w:color w:val="000000"/>
        </w:rPr>
        <w:t xml:space="preserve"> в следующем квартале. Корректировка сумм в долларах, связанная с изменением валютного курса, не осуществляется. Вторая часть платежа отражается в балансе как часть кредиторской задолженности, до тех пор, пока она не будет оплачена в последующем квартале.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>Если для реализации производственного плана, требуется больше сырья, чем в данный момент располагаем, необходимое количество сырья дополнительно автоматически закупается на спот-рынке, но по более высокой цене.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57035">
        <w:rPr>
          <w:rStyle w:val="PEStyleFont4"/>
          <w:rFonts w:cs="Times New Roman"/>
          <w:color w:val="000000"/>
        </w:rPr>
        <w:t xml:space="preserve">Список продуктов. </w:t>
      </w:r>
      <w:r w:rsidRPr="00157035">
        <w:rPr>
          <w:rFonts w:ascii="Times New Roman" w:hAnsi="Times New Roman"/>
          <w:color w:val="000000"/>
          <w:sz w:val="28"/>
          <w:szCs w:val="28"/>
        </w:rPr>
        <w:t xml:space="preserve">Выпуск продукции является основным содержанием проекта, поэтому подготовку проекта следует начать с формирования перечня продуктов. Список продуктов компании приведен в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табл.</w:t>
      </w:r>
      <w:r w:rsidR="00157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1</w:t>
      </w:r>
      <w:r w:rsidRPr="00157035">
        <w:rPr>
          <w:rFonts w:ascii="Times New Roman" w:hAnsi="Times New Roman"/>
          <w:color w:val="000000"/>
          <w:sz w:val="28"/>
          <w:szCs w:val="28"/>
        </w:rPr>
        <w:t>.</w:t>
      </w: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3FEC" w:rsidRPr="00157035" w:rsidRDefault="008C6065" w:rsidP="0015703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="00BC3FEC" w:rsidRPr="00157035">
        <w:rPr>
          <w:rFonts w:ascii="Times New Roman" w:hAnsi="Times New Roman"/>
          <w:b/>
          <w:color w:val="000000"/>
          <w:sz w:val="28"/>
        </w:rPr>
        <w:t>Результаты расчетов</w:t>
      </w:r>
    </w:p>
    <w:p w:rsidR="008C6065" w:rsidRDefault="008C6065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</w:p>
    <w:p w:rsidR="00BC3FEC" w:rsidRPr="00157035" w:rsidRDefault="00BC3FEC" w:rsidP="008C606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1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Список продуктов</w:t>
      </w:r>
      <w:r w:rsidR="00157035">
        <w:rPr>
          <w:rStyle w:val="PEStyleFont4"/>
          <w:rFonts w:cs="Times New Roman"/>
          <w:color w:val="000000"/>
        </w:rPr>
        <w:t xml:space="preserve"> / </w:t>
      </w:r>
      <w:r w:rsidR="00157035" w:rsidRPr="00157035">
        <w:rPr>
          <w:rStyle w:val="PEStyleFont4"/>
          <w:rFonts w:cs="Times New Roman"/>
          <w:color w:val="000000"/>
        </w:rPr>
        <w:t>услуг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74"/>
        <w:gridCol w:w="2194"/>
        <w:gridCol w:w="3529"/>
      </w:tblGrid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Ед. изм.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Нач. продаж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ЕС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01.01.2011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НАФТА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01.01.2011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Интернет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01.01.2011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ЕС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01.01.2011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НАФТА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01.01.2011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Интернет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01.01.2011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ЕС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01.01.2011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НАФТА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01.01.2011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2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Интернет</w:t>
            </w:r>
          </w:p>
        </w:tc>
        <w:tc>
          <w:tcPr>
            <w:tcW w:w="11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189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01.01.2011</w:t>
            </w:r>
          </w:p>
        </w:tc>
      </w:tr>
    </w:tbl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7035">
        <w:rPr>
          <w:rFonts w:ascii="Times New Roman" w:hAnsi="Times New Roman"/>
          <w:color w:val="000000"/>
          <w:sz w:val="28"/>
          <w:szCs w:val="28"/>
        </w:rPr>
        <w:t>Стартовый баланс</w:t>
      </w:r>
      <w:r w:rsidRPr="0015703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035">
        <w:rPr>
          <w:rFonts w:ascii="Times New Roman" w:hAnsi="Times New Roman"/>
          <w:color w:val="000000"/>
          <w:sz w:val="28"/>
          <w:szCs w:val="28"/>
        </w:rPr>
        <w:t xml:space="preserve">Заполнение баланса позволяет учесть денежные средства, находящиеся на счете, в кассе предприятия или выданные сотрудникам </w:t>
      </w:r>
      <w:r w:rsidR="00157035">
        <w:rPr>
          <w:rFonts w:ascii="Times New Roman" w:hAnsi="Times New Roman"/>
          <w:color w:val="000000"/>
          <w:sz w:val="28"/>
          <w:szCs w:val="28"/>
        </w:rPr>
        <w:t>«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п</w:t>
      </w:r>
      <w:r w:rsidRPr="00157035">
        <w:rPr>
          <w:rFonts w:ascii="Times New Roman" w:hAnsi="Times New Roman"/>
          <w:color w:val="000000"/>
          <w:sz w:val="28"/>
          <w:szCs w:val="28"/>
        </w:rPr>
        <w:t>од отчет</w:t>
      </w:r>
      <w:r w:rsidR="00157035">
        <w:rPr>
          <w:rFonts w:ascii="Times New Roman" w:hAnsi="Times New Roman"/>
          <w:color w:val="000000"/>
          <w:sz w:val="28"/>
          <w:szCs w:val="28"/>
        </w:rPr>
        <w:t>»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.</w:t>
      </w:r>
      <w:r w:rsidRPr="00157035">
        <w:rPr>
          <w:rFonts w:ascii="Times New Roman" w:hAnsi="Times New Roman"/>
          <w:color w:val="000000"/>
          <w:sz w:val="28"/>
          <w:szCs w:val="28"/>
        </w:rPr>
        <w:t xml:space="preserve"> Средства могут быть введены как в первой, так и во второй валютах проекта. Имеющиеся средства компании, на рассматриваемый период введены в валюте – евро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табл.</w:t>
      </w:r>
      <w:r w:rsidR="00157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2</w:t>
      </w:r>
      <w:r w:rsidRPr="00157035">
        <w:rPr>
          <w:rFonts w:ascii="Times New Roman" w:hAnsi="Times New Roman"/>
          <w:color w:val="000000"/>
          <w:sz w:val="28"/>
          <w:szCs w:val="28"/>
        </w:rPr>
        <w:t>.</w:t>
      </w:r>
    </w:p>
    <w:p w:rsidR="008C6065" w:rsidRDefault="008C6065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8C606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szCs w:val="28"/>
        </w:rPr>
        <w:t>Таблица 2</w:t>
      </w:r>
      <w:r w:rsidR="008C6065">
        <w:rPr>
          <w:szCs w:val="28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Стартовый баланс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19"/>
        <w:gridCol w:w="4178"/>
      </w:tblGrid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Строка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Сумма(EUR)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Денежные средства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Счета к получению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1 670 262,00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Сырье, материалы и комплектующие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1 174 536,00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Незавершенное производство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Запасы готовой продукции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264 680,00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Банковские вклады и ценные бумаги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Краткосрочные предоплаченные расходы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Суммарные текущие активы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3 109 478,00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Основные средства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6 536 698,00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Накопленная амортизация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Остаточная стоимость основных средств: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6 536 698,00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Земля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Здания и сооружения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450 000,00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Оборудование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6 086 698,00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Предоплаченные расходы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Другие активы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Инвестиции в основные фонды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Инвестиции в ценные бумаги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Имущество в лизинге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СУММАРНЫЙ АКТИВ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9 646 176,00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Отсроченные налоговые платежи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Краткосрочные займы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1 965 188,00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Счета к оплате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Полученные авансы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Суммарные краткосрочные обязательства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1 965 188,00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Долгосрочные займы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Обыкновенные акции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5 000 000,00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Привилегированные акции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Капитал внесенный сверх номинала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Резервные фонды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2 681 078,00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Добавочный капитал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-90,00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Нераспределенная прибыль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Суммарный собственный капитал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7 680 988,00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7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СУММАРНЫЙ ПАССИВ</w:t>
            </w:r>
          </w:p>
        </w:tc>
        <w:tc>
          <w:tcPr>
            <w:tcW w:w="22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9 646 176,00</w:t>
            </w:r>
          </w:p>
        </w:tc>
      </w:tr>
    </w:tbl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035">
        <w:rPr>
          <w:rFonts w:ascii="Times New Roman" w:hAnsi="Times New Roman"/>
          <w:color w:val="000000"/>
          <w:sz w:val="28"/>
          <w:szCs w:val="28"/>
        </w:rPr>
        <w:t>Банк, система учета, предназначен для определения основных правил учета финансовой деятельности предприятия.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Финансовый год начинается в январе.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>Принцип учета запасов: FIFO.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 xml:space="preserve">Основная валюта проекта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Евро (EUR)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 xml:space="preserve">Валюта для расчета на внешнем рынке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Доллар США ($ US)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Курс на момент ввода: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1</w:t>
      </w:r>
      <w:r w:rsidR="00157035">
        <w:rPr>
          <w:rStyle w:val="PEStyleFont3"/>
          <w:rFonts w:cs="Times New Roman"/>
          <w:color w:val="000000"/>
        </w:rPr>
        <w:t> </w:t>
      </w:r>
      <w:r w:rsidR="00157035" w:rsidRPr="00157035">
        <w:rPr>
          <w:rStyle w:val="PEStyleFont3"/>
          <w:rFonts w:cs="Times New Roman"/>
          <w:color w:val="000000"/>
        </w:rPr>
        <w:t>$</w:t>
      </w:r>
      <w:r w:rsidRPr="00157035">
        <w:rPr>
          <w:rStyle w:val="PEStyleFont3"/>
          <w:rFonts w:cs="Times New Roman"/>
          <w:color w:val="000000"/>
        </w:rPr>
        <w:t xml:space="preserve"> US = 0,9 EUR</w:t>
      </w:r>
    </w:p>
    <w:p w:rsidR="008C6065" w:rsidRDefault="008C6065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3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Налоги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82"/>
        <w:gridCol w:w="2103"/>
        <w:gridCol w:w="1811"/>
        <w:gridCol w:w="1701"/>
      </w:tblGrid>
      <w:tr w:rsidR="00BC3FEC" w:rsidRPr="004F0F19" w:rsidTr="004F0F19">
        <w:trPr>
          <w:cantSplit/>
          <w:jc w:val="center"/>
        </w:trPr>
        <w:tc>
          <w:tcPr>
            <w:tcW w:w="19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Название налога</w:t>
            </w:r>
          </w:p>
        </w:tc>
        <w:tc>
          <w:tcPr>
            <w:tcW w:w="113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База</w:t>
            </w:r>
          </w:p>
        </w:tc>
        <w:tc>
          <w:tcPr>
            <w:tcW w:w="97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Период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Ставка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98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Налог на прибыль</w:t>
            </w:r>
          </w:p>
        </w:tc>
        <w:tc>
          <w:tcPr>
            <w:tcW w:w="113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Прибыль</w:t>
            </w:r>
          </w:p>
        </w:tc>
        <w:tc>
          <w:tcPr>
            <w:tcW w:w="97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Год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0%</w:t>
            </w:r>
          </w:p>
        </w:tc>
      </w:tr>
    </w:tbl>
    <w:p w:rsidR="008C6065" w:rsidRDefault="008C6065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Переплаченный НДС переносится в будущие периоды.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>Убытки предыдущих периодов списываются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в течение 120</w:t>
      </w:r>
      <w:r w:rsidR="00157035">
        <w:rPr>
          <w:rStyle w:val="PEStyleFont3"/>
          <w:rFonts w:cs="Times New Roman"/>
          <w:color w:val="000000"/>
        </w:rPr>
        <w:t> </w:t>
      </w:r>
      <w:r w:rsidR="00157035" w:rsidRPr="00157035">
        <w:rPr>
          <w:rStyle w:val="PEStyleFont3"/>
          <w:rFonts w:cs="Times New Roman"/>
          <w:color w:val="000000"/>
        </w:rPr>
        <w:t>мес</w:t>
      </w:r>
      <w:r w:rsidRPr="00157035">
        <w:rPr>
          <w:rStyle w:val="PEStyleFont3"/>
          <w:rFonts w:cs="Times New Roman"/>
          <w:color w:val="000000"/>
        </w:rPr>
        <w:t>.</w:t>
      </w: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Style w:val="PEStyleFont5"/>
          <w:rFonts w:cs="Times New Roman"/>
          <w:color w:val="000000"/>
        </w:rPr>
      </w:pPr>
      <w:r w:rsidRPr="00157035">
        <w:rPr>
          <w:rStyle w:val="PEStyleFont5"/>
          <w:rFonts w:cs="Times New Roman"/>
          <w:color w:val="000000"/>
        </w:rPr>
        <w:t>Вводятся данные об объемах и условиях продажи продуктов, здесь же также</w:t>
      </w:r>
      <w:r w:rsidR="00157035">
        <w:rPr>
          <w:rStyle w:val="PEStyleFont5"/>
          <w:rFonts w:cs="Times New Roman"/>
          <w:color w:val="000000"/>
        </w:rPr>
        <w:t xml:space="preserve"> </w:t>
      </w:r>
      <w:r w:rsidRPr="00157035">
        <w:rPr>
          <w:rStyle w:val="PEStyleFont5"/>
          <w:rFonts w:cs="Times New Roman"/>
          <w:color w:val="000000"/>
        </w:rPr>
        <w:t xml:space="preserve">устанавливаться тенденции изменения цен и специальные условия налогообложения. Данные представлены в следующих таблицах: </w:t>
      </w:r>
      <w:r w:rsidR="00157035" w:rsidRPr="00157035">
        <w:rPr>
          <w:rStyle w:val="PEStyleFont5"/>
          <w:rFonts w:cs="Times New Roman"/>
          <w:color w:val="000000"/>
        </w:rPr>
        <w:t>табл.</w:t>
      </w:r>
      <w:r w:rsidR="00157035">
        <w:rPr>
          <w:rStyle w:val="PEStyleFont5"/>
          <w:rFonts w:cs="Times New Roman"/>
          <w:color w:val="000000"/>
        </w:rPr>
        <w:t xml:space="preserve"> </w:t>
      </w:r>
      <w:r w:rsidR="00157035" w:rsidRPr="00157035">
        <w:rPr>
          <w:rStyle w:val="PEStyleFont5"/>
          <w:rFonts w:cs="Times New Roman"/>
          <w:color w:val="000000"/>
        </w:rPr>
        <w:t>4</w:t>
      </w:r>
      <w:r w:rsidRPr="00157035">
        <w:rPr>
          <w:rStyle w:val="PEStyleFont5"/>
          <w:rFonts w:cs="Times New Roman"/>
          <w:color w:val="000000"/>
        </w:rPr>
        <w:t xml:space="preserve"> -17.</w:t>
      </w:r>
    </w:p>
    <w:p w:rsidR="008C6065" w:rsidRDefault="008C6065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</w:p>
    <w:p w:rsidR="00BC3FEC" w:rsidRPr="00157035" w:rsidRDefault="00BC3FEC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  <w:r w:rsidRPr="00157035">
        <w:rPr>
          <w:rStyle w:val="PEStyleFont5"/>
          <w:rFonts w:cs="Times New Roman"/>
          <w:color w:val="000000"/>
        </w:rPr>
        <w:t>Таблица 4</w:t>
      </w:r>
      <w:r w:rsidR="008C6065">
        <w:rPr>
          <w:rStyle w:val="PEStyleFont5"/>
          <w:rFonts w:cs="Times New Roman"/>
          <w:color w:val="000000"/>
        </w:rPr>
        <w:t xml:space="preserve">. </w:t>
      </w:r>
      <w:r w:rsidRPr="00157035">
        <w:rPr>
          <w:rStyle w:val="PEStyleFont5"/>
          <w:rFonts w:cs="Times New Roman"/>
          <w:color w:val="000000"/>
        </w:rPr>
        <w:t>Планируемый объём поставок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50"/>
        <w:gridCol w:w="1235"/>
        <w:gridCol w:w="1223"/>
        <w:gridCol w:w="1223"/>
        <w:gridCol w:w="1223"/>
        <w:gridCol w:w="1223"/>
        <w:gridCol w:w="1220"/>
      </w:tblGrid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Продукт</w:t>
            </w:r>
            <w:r w:rsidR="00157035" w:rsidRPr="004F0F19">
              <w:rPr>
                <w:rStyle w:val="PEStyleFont6"/>
                <w:rFonts w:cs="Times New Roman"/>
                <w:color w:val="000000"/>
                <w:sz w:val="20"/>
              </w:rPr>
              <w:t> / Вариант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Ед. изм.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1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3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4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1</w:t>
            </w:r>
            <w:r w:rsidR="00157035" w:rsidRPr="004F0F19">
              <w:rPr>
                <w:rStyle w:val="PEStyleFont6"/>
                <w:rFonts w:cs="Times New Roman"/>
                <w:color w:val="000000"/>
                <w:sz w:val="20"/>
              </w:rPr>
              <w:t>–3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.2012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ЕС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1 935,00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1 955,00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2 055,00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2 014,00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1 989,00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НАФТА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828,00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820,00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874,00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845,00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841,00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Интернет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2 225,00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2 121,00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2 329,00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2 302,00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2 244,00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ЕС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1 174,00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1 130,00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1 200,00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1 137,00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1 160,00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НАФТА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480,00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470,00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488,00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483,00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481,00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Интернет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1 331,00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1 253,00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1 377,00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1 392,00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1 338,00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ЕС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364,00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310,00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319,00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272,00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316,00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НАФТА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178,00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182,00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175,00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177,00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04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Интернет</w:t>
            </w:r>
          </w:p>
        </w:tc>
        <w:tc>
          <w:tcPr>
            <w:tcW w:w="66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451,00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408,00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448,00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426,00</w:t>
            </w:r>
          </w:p>
        </w:tc>
        <w:tc>
          <w:tcPr>
            <w:tcW w:w="6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433,00</w:t>
            </w:r>
          </w:p>
        </w:tc>
      </w:tr>
    </w:tbl>
    <w:p w:rsidR="008C6065" w:rsidRDefault="008C6065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</w:p>
    <w:p w:rsidR="00BC3FEC" w:rsidRPr="00157035" w:rsidRDefault="00BC3FEC" w:rsidP="008C606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5"/>
          <w:rFonts w:cs="Times New Roman"/>
          <w:color w:val="000000"/>
        </w:rPr>
        <w:t>Таблица 5</w:t>
      </w:r>
      <w:r w:rsidR="008C6065">
        <w:rPr>
          <w:rStyle w:val="PEStyleFont5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Сбыт (Ценообразование)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59"/>
        <w:gridCol w:w="3538"/>
      </w:tblGrid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Продукт</w:t>
            </w:r>
            <w:r w:rsidR="00157035" w:rsidRPr="004F0F19">
              <w:rPr>
                <w:rStyle w:val="PEStyleFont6"/>
                <w:rFonts w:cs="Times New Roman"/>
                <w:color w:val="000000"/>
                <w:sz w:val="20"/>
              </w:rPr>
              <w:t> / Вариант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Цена(EUR)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ЕС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НАФТА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Интернет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ЕС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НАФТА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Интернет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ЕС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НАФТА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309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Интернет</w:t>
            </w:r>
          </w:p>
        </w:tc>
        <w:tc>
          <w:tcPr>
            <w:tcW w:w="190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</w:tbl>
    <w:p w:rsidR="008C6065" w:rsidRDefault="008C6065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</w:p>
    <w:p w:rsidR="00BC3FEC" w:rsidRPr="00157035" w:rsidRDefault="00BC3FEC" w:rsidP="008C606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5"/>
          <w:rFonts w:cs="Times New Roman"/>
          <w:color w:val="000000"/>
        </w:rPr>
        <w:t>Таблица 6</w:t>
      </w:r>
      <w:r w:rsidR="008C6065">
        <w:rPr>
          <w:rStyle w:val="PEStyleFont5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Сбыт (Условия оплаты)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33"/>
        <w:gridCol w:w="5364"/>
      </w:tblGrid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Продукт</w:t>
            </w:r>
            <w:r w:rsidR="00157035" w:rsidRPr="004F0F19">
              <w:rPr>
                <w:rStyle w:val="PEStyleFont6"/>
                <w:rFonts w:cs="Times New Roman"/>
                <w:color w:val="000000"/>
                <w:sz w:val="20"/>
              </w:rPr>
              <w:t> / Вариант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Описание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ЕС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Задержки платежей: 60 дней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по факту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НАФТА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Задержки платежей: 90 дней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по факту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Интернет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по факту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ЕС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Задержки платежей: 60 дней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по факту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НАФТА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Задержки платежей: 90 дней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по факту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Интернет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по факту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ЕС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Задержки платежей: 60 дней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по факту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НАФТА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Задержки платежей: 90 дней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по факту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Продукт3 Интернет</w:t>
            </w: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21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2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по факту</w:t>
            </w:r>
          </w:p>
        </w:tc>
      </w:tr>
    </w:tbl>
    <w:p w:rsidR="00BC3FEC" w:rsidRPr="00157035" w:rsidRDefault="00BC3FEC" w:rsidP="00157035">
      <w:pPr>
        <w:tabs>
          <w:tab w:val="left" w:pos="3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7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Суммарные прямые издержки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63"/>
        <w:gridCol w:w="1968"/>
        <w:gridCol w:w="1623"/>
        <w:gridCol w:w="1943"/>
      </w:tblGrid>
      <w:tr w:rsidR="00BC3FEC" w:rsidRPr="004F0F19" w:rsidTr="004F0F19">
        <w:trPr>
          <w:cantSplit/>
          <w:trHeight w:val="247"/>
          <w:jc w:val="center"/>
        </w:trPr>
        <w:tc>
          <w:tcPr>
            <w:tcW w:w="20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0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Единицы измерения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  <w:tc>
          <w:tcPr>
            <w:tcW w:w="104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($ US)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0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ЕС</w:t>
            </w:r>
          </w:p>
        </w:tc>
        <w:tc>
          <w:tcPr>
            <w:tcW w:w="10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104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0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НАФТА</w:t>
            </w:r>
          </w:p>
        </w:tc>
        <w:tc>
          <w:tcPr>
            <w:tcW w:w="10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104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0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Продукт1 Интернет</w:t>
            </w:r>
          </w:p>
        </w:tc>
        <w:tc>
          <w:tcPr>
            <w:tcW w:w="10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104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0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ЕС</w:t>
            </w:r>
          </w:p>
        </w:tc>
        <w:tc>
          <w:tcPr>
            <w:tcW w:w="10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104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0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Продукт2 НАФТА</w:t>
            </w:r>
          </w:p>
        </w:tc>
        <w:tc>
          <w:tcPr>
            <w:tcW w:w="1058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104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</w:tr>
    </w:tbl>
    <w:p w:rsidR="008C6065" w:rsidRDefault="008C6065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8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Прямые издержки Продукт1 ЕС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20"/>
        <w:gridCol w:w="1702"/>
        <w:gridCol w:w="1752"/>
        <w:gridCol w:w="1623"/>
      </w:tblGrid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Расход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Потери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Материал 1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1,000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0,000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Сдельная зарплата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63,18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Изготовление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33,00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Сборка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30,18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Другие издержки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Продукты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Всего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</w:tbl>
    <w:p w:rsidR="00BC3FEC" w:rsidRPr="00157035" w:rsidRDefault="008C6065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>
        <w:rPr>
          <w:rStyle w:val="PEStyleFont4"/>
          <w:rFonts w:cs="Times New Roman"/>
          <w:color w:val="000000"/>
        </w:rPr>
        <w:br w:type="page"/>
      </w:r>
      <w:r w:rsidR="00BC3FEC" w:rsidRPr="00157035">
        <w:rPr>
          <w:rStyle w:val="PEStyleFont4"/>
          <w:rFonts w:cs="Times New Roman"/>
          <w:color w:val="000000"/>
        </w:rPr>
        <w:t>Таблица 9</w:t>
      </w:r>
      <w:r>
        <w:rPr>
          <w:rStyle w:val="PEStyleFont4"/>
          <w:rFonts w:cs="Times New Roman"/>
          <w:color w:val="000000"/>
        </w:rPr>
        <w:t xml:space="preserve">. </w:t>
      </w:r>
      <w:r w:rsidR="00BC3FEC" w:rsidRPr="00157035">
        <w:rPr>
          <w:rStyle w:val="PEStyleFont4"/>
          <w:rFonts w:cs="Times New Roman"/>
          <w:color w:val="000000"/>
        </w:rPr>
        <w:t>Прямые издержки Продукт1 НАФТА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46"/>
        <w:gridCol w:w="1702"/>
        <w:gridCol w:w="1752"/>
        <w:gridCol w:w="1623"/>
        <w:gridCol w:w="1374"/>
      </w:tblGrid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Расход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Потери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($ US)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Материал 1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1,000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0,000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Сдельная зарплата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63,18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Изготовление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33,00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Сборка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30,18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Другие издержки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Продукты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Всего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</w:tbl>
    <w:p w:rsidR="00BC3FEC" w:rsidRPr="00157035" w:rsidRDefault="00BC3FEC" w:rsidP="00157035">
      <w:pPr>
        <w:tabs>
          <w:tab w:val="left" w:pos="3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 xml:space="preserve">Таблица </w:t>
      </w:r>
      <w:r w:rsidRPr="008C6065">
        <w:rPr>
          <w:rStyle w:val="PEStyleFont4"/>
          <w:rFonts w:cs="Times New Roman"/>
          <w:color w:val="000000"/>
        </w:rPr>
        <w:t>1</w:t>
      </w:r>
      <w:r w:rsidRPr="00157035">
        <w:rPr>
          <w:rStyle w:val="PEStyleFont4"/>
          <w:rFonts w:cs="Times New Roman"/>
          <w:color w:val="000000"/>
        </w:rPr>
        <w:t>0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Прямые издержки Продукт1 Интернет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46"/>
        <w:gridCol w:w="1702"/>
        <w:gridCol w:w="1752"/>
        <w:gridCol w:w="1623"/>
        <w:gridCol w:w="1374"/>
      </w:tblGrid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Расход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Потери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($ US)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Материал 1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1,000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0,000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Сдельная зарплата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63,18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Изготовление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33,00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Сборка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30,18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Другие издержки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Продукты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Всего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</w:tbl>
    <w:p w:rsidR="00BC3FEC" w:rsidRPr="00157035" w:rsidRDefault="00BC3FEC" w:rsidP="00157035">
      <w:pPr>
        <w:tabs>
          <w:tab w:val="left" w:pos="3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11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Прямые издержки Продукт2 ЕС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46"/>
        <w:gridCol w:w="1702"/>
        <w:gridCol w:w="1752"/>
        <w:gridCol w:w="1623"/>
        <w:gridCol w:w="1374"/>
      </w:tblGrid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Расход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Потери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($ US)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Материал 1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2,000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0,000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Сдельная зарплата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86,42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Изготовление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41,15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Сборка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45,27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Другие издержки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Продукты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Всего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</w:tbl>
    <w:p w:rsidR="00BC3FEC" w:rsidRPr="00157035" w:rsidRDefault="00BC3FEC" w:rsidP="00157035">
      <w:pPr>
        <w:tabs>
          <w:tab w:val="left" w:pos="3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12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Прямые издержки Продукт2 НАФТА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46"/>
        <w:gridCol w:w="1702"/>
        <w:gridCol w:w="1752"/>
        <w:gridCol w:w="1623"/>
        <w:gridCol w:w="1374"/>
      </w:tblGrid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Расход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Потери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($ US)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3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Материал 1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2,000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0,000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Сдельная зарплата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86,42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Изготовление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41,15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Сборка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45,27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5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Другие издержки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Продукты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5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Всего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  <w:tc>
          <w:tcPr>
            <w:tcW w:w="7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</w:tbl>
    <w:p w:rsidR="00BC3FEC" w:rsidRPr="00157035" w:rsidRDefault="00BC3FEC" w:rsidP="00157035">
      <w:pPr>
        <w:tabs>
          <w:tab w:val="left" w:pos="3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8C606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13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Прямые издержки Продукт2 Интернет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20"/>
        <w:gridCol w:w="1702"/>
        <w:gridCol w:w="1752"/>
        <w:gridCol w:w="1623"/>
      </w:tblGrid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Расход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Потери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Материал 1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2,000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0,000</w:t>
            </w: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Сдельная зарплата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86,42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Изготовление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41,15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Сборка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45,27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Другие издержки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Продукты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6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Всего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7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</w:tbl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</w:p>
    <w:p w:rsidR="00BC3FEC" w:rsidRPr="00157035" w:rsidRDefault="00BC3FEC" w:rsidP="008C606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14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Прямые издержки Продукт3 ЕС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8"/>
        <w:gridCol w:w="1701"/>
        <w:gridCol w:w="1752"/>
        <w:gridCol w:w="1646"/>
      </w:tblGrid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Расход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Потери</w:t>
            </w: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Материал 1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3,000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0,000</w:t>
            </w: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Сдельная зарплата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156,37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Изготовление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65,83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Сборка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90,54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Другие издержки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Продукты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Всего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</w:tbl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</w:p>
    <w:p w:rsidR="00BC3FEC" w:rsidRPr="00157035" w:rsidRDefault="00BC3FEC" w:rsidP="008C606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15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Прямые издержки Продукт3 НАФТА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8"/>
        <w:gridCol w:w="1701"/>
        <w:gridCol w:w="1752"/>
        <w:gridCol w:w="1646"/>
      </w:tblGrid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Расход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Потери</w:t>
            </w: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Материал 1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3,000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0,000</w:t>
            </w: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Сдельная зарплата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156,37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Изготовление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65,83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Сборка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90,54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Другие издержки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Продукты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Всего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</w:tbl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16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Прямые издержки Продукт3 Интернет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8"/>
        <w:gridCol w:w="1701"/>
        <w:gridCol w:w="1752"/>
        <w:gridCol w:w="1646"/>
      </w:tblGrid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Расход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Потери</w:t>
            </w: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Материалы и комплектующие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Материал 1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3,000</w:t>
            </w: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0,000</w:t>
            </w: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Сдельная зарплата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156,37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Изготовление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65,83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Сборка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90,54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Другие издержки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Продукты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2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Всего</w:t>
            </w:r>
          </w:p>
        </w:tc>
        <w:tc>
          <w:tcPr>
            <w:tcW w:w="91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4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По схеме</w:t>
            </w:r>
          </w:p>
        </w:tc>
      </w:tr>
    </w:tbl>
    <w:p w:rsidR="00BC3FEC" w:rsidRPr="00157035" w:rsidRDefault="00BC3FEC" w:rsidP="00157035">
      <w:pPr>
        <w:tabs>
          <w:tab w:val="left" w:pos="3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План персонала описывает общие (постоянные) издержки на заработную плату работников предприятия. Данные о персонале подразделяются на три группы: управление, производство, маркетинг. Каждая группа помещается в соответствующей карточке диалога. Такое деление позволяет детализировать структуру издержек для целей анализа хозяйственной деятельности табл. 17.</w:t>
      </w: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Style w:val="PEStyleFont4"/>
          <w:rFonts w:cs="Times New Roman"/>
          <w:color w:val="000000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>Таблица 17</w:t>
      </w:r>
      <w:r w:rsidR="008C6065">
        <w:rPr>
          <w:rStyle w:val="PEStyleFont4"/>
          <w:rFonts w:cs="Times New Roman"/>
          <w:color w:val="000000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План по персоналу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17"/>
        <w:gridCol w:w="1395"/>
        <w:gridCol w:w="2053"/>
        <w:gridCol w:w="1871"/>
        <w:gridCol w:w="1861"/>
      </w:tblGrid>
      <w:tr w:rsidR="00BC3FEC" w:rsidRPr="004F0F19" w:rsidTr="004F0F19">
        <w:trPr>
          <w:cantSplit/>
          <w:jc w:val="center"/>
        </w:trPr>
        <w:tc>
          <w:tcPr>
            <w:tcW w:w="11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Должность</w:t>
            </w:r>
          </w:p>
        </w:tc>
        <w:tc>
          <w:tcPr>
            <w:tcW w:w="75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Кол-во</w:t>
            </w:r>
          </w:p>
        </w:tc>
        <w:tc>
          <w:tcPr>
            <w:tcW w:w="11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Зарплата</w:t>
            </w:r>
          </w:p>
        </w:tc>
        <w:tc>
          <w:tcPr>
            <w:tcW w:w="10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Зарплата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Платежи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</w:p>
        </w:tc>
        <w:tc>
          <w:tcPr>
            <w:tcW w:w="75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</w:p>
        </w:tc>
        <w:tc>
          <w:tcPr>
            <w:tcW w:w="11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  <w:tc>
          <w:tcPr>
            <w:tcW w:w="10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($ US)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1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Маркетинг</w:t>
            </w:r>
          </w:p>
        </w:tc>
        <w:tc>
          <w:tcPr>
            <w:tcW w:w="75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11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10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1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ЕС агент</w:t>
            </w:r>
          </w:p>
        </w:tc>
        <w:tc>
          <w:tcPr>
            <w:tcW w:w="75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11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597 397,50</w:t>
            </w:r>
          </w:p>
        </w:tc>
        <w:tc>
          <w:tcPr>
            <w:tcW w:w="10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НАФТА дистрибьюторы</w:t>
            </w:r>
          </w:p>
        </w:tc>
        <w:tc>
          <w:tcPr>
            <w:tcW w:w="75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11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377 762,33</w:t>
            </w:r>
          </w:p>
        </w:tc>
        <w:tc>
          <w:tcPr>
            <w:tcW w:w="10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3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Интернет-агент</w:t>
            </w:r>
          </w:p>
        </w:tc>
        <w:tc>
          <w:tcPr>
            <w:tcW w:w="75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11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840 918,40</w:t>
            </w:r>
          </w:p>
        </w:tc>
        <w:tc>
          <w:tcPr>
            <w:tcW w:w="10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</w:tbl>
    <w:p w:rsidR="008C6065" w:rsidRDefault="008C6065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Всего</w:t>
      </w:r>
      <w:r w:rsidR="00157035">
        <w:rPr>
          <w:rStyle w:val="PEStyleFont3"/>
          <w:rFonts w:cs="Times New Roman"/>
          <w:color w:val="000000"/>
        </w:rPr>
        <w:t>:</w:t>
      </w:r>
      <w:r w:rsidRPr="00157035">
        <w:rPr>
          <w:rStyle w:val="PEStyleFont3"/>
          <w:rFonts w:cs="Times New Roman"/>
          <w:color w:val="000000"/>
        </w:rPr>
        <w:t xml:space="preserve"> 7</w:t>
      </w:r>
      <w:r w:rsidR="00157035">
        <w:rPr>
          <w:rStyle w:val="PEStyleFont3"/>
          <w:rFonts w:cs="Times New Roman"/>
          <w:color w:val="000000"/>
        </w:rPr>
        <w:t> </w:t>
      </w:r>
      <w:r w:rsidR="00157035" w:rsidRPr="00157035">
        <w:rPr>
          <w:rStyle w:val="PEStyleFont3"/>
          <w:rFonts w:cs="Times New Roman"/>
          <w:color w:val="000000"/>
        </w:rPr>
        <w:t>чел</w:t>
      </w:r>
      <w:r w:rsidRPr="00157035">
        <w:rPr>
          <w:rStyle w:val="PEStyleFont3"/>
          <w:rFonts w:cs="Times New Roman"/>
          <w:color w:val="000000"/>
        </w:rPr>
        <w:t>.</w:t>
      </w: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>1 816 078,23 EUR</w:t>
      </w:r>
    </w:p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035">
        <w:rPr>
          <w:rFonts w:ascii="Times New Roman" w:hAnsi="Times New Roman"/>
          <w:color w:val="000000"/>
          <w:sz w:val="28"/>
          <w:szCs w:val="28"/>
        </w:rPr>
        <w:t xml:space="preserve">Для детализации структуры издержек они подразделяются на три группы: Управление, Производство, Маркетинг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табл.</w:t>
      </w:r>
      <w:r w:rsidR="00157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1</w:t>
      </w:r>
      <w:r w:rsidRPr="00157035">
        <w:rPr>
          <w:rFonts w:ascii="Times New Roman" w:hAnsi="Times New Roman"/>
          <w:color w:val="000000"/>
          <w:sz w:val="28"/>
          <w:szCs w:val="28"/>
        </w:rPr>
        <w:t>8.</w:t>
      </w:r>
    </w:p>
    <w:p w:rsidR="00BC3FEC" w:rsidRPr="00157035" w:rsidRDefault="008C6065" w:rsidP="008C6065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>
        <w:rPr>
          <w:szCs w:val="28"/>
        </w:rPr>
        <w:br w:type="page"/>
      </w:r>
      <w:r w:rsidR="00BC3FEC" w:rsidRPr="00157035">
        <w:rPr>
          <w:szCs w:val="28"/>
        </w:rPr>
        <w:t>Таблица 18</w:t>
      </w:r>
      <w:r>
        <w:rPr>
          <w:szCs w:val="28"/>
        </w:rPr>
        <w:t xml:space="preserve">. </w:t>
      </w:r>
      <w:r w:rsidR="00BC3FEC" w:rsidRPr="00157035">
        <w:rPr>
          <w:rStyle w:val="PEStyleFont4"/>
          <w:rFonts w:cs="Times New Roman"/>
          <w:color w:val="000000"/>
        </w:rPr>
        <w:t>Общие издержки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74"/>
        <w:gridCol w:w="2326"/>
        <w:gridCol w:w="1681"/>
        <w:gridCol w:w="2216"/>
      </w:tblGrid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Название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Сумма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Сумма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Платежи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(EUR)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($ US)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Управление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Офис продаж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175 945,00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Отдел персонала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38 000,00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Кредитный контроль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44 928,00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Страхование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202 863,00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Управленческий бюджет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900 000,00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Производство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Интернет-провайдер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323 449,00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Гарантийный сервис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201 860,00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Аренда транспорта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436 090,00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Исследование и разработки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331 000,00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Техническое обслуживание оборудования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215 660,00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Складирование и закупка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76 515,00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Другие затраты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173 817,00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Маркетинг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1 923 000,00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Развитие веб-сайта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317 000,00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Маркетинговые исследования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17 500,00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 товар 1 ЕС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181 000,00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 товар 2 ЕС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173 000,00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 товар 3 ЕС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164 000,00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 товар 1 НАФТА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164 000,00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 товар 2 НАФТА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154 000,00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 товар 3 НАФТА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150 000,00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 товар 1 Интернет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199 000,00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 товар 2 Интернет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184 000,00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Реклама товар 3 Интернет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181 000,00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Имиджевая реклама ЕС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151 000,00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Имиджевая реклама НАФТА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79 000,00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65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Имиджевая реклама Интернет</w:t>
            </w:r>
          </w:p>
        </w:tc>
        <w:tc>
          <w:tcPr>
            <w:tcW w:w="125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218 000,00</w:t>
            </w:r>
          </w:p>
        </w:tc>
        <w:tc>
          <w:tcPr>
            <w:tcW w:w="9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0,00</w:t>
            </w:r>
          </w:p>
        </w:tc>
        <w:tc>
          <w:tcPr>
            <w:tcW w:w="119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 сложной схеме</w:t>
            </w:r>
          </w:p>
        </w:tc>
      </w:tr>
    </w:tbl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8"/>
          <w:rFonts w:cs="Times New Roman"/>
          <w:color w:val="000000"/>
        </w:rPr>
      </w:pPr>
      <w:r w:rsidRPr="00157035">
        <w:rPr>
          <w:rStyle w:val="PEStyleFont4"/>
          <w:rFonts w:cs="Times New Roman"/>
          <w:color w:val="000000"/>
        </w:rPr>
        <w:t xml:space="preserve">Рассмотрим подробнее схемы расчета накладных расходов компании по каждому элементу. </w:t>
      </w:r>
      <w:r w:rsidRPr="00157035">
        <w:rPr>
          <w:rStyle w:val="PEStyleFont8"/>
          <w:rFonts w:cs="Times New Roman"/>
          <w:color w:val="000000"/>
        </w:rPr>
        <w:t>Управленческий бюджет: вноситься ежеквартально.</w:t>
      </w: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035">
        <w:rPr>
          <w:rStyle w:val="PEStyleFont8"/>
          <w:rFonts w:cs="Times New Roman"/>
          <w:color w:val="000000"/>
        </w:rPr>
        <w:t xml:space="preserve">Отдел персонала: </w:t>
      </w:r>
      <w:r w:rsidRPr="00157035">
        <w:rPr>
          <w:rFonts w:ascii="Times New Roman" w:hAnsi="Times New Roman"/>
          <w:color w:val="000000"/>
          <w:sz w:val="28"/>
          <w:szCs w:val="28"/>
        </w:rPr>
        <w:t>общая сумма затрат в последнем квартале на обучение, набор и увольнение персонала. Количество работников каждой категории, умноженное на соответствующие затраты.</w:t>
      </w:r>
    </w:p>
    <w:p w:rsidR="008C6065" w:rsidRDefault="008C6065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8"/>
          <w:rFonts w:cs="Times New Roman"/>
          <w:color w:val="000000"/>
        </w:rPr>
      </w:pPr>
    </w:p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8"/>
          <w:rFonts w:cs="Times New Roman"/>
          <w:color w:val="000000"/>
        </w:rPr>
      </w:pPr>
      <w:r w:rsidRPr="00157035">
        <w:rPr>
          <w:rStyle w:val="PEStyleFont8"/>
          <w:rFonts w:cs="Times New Roman"/>
          <w:color w:val="000000"/>
        </w:rPr>
        <w:t>Офис продаж: (заказы*цену)*</w:t>
      </w:r>
      <w:r w:rsidR="00157035" w:rsidRPr="00157035">
        <w:rPr>
          <w:rStyle w:val="PEStyleFont8"/>
          <w:rFonts w:cs="Times New Roman"/>
          <w:color w:val="000000"/>
        </w:rPr>
        <w:t>1</w:t>
      </w:r>
      <w:r w:rsidR="00157035">
        <w:rPr>
          <w:rStyle w:val="PEStyleFont8"/>
          <w:rFonts w:cs="Times New Roman"/>
          <w:color w:val="000000"/>
        </w:rPr>
        <w:t>%</w:t>
      </w:r>
    </w:p>
    <w:p w:rsidR="008C6065" w:rsidRDefault="008C6065" w:rsidP="00157035">
      <w:pPr>
        <w:pStyle w:val="ab"/>
        <w:spacing w:line="360" w:lineRule="auto"/>
        <w:ind w:firstLine="709"/>
        <w:rPr>
          <w:rStyle w:val="PEStyleFont8"/>
          <w:rFonts w:cs="Times New Roman"/>
          <w:color w:val="000000"/>
          <w:lang w:val="ru-RU"/>
        </w:rPr>
      </w:pPr>
    </w:p>
    <w:p w:rsidR="00BC3FEC" w:rsidRPr="00157035" w:rsidRDefault="00BC3FEC" w:rsidP="00157035">
      <w:pPr>
        <w:pStyle w:val="ab"/>
        <w:spacing w:line="36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157035">
        <w:rPr>
          <w:rStyle w:val="PEStyleFont8"/>
          <w:rFonts w:cs="Times New Roman"/>
          <w:color w:val="000000"/>
          <w:lang w:val="ru-RU"/>
        </w:rPr>
        <w:t>Гарантийный сервис</w:t>
      </w:r>
      <w:r w:rsidRPr="00157035">
        <w:rPr>
          <w:rStyle w:val="PEStyleFont8"/>
          <w:rFonts w:cs="Times New Roman"/>
          <w:i/>
          <w:color w:val="000000"/>
          <w:lang w:val="ru-RU"/>
        </w:rPr>
        <w:t xml:space="preserve">: </w:t>
      </w:r>
      <w:r w:rsidRPr="00157035">
        <w:rPr>
          <w:rFonts w:ascii="Times New Roman" w:hAnsi="Times New Roman"/>
          <w:color w:val="000000"/>
          <w:sz w:val="28"/>
          <w:szCs w:val="28"/>
          <w:lang w:val="ru-RU"/>
        </w:rPr>
        <w:t>общая сумма затрат на гарантийное обслуживание товаров, возвращенных по годичной гарантии Компании в прошлом квартале вследствие поломок. Количество отремонтированных товаров в последнем квартале, умноженное на их ожидаемую стоимость. Товары, отремонтированные в результате отзывов, оплачиваются в размере 7</w:t>
      </w:r>
      <w:r w:rsidR="00157035" w:rsidRPr="00157035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157035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Pr="0015703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стандартной стоимости ремонта</w:t>
      </w:r>
      <w:r w:rsidRPr="00157035">
        <w:rPr>
          <w:rFonts w:ascii="Times New Roman" w:hAnsi="Times New Roman"/>
          <w:color w:val="000000"/>
          <w:sz w:val="28"/>
          <w:lang w:val="ru-RU"/>
        </w:rPr>
        <w:t>.</w:t>
      </w:r>
    </w:p>
    <w:p w:rsidR="00BC3FEC" w:rsidRPr="00157035" w:rsidRDefault="00BC3FEC" w:rsidP="00157035">
      <w:pPr>
        <w:pStyle w:val="ab"/>
        <w:spacing w:line="360" w:lineRule="auto"/>
        <w:ind w:firstLine="709"/>
        <w:rPr>
          <w:rStyle w:val="PEStyleFont8"/>
          <w:rFonts w:cs="Times New Roman"/>
          <w:color w:val="000000"/>
          <w:lang w:val="ru-RU"/>
        </w:rPr>
      </w:pPr>
      <w:r w:rsidRPr="00157035">
        <w:rPr>
          <w:rStyle w:val="PEStyleFont8"/>
          <w:rFonts w:cs="Times New Roman"/>
          <w:color w:val="000000"/>
          <w:lang w:val="ru-RU"/>
        </w:rPr>
        <w:t>Аренда транспорта: затраты на использование транспортных средств для доставки товаров</w:t>
      </w:r>
      <w:r w:rsidR="00157035">
        <w:rPr>
          <w:rStyle w:val="PEStyleFont8"/>
          <w:rFonts w:cs="Times New Roman"/>
          <w:color w:val="000000"/>
          <w:lang w:val="ru-RU"/>
        </w:rPr>
        <w:t xml:space="preserve"> </w:t>
      </w:r>
      <w:r w:rsidRPr="00157035">
        <w:rPr>
          <w:rStyle w:val="PEStyleFont8"/>
          <w:rFonts w:cs="Times New Roman"/>
          <w:color w:val="000000"/>
          <w:lang w:val="ru-RU"/>
        </w:rPr>
        <w:t>Компании к Интернет-дистрибьютору и европейскому агенту в прошлом квартале плюс затраты на перевозку контейнеров с грузом с продукцией в NAFTA:</w:t>
      </w:r>
    </w:p>
    <w:p w:rsidR="00BC3FEC" w:rsidRPr="00157035" w:rsidRDefault="00BC3FEC" w:rsidP="00157035">
      <w:pPr>
        <w:pStyle w:val="ab"/>
        <w:numPr>
          <w:ilvl w:val="0"/>
          <w:numId w:val="2"/>
        </w:numPr>
        <w:spacing w:line="360" w:lineRule="auto"/>
        <w:ind w:left="0" w:firstLine="709"/>
        <w:rPr>
          <w:rStyle w:val="PEStyleFont8"/>
          <w:rFonts w:cs="Times New Roman"/>
          <w:color w:val="000000"/>
          <w:lang w:val="ru-RU"/>
        </w:rPr>
      </w:pPr>
      <w:r w:rsidRPr="00157035">
        <w:rPr>
          <w:rStyle w:val="PEStyleFont8"/>
          <w:rFonts w:cs="Times New Roman"/>
          <w:color w:val="000000"/>
          <w:lang w:val="ru-RU"/>
        </w:rPr>
        <w:t>затраты на аренду транспортного средства внутри Европейского рынка представляют собой необходимое количество контейнеро-дней, умноженные на ежедневную ставку аренды контейнера;</w:t>
      </w:r>
    </w:p>
    <w:p w:rsidR="00BC3FEC" w:rsidRPr="00157035" w:rsidRDefault="00BC3FEC" w:rsidP="00157035">
      <w:pPr>
        <w:pStyle w:val="ab"/>
        <w:numPr>
          <w:ilvl w:val="0"/>
          <w:numId w:val="2"/>
        </w:numPr>
        <w:spacing w:line="360" w:lineRule="auto"/>
        <w:ind w:left="0" w:firstLine="709"/>
        <w:rPr>
          <w:rStyle w:val="PEStyleFont8"/>
          <w:rFonts w:cs="Times New Roman"/>
          <w:color w:val="000000"/>
          <w:lang w:val="ru-RU"/>
        </w:rPr>
      </w:pPr>
      <w:r w:rsidRPr="00157035">
        <w:rPr>
          <w:rStyle w:val="PEStyleFont8"/>
          <w:rFonts w:cs="Times New Roman"/>
          <w:color w:val="000000"/>
          <w:lang w:val="ru-RU"/>
        </w:rPr>
        <w:t>затраты на перевозку в Нафта и к Интернет-дистрибьютору представляют собой количество контейнеро-дней, необходимых для транспортировки продукции в Нафта</w:t>
      </w:r>
      <w:r w:rsidR="00157035">
        <w:rPr>
          <w:rStyle w:val="PEStyleFont8"/>
          <w:rFonts w:cs="Times New Roman"/>
          <w:color w:val="000000"/>
          <w:lang w:val="ru-RU"/>
        </w:rPr>
        <w:t xml:space="preserve"> –</w:t>
      </w:r>
      <w:r w:rsidR="00157035" w:rsidRPr="00157035">
        <w:rPr>
          <w:rStyle w:val="PEStyleFont8"/>
          <w:rFonts w:cs="Times New Roman"/>
          <w:color w:val="000000"/>
          <w:lang w:val="ru-RU"/>
        </w:rPr>
        <w:t xml:space="preserve"> по</w:t>
      </w:r>
      <w:r w:rsidRPr="00157035">
        <w:rPr>
          <w:rStyle w:val="PEStyleFont8"/>
          <w:rFonts w:cs="Times New Roman"/>
          <w:color w:val="000000"/>
          <w:lang w:val="ru-RU"/>
        </w:rPr>
        <w:t>рт и</w:t>
      </w:r>
      <w:r w:rsidR="00157035">
        <w:rPr>
          <w:rStyle w:val="PEStyleFont8"/>
          <w:rFonts w:cs="Times New Roman"/>
          <w:color w:val="000000"/>
          <w:lang w:val="ru-RU"/>
        </w:rPr>
        <w:t> / </w:t>
      </w:r>
      <w:r w:rsidR="00157035" w:rsidRPr="00157035">
        <w:rPr>
          <w:rStyle w:val="PEStyleFont8"/>
          <w:rFonts w:cs="Times New Roman"/>
          <w:color w:val="000000"/>
          <w:lang w:val="ru-RU"/>
        </w:rPr>
        <w:t>или</w:t>
      </w:r>
      <w:r w:rsidRPr="00157035">
        <w:rPr>
          <w:rStyle w:val="PEStyleFont8"/>
          <w:rFonts w:cs="Times New Roman"/>
          <w:color w:val="000000"/>
          <w:lang w:val="ru-RU"/>
        </w:rPr>
        <w:t xml:space="preserve"> к Интернет-дистрибьютору, умноженное на ежедневные затраты на 1 контейнер.</w:t>
      </w:r>
    </w:p>
    <w:p w:rsidR="00BC3FEC" w:rsidRPr="00157035" w:rsidRDefault="00BC3FEC" w:rsidP="00157035">
      <w:pPr>
        <w:pStyle w:val="ab"/>
        <w:spacing w:line="360" w:lineRule="auto"/>
        <w:ind w:firstLine="709"/>
        <w:rPr>
          <w:rStyle w:val="PEStyleFont8"/>
          <w:rFonts w:cs="Times New Roman"/>
          <w:color w:val="000000"/>
          <w:lang w:val="ru-RU"/>
        </w:rPr>
      </w:pPr>
      <w:r w:rsidRPr="00157035">
        <w:rPr>
          <w:rStyle w:val="PEStyleFont8"/>
          <w:rFonts w:cs="Times New Roman"/>
          <w:color w:val="000000"/>
          <w:lang w:val="ru-RU"/>
        </w:rPr>
        <w:t>Количество контейнеро-дней может быть рассчитано путем деления расстояния на максимально дозволенное (округленное), умноженное на количество погрузок. Во всех случаях груз может состоять из смешанной продукции.</w:t>
      </w:r>
    </w:p>
    <w:p w:rsidR="00BC3FEC" w:rsidRPr="00157035" w:rsidRDefault="00BC3FEC" w:rsidP="00157035">
      <w:pPr>
        <w:pStyle w:val="ab"/>
        <w:spacing w:line="360" w:lineRule="auto"/>
        <w:ind w:firstLine="709"/>
        <w:rPr>
          <w:rStyle w:val="PEStyleFont8"/>
          <w:rFonts w:cs="Times New Roman"/>
          <w:color w:val="000000"/>
          <w:lang w:val="ru-RU"/>
        </w:rPr>
      </w:pPr>
      <w:r w:rsidRPr="00157035">
        <w:rPr>
          <w:rStyle w:val="PEStyleFont8"/>
          <w:rFonts w:cs="Times New Roman"/>
          <w:color w:val="000000"/>
          <w:lang w:val="ru-RU"/>
        </w:rPr>
        <w:t>Исследование и разработки: общая сумма, потраченная в предыдущем квартале на исследования.</w:t>
      </w:r>
    </w:p>
    <w:p w:rsidR="008C6065" w:rsidRDefault="00BC3FEC" w:rsidP="00157035">
      <w:pPr>
        <w:pStyle w:val="ab"/>
        <w:spacing w:line="360" w:lineRule="auto"/>
        <w:ind w:firstLine="709"/>
        <w:rPr>
          <w:rStyle w:val="PEStyleFont8"/>
          <w:rFonts w:cs="Times New Roman"/>
          <w:color w:val="000000"/>
          <w:lang w:val="ru-RU"/>
        </w:rPr>
      </w:pPr>
      <w:r w:rsidRPr="00157035">
        <w:rPr>
          <w:rStyle w:val="PEStyleFont8"/>
          <w:rFonts w:cs="Times New Roman"/>
          <w:color w:val="000000"/>
          <w:lang w:val="ru-RU"/>
        </w:rPr>
        <w:t>Технологическое обслуживание оборудования</w:t>
      </w:r>
      <w:r w:rsidR="008C6065">
        <w:rPr>
          <w:rStyle w:val="PEStyleFont8"/>
          <w:rFonts w:cs="Times New Roman"/>
          <w:color w:val="000000"/>
          <w:lang w:val="ru-RU"/>
        </w:rPr>
        <w:t>:</w:t>
      </w:r>
    </w:p>
    <w:p w:rsidR="00BC3FEC" w:rsidRPr="00157035" w:rsidRDefault="008C6065" w:rsidP="00157035">
      <w:pPr>
        <w:pStyle w:val="ab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PEStyleFont8"/>
          <w:rFonts w:cs="Times New Roman"/>
          <w:color w:val="000000"/>
          <w:lang w:val="ru-RU"/>
        </w:rPr>
        <w:br w:type="page"/>
      </w:r>
      <w:r w:rsidR="00BC3FEC" w:rsidRPr="00157035">
        <w:rPr>
          <w:rStyle w:val="PEStyleFont8"/>
          <w:rFonts w:cs="Times New Roman"/>
          <w:color w:val="000000"/>
          <w:lang w:val="ru-RU"/>
        </w:rPr>
        <w:t>Часы запланированного техосмотра*установленная стоимость за один час технического обслуживания для каждой машины.</w:t>
      </w:r>
    </w:p>
    <w:p w:rsidR="008C6065" w:rsidRDefault="008C6065" w:rsidP="00157035">
      <w:pPr>
        <w:tabs>
          <w:tab w:val="left" w:pos="4785"/>
        </w:tabs>
        <w:spacing w:after="0" w:line="360" w:lineRule="auto"/>
        <w:ind w:firstLine="709"/>
        <w:jc w:val="both"/>
        <w:rPr>
          <w:rStyle w:val="PEStyleFont8"/>
          <w:rFonts w:cs="Times New Roman"/>
          <w:color w:val="000000"/>
        </w:rPr>
      </w:pPr>
    </w:p>
    <w:p w:rsidR="00BC3FEC" w:rsidRPr="00157035" w:rsidRDefault="00BC3FEC" w:rsidP="00157035">
      <w:pPr>
        <w:tabs>
          <w:tab w:val="left" w:pos="4785"/>
        </w:tabs>
        <w:spacing w:after="0" w:line="360" w:lineRule="auto"/>
        <w:ind w:firstLine="709"/>
        <w:jc w:val="both"/>
        <w:rPr>
          <w:rStyle w:val="PEStyleFont8"/>
          <w:rFonts w:cs="Times New Roman"/>
          <w:color w:val="000000"/>
        </w:rPr>
      </w:pPr>
      <w:r w:rsidRPr="00157035">
        <w:rPr>
          <w:rStyle w:val="PEStyleFont8"/>
          <w:rFonts w:cs="Times New Roman"/>
          <w:color w:val="000000"/>
        </w:rPr>
        <w:t>Складирование и закупка: затраты на функционирование складской территории на 1 квартал и административные затраты +затраты на среднее количество единиц сырья, доставленного и размещенного на частных складах (любое количество, которое превышает максимально возможную площадь на заводе), + затраты на среднее количество единиц продукции, хранящихся в местах продаж с соответствующими затратами.</w:t>
      </w:r>
    </w:p>
    <w:p w:rsidR="00BC3FEC" w:rsidRPr="00157035" w:rsidRDefault="00BC3FEC" w:rsidP="00157035">
      <w:pPr>
        <w:tabs>
          <w:tab w:val="left" w:pos="4785"/>
        </w:tabs>
        <w:spacing w:after="0" w:line="360" w:lineRule="auto"/>
        <w:ind w:firstLine="709"/>
        <w:jc w:val="both"/>
        <w:rPr>
          <w:rStyle w:val="PEStyleFont8"/>
          <w:rFonts w:cs="Times New Roman"/>
          <w:color w:val="000000"/>
        </w:rPr>
      </w:pPr>
      <w:r w:rsidRPr="00157035">
        <w:rPr>
          <w:rStyle w:val="PEStyleFont8"/>
          <w:rFonts w:cs="Times New Roman"/>
          <w:color w:val="000000"/>
        </w:rPr>
        <w:t xml:space="preserve">Кредитный </w:t>
      </w:r>
      <w:r w:rsidR="00157035" w:rsidRPr="00157035">
        <w:rPr>
          <w:rStyle w:val="PEStyleFont8"/>
          <w:rFonts w:cs="Times New Roman"/>
          <w:color w:val="000000"/>
        </w:rPr>
        <w:t>контроль:</w:t>
      </w:r>
      <w:r w:rsidR="00157035">
        <w:rPr>
          <w:rStyle w:val="PEStyleFont8"/>
          <w:rFonts w:cs="Times New Roman"/>
          <w:color w:val="000000"/>
        </w:rPr>
        <w:t xml:space="preserve"> </w:t>
      </w:r>
      <w:r w:rsidR="00157035" w:rsidRPr="00157035">
        <w:rPr>
          <w:rStyle w:val="PEStyleFont8"/>
          <w:rFonts w:cs="Times New Roman"/>
          <w:color w:val="000000"/>
        </w:rPr>
        <w:t>з</w:t>
      </w:r>
      <w:r w:rsidRPr="00157035">
        <w:rPr>
          <w:rStyle w:val="PEStyleFont8"/>
          <w:rFonts w:cs="Times New Roman"/>
          <w:color w:val="000000"/>
        </w:rPr>
        <w:t>атраты на сбор денег с дебиторов Компании + банковский сбор, уплаченный для работы с Интернет-платежами по кредитным карточкам.</w:t>
      </w:r>
    </w:p>
    <w:p w:rsidR="00BC3FEC" w:rsidRPr="00157035" w:rsidRDefault="00157035" w:rsidP="00157035">
      <w:pPr>
        <w:tabs>
          <w:tab w:val="left" w:pos="4785"/>
        </w:tabs>
        <w:spacing w:after="0" w:line="360" w:lineRule="auto"/>
        <w:ind w:firstLine="709"/>
        <w:jc w:val="both"/>
        <w:rPr>
          <w:rStyle w:val="PEStyleFont8"/>
          <w:rFonts w:cs="Times New Roman"/>
          <w:color w:val="000000"/>
        </w:rPr>
      </w:pPr>
      <w:r w:rsidRPr="00157035">
        <w:rPr>
          <w:rStyle w:val="PEStyleFont8"/>
          <w:rFonts w:cs="Times New Roman"/>
          <w:color w:val="000000"/>
        </w:rPr>
        <w:t>Страхование:</w:t>
      </w:r>
      <w:r>
        <w:rPr>
          <w:rStyle w:val="PEStyleFont8"/>
          <w:rFonts w:cs="Times New Roman"/>
          <w:color w:val="000000"/>
        </w:rPr>
        <w:t xml:space="preserve"> </w:t>
      </w:r>
      <w:r w:rsidRPr="00157035">
        <w:rPr>
          <w:rStyle w:val="PEStyleFont8"/>
          <w:rFonts w:cs="Times New Roman"/>
          <w:color w:val="000000"/>
        </w:rPr>
        <w:t>с</w:t>
      </w:r>
      <w:r w:rsidR="00BC3FEC" w:rsidRPr="00157035">
        <w:rPr>
          <w:rStyle w:val="PEStyleFont8"/>
          <w:rFonts w:cs="Times New Roman"/>
          <w:color w:val="000000"/>
        </w:rPr>
        <w:t>умма, уплаченная как пропорция страхового риска, для покрытия страховки. Общая сумма с баланса постоянных активов, запасов продукции и сырья, которые находятся на складах Компании (исключая 3 и 6</w:t>
      </w:r>
      <w:r>
        <w:rPr>
          <w:rStyle w:val="PEStyleFont8"/>
          <w:rFonts w:cs="Times New Roman"/>
          <w:color w:val="000000"/>
        </w:rPr>
        <w:t>-</w:t>
      </w:r>
      <w:r w:rsidRPr="00157035">
        <w:rPr>
          <w:rStyle w:val="PEStyleFont8"/>
          <w:rFonts w:cs="Times New Roman"/>
          <w:color w:val="000000"/>
        </w:rPr>
        <w:t>м</w:t>
      </w:r>
      <w:r w:rsidR="00BC3FEC" w:rsidRPr="00157035">
        <w:rPr>
          <w:rStyle w:val="PEStyleFont8"/>
          <w:rFonts w:cs="Times New Roman"/>
          <w:color w:val="000000"/>
        </w:rPr>
        <w:t>есячные фьючерсы и текущие запасы на других складах) в предпоследнем квартале * на ставку страховки по ранее выбранному страховому плану. (Если Вы не брали страховку, то цифра в данном случае будет равна 0)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8"/>
          <w:rFonts w:cs="Times New Roman"/>
          <w:color w:val="000000"/>
        </w:rPr>
      </w:pPr>
      <w:r w:rsidRPr="00157035">
        <w:rPr>
          <w:rStyle w:val="PEStyleFont8"/>
          <w:rFonts w:cs="Times New Roman"/>
          <w:color w:val="000000"/>
        </w:rPr>
        <w:t>Другие затраты: Постоянные затраты + процент от затрат, которые включены в накладные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8"/>
          <w:rFonts w:cs="Times New Roman"/>
          <w:color w:val="000000"/>
        </w:rPr>
      </w:pPr>
      <w:r w:rsidRPr="00157035">
        <w:rPr>
          <w:rStyle w:val="PEStyleFont8"/>
          <w:rFonts w:cs="Times New Roman"/>
          <w:color w:val="000000"/>
        </w:rPr>
        <w:t>Прямая реклама: вноситься ежеквартально. Имиджевая реклама: вноситься ежеквартально. Маркетинговые исследования: вносятся ежеквартально.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5"/>
          <w:rFonts w:cs="Times New Roman"/>
          <w:color w:val="000000"/>
          <w:szCs w:val="28"/>
        </w:rPr>
      </w:pPr>
      <w:r w:rsidRPr="00157035">
        <w:rPr>
          <w:rStyle w:val="PEStyleFont5"/>
          <w:rFonts w:cs="Times New Roman"/>
          <w:color w:val="000000"/>
          <w:szCs w:val="28"/>
        </w:rPr>
        <w:t>Для обобщения информации о формировании конечного финансового результата деятельности организации в отчетном году рассмотрим табл. 19.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</w:p>
    <w:p w:rsidR="00BC3FEC" w:rsidRPr="00157035" w:rsidRDefault="00BC3FEC" w:rsidP="00AA2A68">
      <w:pPr>
        <w:pStyle w:val="PEStylePara0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  <w:r w:rsidRPr="00157035">
        <w:rPr>
          <w:szCs w:val="28"/>
        </w:rPr>
        <w:t>Таблица 19</w:t>
      </w:r>
      <w:r w:rsidR="00AA2A68">
        <w:rPr>
          <w:szCs w:val="28"/>
        </w:rPr>
        <w:t xml:space="preserve">. </w:t>
      </w:r>
      <w:r w:rsidRPr="00157035">
        <w:rPr>
          <w:rStyle w:val="PEStyleFont5"/>
          <w:rFonts w:cs="Times New Roman"/>
          <w:color w:val="000000"/>
        </w:rPr>
        <w:t>Прибыли-убытки (EUR)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98"/>
        <w:gridCol w:w="1479"/>
        <w:gridCol w:w="1480"/>
        <w:gridCol w:w="1480"/>
        <w:gridCol w:w="1480"/>
        <w:gridCol w:w="1480"/>
      </w:tblGrid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Строка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1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.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2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.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3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.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4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.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1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2012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  <w:szCs w:val="26"/>
              </w:rPr>
              <w:t>.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Валовый объем продаж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3 259 850,00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2 905 225,00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2 999 095,00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3 216 025,00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3 250 600,00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Потери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Налоги с продаж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Чистый объем продаж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3 259 850,00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2 905 225,00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2 999 095,00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3 216 025,00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3 250 600,00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Материалы и комплектующие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1 225 181,48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788 296,68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793 859,24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869 493,21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876 518,37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Сдельная зарплата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398 794,40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576 721,50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618 982,50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681 834,00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675 056,00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Суммарные прямые издержки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1 623 975,88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1 365 018,18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1 412 841,74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1 551 327,21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1 551 574,37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Валовая прибыль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1 635 874,12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1 540 206,82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1 586 253,26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1 664 697,79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1 699 025,63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Налог на имущество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Административные издержки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237 876,00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236 627,00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236 977,00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223 429,00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233 727,00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Производственные издержки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474 084,00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397 420,00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496 846,00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382 511,00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437 725,00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Маркетинговые издержки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162 500,00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162 500,00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125 000,00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90 000,00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137 500,00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Зарплата административного персонала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Зарплата производственного персонала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Зарплата маркетингового персонала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307 401,90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265 673,60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282 225,65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304 748,30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297 511,55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Суммарные постоянные издержки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1 181 861,90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1 062 220,60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1 141 048,65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1 000 688,30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1 106 463,55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Амортизация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154 979,95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154 979,95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154 979,95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154 979,95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154 979,95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  <w:szCs w:val="26"/>
              </w:rPr>
              <w:t>Проценты по кредитам</w:t>
            </w: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823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  <w:szCs w:val="26"/>
              </w:rPr>
            </w:pPr>
          </w:p>
        </w:tc>
      </w:tr>
    </w:tbl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035"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Проанализировав </w:t>
      </w:r>
      <w:r w:rsidR="00157035" w:rsidRPr="00157035">
        <w:rPr>
          <w:rFonts w:ascii="Times New Roman" w:hAnsi="Times New Roman" w:cs="Times New Roman"/>
          <w:color w:val="000000"/>
          <w:sz w:val="28"/>
          <w:szCs w:val="28"/>
        </w:rPr>
        <w:t>табл.</w:t>
      </w:r>
      <w:r w:rsidR="00157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035" w:rsidRPr="001570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57035">
        <w:rPr>
          <w:rFonts w:ascii="Times New Roman" w:hAnsi="Times New Roman" w:cs="Times New Roman"/>
          <w:color w:val="000000"/>
          <w:sz w:val="28"/>
          <w:szCs w:val="28"/>
        </w:rPr>
        <w:t>9, можно сказать, что суммарные постоянные издержки и чистая прибыль имеют скачкообразный характер.</w:t>
      </w: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035">
        <w:rPr>
          <w:rFonts w:ascii="Times New Roman" w:hAnsi="Times New Roman"/>
          <w:color w:val="000000"/>
          <w:sz w:val="28"/>
          <w:szCs w:val="28"/>
        </w:rPr>
        <w:t xml:space="preserve">Динамику движения денежных средств Компании рассмотрим в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табл.</w:t>
      </w:r>
      <w:r w:rsidR="00157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2</w:t>
      </w:r>
      <w:r w:rsidRPr="00157035">
        <w:rPr>
          <w:rFonts w:ascii="Times New Roman" w:hAnsi="Times New Roman"/>
          <w:color w:val="000000"/>
          <w:sz w:val="28"/>
          <w:szCs w:val="28"/>
        </w:rPr>
        <w:t>0.</w:t>
      </w: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AA2A68" w:rsidRDefault="00AA2A68" w:rsidP="00AA2A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Cs w:val="28"/>
        </w:rPr>
        <w:br w:type="page"/>
      </w:r>
      <w:r w:rsidR="00BC3FEC" w:rsidRPr="00AA2A68">
        <w:rPr>
          <w:rFonts w:ascii="Times New Roman" w:hAnsi="Times New Roman"/>
          <w:color w:val="000000"/>
          <w:sz w:val="28"/>
          <w:szCs w:val="28"/>
        </w:rPr>
        <w:t>Таблица 20</w:t>
      </w:r>
      <w:r w:rsidRPr="00AA2A6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3FEC" w:rsidRPr="00AA2A68">
        <w:rPr>
          <w:rFonts w:ascii="Times New Roman" w:hAnsi="Times New Roman"/>
          <w:color w:val="000000"/>
          <w:sz w:val="28"/>
          <w:szCs w:val="28"/>
        </w:rPr>
        <w:t>Кэш-фло (EUR)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52"/>
        <w:gridCol w:w="1489"/>
        <w:gridCol w:w="1489"/>
        <w:gridCol w:w="1489"/>
        <w:gridCol w:w="1490"/>
        <w:gridCol w:w="1488"/>
      </w:tblGrid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Строка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1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3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4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1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2012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Поступления от продаж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2 045 567,67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3 389 460,00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3 511 421,67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3 587 305,00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3 491 075,33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Затраты на материалы и комплектующие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961 988,80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1 050 663,90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1 040 852,00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1 085 500,00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1 056 905,30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Затраты на сдельную заработную плату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758 778,95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736 417,40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723 672,10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739 715,07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749 192,04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Суммарные прямые издержки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1 720 767,75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1 787 081,30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1 764 524,10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1 825 215,07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1 806 097,34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Общие издержки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1 211 696,00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1 156 265,00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1 197 849,00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1 073 653,00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1 186 164,00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Затраты на персонал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370 686,50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346 598,80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371 816,45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364 309,20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362 667,28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Суммарные постоянные издержки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1 582 382,50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1 502 863,80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1 569 665,45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1 437 962,20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1 548 831,28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Вложения в краткосрочные ценные бумаги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Доходы по краткосрочным ценным бумагам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Другие поступления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334 052,40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334 052,40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334 052,40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334 052,40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334 052,40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Другие выплаты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Налоги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Кэш-фло от операционной деятельности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-923 530,18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433 567,30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511 284,52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658 180,13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470 199,11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Затраты на приобретение активов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Другие издержки подготовительного периода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Поступления от реализации активов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Приобретение прав собственности (акций)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Продажа прав собственности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Доходы от инвестиционной деятельности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86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Кэш-фло от инвестиционной деятельности</w:t>
            </w: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</w:tbl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035">
        <w:rPr>
          <w:rFonts w:ascii="Times New Roman" w:hAnsi="Times New Roman"/>
          <w:color w:val="000000"/>
          <w:sz w:val="28"/>
          <w:szCs w:val="28"/>
        </w:rPr>
        <w:t>Данные кэш-фло помогают понять, откуда компания получила средства и на что она их направила. В отчет о движении денежных средств включаются поступления и выплаты по основным статьям доходов и расходов. На основании данных определяется текущий остаток денежных средств в распоряжении предприятия и показатель его чистой прибыли.</w:t>
      </w:r>
    </w:p>
    <w:p w:rsidR="00BC3FEC" w:rsidRPr="00157035" w:rsidRDefault="00BC3FEC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  <w:szCs w:val="28"/>
        </w:rPr>
      </w:pPr>
      <w:r w:rsidRPr="00157035">
        <w:rPr>
          <w:rFonts w:ascii="Times New Roman" w:hAnsi="Times New Roman"/>
          <w:color w:val="000000"/>
          <w:sz w:val="28"/>
          <w:szCs w:val="28"/>
        </w:rPr>
        <w:t xml:space="preserve">Баланс выражает в денежной форме результаты хозяйственной и финансовой деятельности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табл.</w:t>
      </w:r>
      <w:r w:rsidR="00157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2</w:t>
      </w:r>
      <w:r w:rsidRPr="00157035">
        <w:rPr>
          <w:rFonts w:ascii="Times New Roman" w:hAnsi="Times New Roman"/>
          <w:color w:val="000000"/>
          <w:sz w:val="28"/>
          <w:szCs w:val="28"/>
        </w:rPr>
        <w:t>1.</w:t>
      </w:r>
    </w:p>
    <w:p w:rsidR="00AA2A68" w:rsidRDefault="00AA2A68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</w:p>
    <w:p w:rsidR="00BC3FEC" w:rsidRPr="00157035" w:rsidRDefault="00BC3FEC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  <w:r w:rsidRPr="00157035">
        <w:rPr>
          <w:rStyle w:val="PEStyleFont5"/>
          <w:rFonts w:cs="Times New Roman"/>
          <w:color w:val="000000"/>
        </w:rPr>
        <w:t>Таблица 21</w:t>
      </w:r>
      <w:r w:rsidR="00AA2A68">
        <w:rPr>
          <w:rStyle w:val="PEStyleFont5"/>
          <w:rFonts w:cs="Times New Roman"/>
          <w:color w:val="000000"/>
        </w:rPr>
        <w:t xml:space="preserve">. </w:t>
      </w:r>
      <w:r w:rsidRPr="00157035">
        <w:rPr>
          <w:rStyle w:val="PEStyleFont5"/>
          <w:rFonts w:cs="Times New Roman"/>
          <w:color w:val="000000"/>
        </w:rPr>
        <w:t>Баланс (EUR)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71"/>
        <w:gridCol w:w="1506"/>
        <w:gridCol w:w="1506"/>
        <w:gridCol w:w="1506"/>
        <w:gridCol w:w="1506"/>
        <w:gridCol w:w="1502"/>
      </w:tblGrid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Строка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1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3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4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1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2012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Денежные средства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-923 530,18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-2 455 150,88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-1 943 866,37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-1 285 686,24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-815 487,12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Счета к получению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2 829 504,93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2 427 980,53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2 180 346,47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1 800 879,07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1 470 933,33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Сырье, материалы и комплектующие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1 157 024,95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1 223 336,70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1 253 565,20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1 298 736,00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1 292 830,00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Незавершенное производство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Запасы готовой продукции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310 240,32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394 685,50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359 567,19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394 981,42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454 531,50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Банковские вклады и ценные бумаги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Краткосрочные предоплаченные расходы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Суммарные текущие активы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3 373 240,03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1 590 851,85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1 849 612,49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2 208 910,25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2 402 807,71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Основные средства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6 536 698,00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6 536 698,00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6 536 698,00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6 536 698,00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6 536 698,00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Накопленная амортизация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602 167,45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754 334,90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906 502,35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1 058 669,80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1 210 837,25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Остаточная стоимость основных средств: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5 934 530,55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5 782 363,10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5 630 195,65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5 478 028,20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5 325 860,75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Земля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Здания и сооружения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Оборудование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5 934 530,55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5 782 363,10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5 630 195,65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5 478 028,20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5 325 860,75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Предоплаченные расходы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Другие активы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Инвестиции в основные фонды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Инвестиции в ценные бумаги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Имущество в лизинге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СУММАРНЫЙ АКТИВ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9 307 770,58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7 373 214,95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7 479 808,14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7 686 938,45</w:t>
            </w:r>
          </w:p>
        </w:tc>
        <w:tc>
          <w:tcPr>
            <w:tcW w:w="8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7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7"/>
                <w:rFonts w:cs="Times New Roman"/>
                <w:color w:val="000000"/>
                <w:sz w:val="20"/>
              </w:rPr>
              <w:t>7 728 668,46</w:t>
            </w:r>
          </w:p>
        </w:tc>
      </w:tr>
    </w:tbl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Default="00BC3FEC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  <w:r w:rsidRPr="00157035">
        <w:rPr>
          <w:rStyle w:val="PEStyleFont5"/>
          <w:rFonts w:cs="Times New Roman"/>
          <w:color w:val="000000"/>
        </w:rPr>
        <w:t xml:space="preserve">Набор показателей, использующихся для исследования эффективности деятельности компании и измерения степени риска ее операций рассмотрим в </w:t>
      </w:r>
      <w:r w:rsidR="00157035" w:rsidRPr="00157035">
        <w:rPr>
          <w:rStyle w:val="PEStyleFont5"/>
          <w:rFonts w:cs="Times New Roman"/>
          <w:color w:val="000000"/>
        </w:rPr>
        <w:t>табл.</w:t>
      </w:r>
      <w:r w:rsidR="00157035">
        <w:rPr>
          <w:rStyle w:val="PEStyleFont5"/>
          <w:rFonts w:cs="Times New Roman"/>
          <w:color w:val="000000"/>
        </w:rPr>
        <w:t xml:space="preserve"> </w:t>
      </w:r>
      <w:r w:rsidR="00157035" w:rsidRPr="00157035">
        <w:rPr>
          <w:rStyle w:val="PEStyleFont5"/>
          <w:rFonts w:cs="Times New Roman"/>
          <w:color w:val="000000"/>
        </w:rPr>
        <w:t>2</w:t>
      </w:r>
      <w:r w:rsidRPr="00157035">
        <w:rPr>
          <w:rStyle w:val="PEStyleFont5"/>
          <w:rFonts w:cs="Times New Roman"/>
          <w:color w:val="000000"/>
        </w:rPr>
        <w:t>2</w:t>
      </w:r>
      <w:r w:rsidR="00AA2A68">
        <w:rPr>
          <w:rStyle w:val="PEStyleFont5"/>
          <w:rFonts w:cs="Times New Roman"/>
          <w:color w:val="000000"/>
        </w:rPr>
        <w:t>.</w:t>
      </w:r>
    </w:p>
    <w:p w:rsidR="00AA2A68" w:rsidRDefault="00AA2A68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</w:p>
    <w:p w:rsidR="00BC3FEC" w:rsidRPr="00157035" w:rsidRDefault="00BC3FEC" w:rsidP="00157035">
      <w:pPr>
        <w:pStyle w:val="PEStylePara3"/>
        <w:keepNext w:val="0"/>
        <w:keepLines w:val="0"/>
        <w:spacing w:line="360" w:lineRule="auto"/>
        <w:ind w:firstLine="709"/>
        <w:jc w:val="both"/>
        <w:rPr>
          <w:rStyle w:val="PEStyleFont5"/>
          <w:rFonts w:cs="Times New Roman"/>
          <w:color w:val="000000"/>
        </w:rPr>
      </w:pPr>
      <w:r w:rsidRPr="00157035">
        <w:rPr>
          <w:rStyle w:val="PEStyleFont5"/>
          <w:rFonts w:cs="Times New Roman"/>
          <w:color w:val="000000"/>
        </w:rPr>
        <w:t>Таблица 22</w:t>
      </w:r>
      <w:r w:rsidR="00AA2A68">
        <w:rPr>
          <w:rStyle w:val="PEStyleFont5"/>
          <w:rFonts w:cs="Times New Roman"/>
          <w:color w:val="000000"/>
        </w:rPr>
        <w:t xml:space="preserve">. </w:t>
      </w:r>
      <w:r w:rsidRPr="00157035">
        <w:rPr>
          <w:rStyle w:val="PEStyleFont5"/>
          <w:rFonts w:cs="Times New Roman"/>
          <w:color w:val="000000"/>
        </w:rPr>
        <w:t>Финансовые показатели</w:t>
      </w:r>
    </w:p>
    <w:tbl>
      <w:tblPr>
        <w:tblW w:w="94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97"/>
        <w:gridCol w:w="1267"/>
        <w:gridCol w:w="1522"/>
        <w:gridCol w:w="1524"/>
        <w:gridCol w:w="1524"/>
        <w:gridCol w:w="1518"/>
      </w:tblGrid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Строка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1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3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157035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4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2011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157035" w:rsidP="004F0F19">
            <w:pPr>
              <w:pStyle w:val="a8"/>
              <w:tabs>
                <w:tab w:val="left" w:pos="339"/>
              </w:tabs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1 кв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 xml:space="preserve">. </w:t>
            </w: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2012 г</w:t>
            </w:r>
            <w:r w:rsidR="00BC3FEC" w:rsidRPr="004F0F19">
              <w:rPr>
                <w:rStyle w:val="PEStyleFont6"/>
                <w:rFonts w:cs="Times New Roman"/>
                <w:color w:val="000000"/>
                <w:sz w:val="20"/>
              </w:rPr>
              <w:t>.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Коэффициент текущей ликвидности (CR)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165,02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5 889,69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6 892,94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11 007,29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14 293,16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Коэффициент срочной ликвидности (QR)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92,00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-145,53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580,28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2 224,75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3 720,75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Чистый оборотный капитал (NWC), EUR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1 291 443,72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1 505 829,35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1 739 526,82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2 070 357,49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2 321 926,42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Чистый оборотный капитал (NWC), $ US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1 434 937,47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1 673 143,72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1 932 807,58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2 300 397,21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2 579 918,25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Коэфф. оборачиваем. запасов (ST)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4,76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4,15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4,39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4,16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4,02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Коэфф. оборачиваем. дебиторской задолж. (CP)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66,89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70,14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57,63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49,47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41,36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Коэфф. оборачиваем. кредиторской задолж. (CPR)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1,72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2,55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2,27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1,72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0,45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Коэфф. оборачиваем. рабочего капитала (NCT)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10,96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8,82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8,27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6,84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6,02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Коэфф. оборачиваем. основных средств (FAT)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2,37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2,28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2,53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2,56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2,60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Коэфф. оборачиваем. активов (TAT)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1,53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1,80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1,93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1,86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1,81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Суммарные обязательства к активам (TD/TA)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21,44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0,35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0,34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0,25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0,21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Долгоср. обязат. к активам (LTD/TA)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Долгоср. обязат. к внеоборотн. акт. (LTD/FA)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Суммарные обязательства к собств. кап. (TD/EQ)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27,30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0,35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0,35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0,25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0,21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Коэффициент покрытия процентов (TIE), раз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Коэфф. рентабельности валовой прибыли (GPM)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51,27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51,00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50,72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51,08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50,29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111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Коэфф. рентабельности операц. прибыли (OPM)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670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-10,46</w:t>
            </w:r>
          </w:p>
        </w:tc>
        <w:tc>
          <w:tcPr>
            <w:tcW w:w="805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1,18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2,86</w:t>
            </w:r>
          </w:p>
        </w:tc>
        <w:tc>
          <w:tcPr>
            <w:tcW w:w="80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6,18</w:t>
            </w:r>
          </w:p>
        </w:tc>
        <w:tc>
          <w:tcPr>
            <w:tcW w:w="804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1,62</w:t>
            </w:r>
          </w:p>
        </w:tc>
      </w:tr>
    </w:tbl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035">
        <w:rPr>
          <w:rFonts w:ascii="Times New Roman" w:hAnsi="Times New Roman"/>
          <w:color w:val="000000"/>
          <w:sz w:val="28"/>
          <w:szCs w:val="28"/>
        </w:rPr>
        <w:t>Расчет и сравнение показателей экономической эффективности работы компании с помощью метода Монте-Карло табл. 23</w:t>
      </w:r>
      <w:r w:rsidR="00157035">
        <w:rPr>
          <w:rFonts w:ascii="Times New Roman" w:hAnsi="Times New Roman"/>
          <w:color w:val="000000"/>
          <w:sz w:val="28"/>
          <w:szCs w:val="28"/>
        </w:rPr>
        <w:t>–</w:t>
      </w:r>
      <w:r w:rsidR="00157035" w:rsidRPr="00157035">
        <w:rPr>
          <w:rFonts w:ascii="Times New Roman" w:hAnsi="Times New Roman"/>
          <w:color w:val="000000"/>
          <w:sz w:val="28"/>
          <w:szCs w:val="28"/>
        </w:rPr>
        <w:t>2</w:t>
      </w:r>
      <w:r w:rsidRPr="00157035">
        <w:rPr>
          <w:rFonts w:ascii="Times New Roman" w:hAnsi="Times New Roman"/>
          <w:color w:val="000000"/>
          <w:sz w:val="28"/>
          <w:szCs w:val="28"/>
        </w:rPr>
        <w:t>5</w:t>
      </w:r>
      <w:r w:rsidR="00AC7048">
        <w:rPr>
          <w:rFonts w:ascii="Times New Roman" w:hAnsi="Times New Roman"/>
          <w:color w:val="000000"/>
          <w:sz w:val="28"/>
          <w:szCs w:val="28"/>
        </w:rPr>
        <w:t>.</w:t>
      </w:r>
    </w:p>
    <w:p w:rsidR="00AC7048" w:rsidRDefault="00AC7048" w:rsidP="00157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spacing w:after="0" w:line="360" w:lineRule="auto"/>
        <w:ind w:firstLine="709"/>
        <w:jc w:val="both"/>
        <w:rPr>
          <w:rStyle w:val="PEStyleFont4"/>
          <w:rFonts w:cs="Times New Roman"/>
          <w:color w:val="000000"/>
        </w:rPr>
      </w:pPr>
      <w:r w:rsidRPr="00157035">
        <w:rPr>
          <w:rFonts w:ascii="Times New Roman" w:hAnsi="Times New Roman"/>
          <w:color w:val="000000"/>
          <w:sz w:val="28"/>
          <w:szCs w:val="28"/>
        </w:rPr>
        <w:t>Таблица 23</w:t>
      </w:r>
      <w:r w:rsidR="00AC70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57035">
        <w:rPr>
          <w:rStyle w:val="PEStyleFont4"/>
          <w:rFonts w:cs="Times New Roman"/>
          <w:color w:val="000000"/>
        </w:rPr>
        <w:t>Эффективность инвестиций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89"/>
        <w:gridCol w:w="1783"/>
        <w:gridCol w:w="2025"/>
      </w:tblGrid>
      <w:tr w:rsidR="00BC3FEC" w:rsidRPr="004F0F19" w:rsidTr="004F0F19">
        <w:trPr>
          <w:cantSplit/>
          <w:jc w:val="center"/>
        </w:trPr>
        <w:tc>
          <w:tcPr>
            <w:tcW w:w="2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Показатель</w:t>
            </w:r>
          </w:p>
        </w:tc>
        <w:tc>
          <w:tcPr>
            <w:tcW w:w="95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Евро</w:t>
            </w:r>
          </w:p>
        </w:tc>
        <w:tc>
          <w:tcPr>
            <w:tcW w:w="108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Доллар США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Ставка дисконтирования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95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12,00</w:t>
            </w:r>
          </w:p>
        </w:tc>
        <w:tc>
          <w:tcPr>
            <w:tcW w:w="108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15,00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Период окупаемости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PB, мес.</w:t>
            </w:r>
          </w:p>
        </w:tc>
        <w:tc>
          <w:tcPr>
            <w:tcW w:w="95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108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Дисконтированный период окупаемости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DPB, мес.</w:t>
            </w:r>
          </w:p>
        </w:tc>
        <w:tc>
          <w:tcPr>
            <w:tcW w:w="95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10</w:t>
            </w:r>
          </w:p>
        </w:tc>
        <w:tc>
          <w:tcPr>
            <w:tcW w:w="108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Средняя норма рентабельности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ARR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95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179,59</w:t>
            </w:r>
          </w:p>
        </w:tc>
        <w:tc>
          <w:tcPr>
            <w:tcW w:w="108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179,59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Чистый приведенный доход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NPV</w:t>
            </w:r>
          </w:p>
        </w:tc>
        <w:tc>
          <w:tcPr>
            <w:tcW w:w="95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991 847</w:t>
            </w:r>
          </w:p>
        </w:tc>
        <w:tc>
          <w:tcPr>
            <w:tcW w:w="108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1 063 497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Индекс прибыльности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PI</w:t>
            </w:r>
          </w:p>
        </w:tc>
        <w:tc>
          <w:tcPr>
            <w:tcW w:w="95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2,08</w:t>
            </w:r>
          </w:p>
        </w:tc>
        <w:tc>
          <w:tcPr>
            <w:tcW w:w="108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2,04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Внутренняя норма рентабельности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IRR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95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257,90</w:t>
            </w:r>
          </w:p>
        </w:tc>
        <w:tc>
          <w:tcPr>
            <w:tcW w:w="108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257,90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Модифицированная внутренняя норма рентабельности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MIRR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95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99,64</w:t>
            </w:r>
          </w:p>
        </w:tc>
        <w:tc>
          <w:tcPr>
            <w:tcW w:w="1089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101,74</w:t>
            </w:r>
          </w:p>
        </w:tc>
      </w:tr>
    </w:tbl>
    <w:p w:rsidR="00BC3FEC" w:rsidRPr="00157035" w:rsidRDefault="00BC3FEC" w:rsidP="00157035">
      <w:pPr>
        <w:tabs>
          <w:tab w:val="left" w:pos="39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EC" w:rsidRDefault="00BC3FEC" w:rsidP="00157035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  <w:r w:rsidRPr="00157035">
        <w:rPr>
          <w:rStyle w:val="PEStyleFont3"/>
          <w:rFonts w:cs="Times New Roman"/>
          <w:color w:val="000000"/>
        </w:rPr>
        <w:t xml:space="preserve">Период расчета интегральных показателей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15</w:t>
      </w:r>
      <w:r w:rsidR="00157035">
        <w:rPr>
          <w:rStyle w:val="PEStyleFont3"/>
          <w:rFonts w:cs="Times New Roman"/>
          <w:color w:val="000000"/>
        </w:rPr>
        <w:t> </w:t>
      </w:r>
      <w:r w:rsidR="00157035" w:rsidRPr="00157035">
        <w:rPr>
          <w:rStyle w:val="PEStyleFont3"/>
          <w:rFonts w:cs="Times New Roman"/>
          <w:color w:val="000000"/>
        </w:rPr>
        <w:t>мес</w:t>
      </w:r>
      <w:r w:rsidRPr="00157035">
        <w:rPr>
          <w:rStyle w:val="PEStyleFont3"/>
          <w:rFonts w:cs="Times New Roman"/>
          <w:color w:val="000000"/>
        </w:rPr>
        <w:t>.</w:t>
      </w:r>
    </w:p>
    <w:p w:rsidR="00B235CE" w:rsidRDefault="00B235CE" w:rsidP="00AC7048">
      <w:pPr>
        <w:pStyle w:val="PEStylePara1"/>
        <w:spacing w:line="360" w:lineRule="auto"/>
        <w:ind w:firstLine="709"/>
        <w:rPr>
          <w:rStyle w:val="PEStyleFont3"/>
          <w:rFonts w:cs="Times New Roman"/>
          <w:color w:val="000000"/>
        </w:rPr>
      </w:pPr>
    </w:p>
    <w:p w:rsidR="00BC3FEC" w:rsidRPr="00AC7048" w:rsidRDefault="00BC3FEC" w:rsidP="00AC7048">
      <w:pPr>
        <w:pStyle w:val="PEStylePara1"/>
        <w:spacing w:line="360" w:lineRule="auto"/>
        <w:ind w:firstLine="709"/>
        <w:rPr>
          <w:rStyle w:val="PEStyleFont3"/>
          <w:rFonts w:cs="Times New Roman"/>
        </w:rPr>
      </w:pPr>
      <w:r w:rsidRPr="00AC7048">
        <w:rPr>
          <w:rStyle w:val="PEStyleFont3"/>
          <w:rFonts w:cs="Times New Roman"/>
          <w:color w:val="000000"/>
        </w:rPr>
        <w:t>Таблица 24</w:t>
      </w:r>
      <w:r w:rsidR="00AC7048" w:rsidRPr="00AC7048">
        <w:rPr>
          <w:rStyle w:val="PEStyleFont3"/>
          <w:rFonts w:cs="Times New Roman"/>
          <w:color w:val="000000"/>
        </w:rPr>
        <w:t xml:space="preserve">. </w:t>
      </w:r>
      <w:r w:rsidRPr="00AC7048">
        <w:rPr>
          <w:rStyle w:val="PEStyleFont3"/>
          <w:rFonts w:cs="Times New Roman"/>
        </w:rPr>
        <w:t>Неопределенные данные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80"/>
        <w:gridCol w:w="1852"/>
        <w:gridCol w:w="1965"/>
      </w:tblGrid>
      <w:tr w:rsidR="00BC3FEC" w:rsidRPr="004F0F19" w:rsidTr="004F0F19">
        <w:trPr>
          <w:cantSplit/>
          <w:jc w:val="center"/>
        </w:trPr>
        <w:tc>
          <w:tcPr>
            <w:tcW w:w="29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Название параметра</w:t>
            </w:r>
          </w:p>
        </w:tc>
        <w:tc>
          <w:tcPr>
            <w:tcW w:w="99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-</w:t>
            </w:r>
            <w:r w:rsidR="00157035" w:rsidRPr="004F0F19">
              <w:rPr>
                <w:rStyle w:val="PEStyleFont6"/>
                <w:rFonts w:cs="Times New Roman"/>
                <w:color w:val="000000"/>
                <w:sz w:val="20"/>
              </w:rPr>
              <w:t>%</w:t>
            </w:r>
          </w:p>
        </w:tc>
        <w:tc>
          <w:tcPr>
            <w:tcW w:w="10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+</w:t>
            </w:r>
            <w:r w:rsidR="00157035" w:rsidRPr="004F0F19">
              <w:rPr>
                <w:rStyle w:val="PEStyleFont6"/>
                <w:rFonts w:cs="Times New Roman"/>
                <w:color w:val="000000"/>
                <w:sz w:val="20"/>
              </w:rPr>
              <w:t>%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Общ.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дан. З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адержки платежей</w:t>
            </w:r>
          </w:p>
        </w:tc>
        <w:tc>
          <w:tcPr>
            <w:tcW w:w="99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-10,00</w:t>
            </w:r>
          </w:p>
        </w:tc>
        <w:tc>
          <w:tcPr>
            <w:tcW w:w="10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10,00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94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Цен.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прод. В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се</w:t>
            </w:r>
          </w:p>
        </w:tc>
        <w:tc>
          <w:tcPr>
            <w:tcW w:w="99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-10,00</w:t>
            </w:r>
          </w:p>
        </w:tc>
        <w:tc>
          <w:tcPr>
            <w:tcW w:w="1057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10,00</w:t>
            </w:r>
          </w:p>
        </w:tc>
      </w:tr>
    </w:tbl>
    <w:p w:rsidR="00BC3FEC" w:rsidRPr="00157035" w:rsidRDefault="00BC3FEC" w:rsidP="00157035">
      <w:pPr>
        <w:pStyle w:val="PEStylePara2"/>
        <w:keepNext w:val="0"/>
        <w:keepLines w:val="0"/>
        <w:spacing w:line="360" w:lineRule="auto"/>
        <w:ind w:firstLine="709"/>
        <w:jc w:val="both"/>
        <w:rPr>
          <w:rStyle w:val="PEStyleFont4"/>
          <w:rFonts w:cs="Times New Roman"/>
          <w:color w:val="000000"/>
        </w:rPr>
      </w:pPr>
    </w:p>
    <w:p w:rsidR="00BC3FEC" w:rsidRPr="00AC7048" w:rsidRDefault="00BC3FEC" w:rsidP="00AC7048">
      <w:pPr>
        <w:pStyle w:val="PEStylePara1"/>
        <w:spacing w:line="360" w:lineRule="auto"/>
        <w:ind w:firstLine="709"/>
        <w:rPr>
          <w:rStyle w:val="PEStyleFont3"/>
          <w:rFonts w:cs="Times New Roman"/>
        </w:rPr>
      </w:pPr>
      <w:r w:rsidRPr="00AC7048">
        <w:rPr>
          <w:rStyle w:val="PEStyleFont3"/>
          <w:rFonts w:cs="Times New Roman"/>
          <w:color w:val="000000"/>
        </w:rPr>
        <w:t>Таблица 25</w:t>
      </w:r>
      <w:r w:rsidR="00AC7048" w:rsidRPr="00AC7048">
        <w:rPr>
          <w:rStyle w:val="PEStyleFont3"/>
          <w:rFonts w:cs="Times New Roman"/>
          <w:color w:val="000000"/>
        </w:rPr>
        <w:t xml:space="preserve">. </w:t>
      </w:r>
      <w:r w:rsidRPr="00AC7048">
        <w:rPr>
          <w:rStyle w:val="PEStyleFont3"/>
          <w:rFonts w:cs="Times New Roman"/>
        </w:rPr>
        <w:t xml:space="preserve">Результаты </w:t>
      </w:r>
      <w:r w:rsidR="00157035" w:rsidRPr="00AC7048">
        <w:rPr>
          <w:rStyle w:val="PEStyleFont3"/>
          <w:rFonts w:cs="Times New Roman"/>
        </w:rPr>
        <w:t xml:space="preserve">– </w:t>
      </w:r>
      <w:r w:rsidRPr="00AC7048">
        <w:rPr>
          <w:rStyle w:val="PEStyleFont3"/>
          <w:rFonts w:cs="Times New Roman"/>
        </w:rPr>
        <w:t>EUR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74"/>
        <w:gridCol w:w="1862"/>
        <w:gridCol w:w="3061"/>
      </w:tblGrid>
      <w:tr w:rsidR="00BC3FEC" w:rsidRPr="004F0F19" w:rsidTr="004F0F19">
        <w:trPr>
          <w:cantSplit/>
          <w:jc w:val="center"/>
        </w:trPr>
        <w:tc>
          <w:tcPr>
            <w:tcW w:w="23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Среднее</w:t>
            </w:r>
          </w:p>
        </w:tc>
        <w:tc>
          <w:tcPr>
            <w:tcW w:w="164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6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6"/>
                <w:rFonts w:cs="Times New Roman"/>
                <w:color w:val="000000"/>
                <w:sz w:val="20"/>
              </w:rPr>
              <w:t>Неопределенность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3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Дисконтированный период окупаемости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DPB, мес.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 мес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164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0,19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3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Индекс прибыльности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PI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2,09</w:t>
            </w:r>
          </w:p>
        </w:tc>
        <w:tc>
          <w:tcPr>
            <w:tcW w:w="164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0,22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3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Чистый приведенный доход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NPV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974 291</w:t>
            </w:r>
          </w:p>
        </w:tc>
        <w:tc>
          <w:tcPr>
            <w:tcW w:w="164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0,38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3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Внутренняя норма рентабельности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IRR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289,19</w:t>
            </w:r>
          </w:p>
        </w:tc>
        <w:tc>
          <w:tcPr>
            <w:tcW w:w="164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0,54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3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Период окупаемости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PB, мес.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 мес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.</w:t>
            </w:r>
          </w:p>
        </w:tc>
        <w:tc>
          <w:tcPr>
            <w:tcW w:w="164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0,16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3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Средняя норма рентабельности 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 xml:space="preserve">– </w:t>
            </w: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ARR</w:t>
            </w:r>
            <w:r w:rsidR="00157035" w:rsidRPr="004F0F19">
              <w:rPr>
                <w:rStyle w:val="PEStyleFont8"/>
                <w:rFonts w:cs="Times New Roman"/>
                <w:color w:val="000000"/>
                <w:sz w:val="20"/>
              </w:rPr>
              <w:t>, %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180,01</w:t>
            </w:r>
          </w:p>
        </w:tc>
        <w:tc>
          <w:tcPr>
            <w:tcW w:w="164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0,21</w:t>
            </w:r>
          </w:p>
        </w:tc>
      </w:tr>
      <w:tr w:rsidR="00BC3FEC" w:rsidRPr="004F0F19" w:rsidTr="004F0F19">
        <w:trPr>
          <w:cantSplit/>
          <w:jc w:val="center"/>
        </w:trPr>
        <w:tc>
          <w:tcPr>
            <w:tcW w:w="2352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Модифицированная внутренняя норма рентабельности</w:t>
            </w:r>
          </w:p>
        </w:tc>
        <w:tc>
          <w:tcPr>
            <w:tcW w:w="1001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99,44</w:t>
            </w:r>
          </w:p>
        </w:tc>
        <w:tc>
          <w:tcPr>
            <w:tcW w:w="1646" w:type="pct"/>
            <w:shd w:val="clear" w:color="auto" w:fill="auto"/>
          </w:tcPr>
          <w:p w:rsidR="00BC3FEC" w:rsidRPr="004F0F19" w:rsidRDefault="00BC3FEC" w:rsidP="004F0F19">
            <w:pPr>
              <w:pStyle w:val="a8"/>
              <w:spacing w:line="360" w:lineRule="auto"/>
              <w:jc w:val="both"/>
              <w:rPr>
                <w:rStyle w:val="PEStyleFont8"/>
                <w:rFonts w:cs="Times New Roman"/>
                <w:color w:val="000000"/>
                <w:sz w:val="20"/>
              </w:rPr>
            </w:pPr>
            <w:r w:rsidRPr="004F0F19">
              <w:rPr>
                <w:rStyle w:val="PEStyleFont8"/>
                <w:rFonts w:cs="Times New Roman"/>
                <w:color w:val="000000"/>
                <w:sz w:val="20"/>
              </w:rPr>
              <w:t>0,35</w:t>
            </w:r>
          </w:p>
        </w:tc>
      </w:tr>
    </w:tbl>
    <w:p w:rsidR="00BC3FEC" w:rsidRPr="00157035" w:rsidRDefault="00BC3FEC" w:rsidP="00157035">
      <w:pPr>
        <w:pStyle w:val="PEStylePara0"/>
        <w:keepNext w:val="0"/>
        <w:keepLine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C3FEC" w:rsidRPr="00157035" w:rsidRDefault="00BC3FEC" w:rsidP="00157035">
      <w:pPr>
        <w:pStyle w:val="PEStylePara1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</w:rPr>
        <w:t xml:space="preserve">Устойчивость проекта </w:t>
      </w:r>
      <w:r w:rsidR="00157035">
        <w:rPr>
          <w:rStyle w:val="PEStyleFont3"/>
          <w:rFonts w:cs="Times New Roman"/>
          <w:color w:val="000000"/>
        </w:rPr>
        <w:t>–</w:t>
      </w:r>
      <w:r w:rsidR="00157035" w:rsidRP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0,</w:t>
      </w:r>
      <w:r w:rsidR="00157035" w:rsidRPr="00157035">
        <w:rPr>
          <w:rStyle w:val="PEStyleFont3"/>
          <w:rFonts w:cs="Times New Roman"/>
          <w:color w:val="000000"/>
        </w:rPr>
        <w:t>0</w:t>
      </w:r>
      <w:r w:rsidR="00157035">
        <w:rPr>
          <w:rStyle w:val="PEStyleFont3"/>
          <w:rFonts w:cs="Times New Roman"/>
          <w:color w:val="000000"/>
        </w:rPr>
        <w:t>%</w:t>
      </w:r>
      <w:r w:rsidRPr="00157035">
        <w:rPr>
          <w:rStyle w:val="PEStyleFont3"/>
          <w:rFonts w:cs="Times New Roman"/>
          <w:color w:val="000000"/>
        </w:rPr>
        <w:t xml:space="preserve"> что свидетельствует о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том что компания работает в условиях большого риска</w:t>
      </w:r>
      <w:r w:rsidR="00AC7048">
        <w:rPr>
          <w:rStyle w:val="PEStyleFont3"/>
          <w:rFonts w:cs="Times New Roman"/>
          <w:color w:val="000000"/>
        </w:rPr>
        <w:t>.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035">
        <w:rPr>
          <w:rFonts w:ascii="Times New Roman" w:hAnsi="Times New Roman" w:cs="Times New Roman"/>
          <w:color w:val="000000"/>
          <w:sz w:val="28"/>
          <w:szCs w:val="28"/>
        </w:rPr>
        <w:t>Задача анализа проекта</w:t>
      </w:r>
      <w:r w:rsidR="00157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03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чувствительности показателей эффективности к изменениям различных параметров. Чем шире диапазон параметров, в котором показатели эффективности остаются в пределах приемлемых значений, тем выше </w:t>
      </w:r>
      <w:r w:rsidR="001570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57035" w:rsidRPr="0015703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57035">
        <w:rPr>
          <w:rFonts w:ascii="Times New Roman" w:hAnsi="Times New Roman" w:cs="Times New Roman"/>
          <w:color w:val="000000"/>
          <w:sz w:val="28"/>
          <w:szCs w:val="28"/>
        </w:rPr>
        <w:t>апас прочности</w:t>
      </w:r>
      <w:r w:rsidR="001570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7035" w:rsidRPr="00157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035">
        <w:rPr>
          <w:rFonts w:ascii="Times New Roman" w:hAnsi="Times New Roman" w:cs="Times New Roman"/>
          <w:color w:val="000000"/>
          <w:sz w:val="28"/>
          <w:szCs w:val="28"/>
        </w:rPr>
        <w:t>проекта, тем лучше он защищен от колебаний различных факторов, оказывающих влияние на</w:t>
      </w:r>
      <w:r w:rsidR="00AC704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реализации проекта.</w:t>
      </w:r>
    </w:p>
    <w:p w:rsidR="00BC3FEC" w:rsidRDefault="00BC3FEC" w:rsidP="0015703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035">
        <w:rPr>
          <w:rFonts w:ascii="Times New Roman" w:hAnsi="Times New Roman" w:cs="Times New Roman"/>
          <w:color w:val="000000"/>
          <w:sz w:val="28"/>
          <w:szCs w:val="28"/>
        </w:rPr>
        <w:t>Запас финансовой прочности. Это разность между фактическим объемом выпуска и объемом выпуска в точке безубыточности. Часто рассчитывают процентное отношение запаса финансовой прочности к фактическому объему. Эта величина показывает на сколько процентов может снизиться объем реализации, чтобы предприятию удалось избежать убытка.</w:t>
      </w:r>
    </w:p>
    <w:p w:rsidR="00C449C7" w:rsidRDefault="00C449C7" w:rsidP="0015703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9C7" w:rsidRDefault="00C449C7" w:rsidP="0015703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9C7" w:rsidRDefault="00C449C7" w:rsidP="0015703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C449C7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</w:p>
    <w:p w:rsidR="00C449C7" w:rsidRDefault="00C449C7" w:rsidP="0015703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3"/>
          <w:rFonts w:cs="Times New Roman"/>
          <w:color w:val="000000"/>
        </w:rPr>
      </w:pPr>
      <w:r w:rsidRPr="00157035">
        <w:rPr>
          <w:rFonts w:ascii="Times New Roman" w:hAnsi="Times New Roman" w:cs="Times New Roman"/>
          <w:color w:val="000000"/>
          <w:sz w:val="28"/>
          <w:szCs w:val="28"/>
        </w:rPr>
        <w:t xml:space="preserve">В ходе работы была </w:t>
      </w:r>
      <w:r w:rsidRPr="00157035">
        <w:rPr>
          <w:rStyle w:val="PEStyleFont3"/>
          <w:rFonts w:cs="Times New Roman"/>
          <w:color w:val="000000"/>
        </w:rPr>
        <w:t>построена бизнес модель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деятельности предприятия,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как информационный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базис с антикризисного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>управления, с фиксированными значениями деятельности на 4 квартала и прогнозным значение на 5 квартал. С помощью программы ProjectExpert, также был проведен анализ деятельности предприятия, который показал, что предприятие осуществляет свою деятельность в условиях большого риска. Также выявили показатели, к колебанию которых предприятие наименее устойчиво.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Style w:val="PEStyleFont3"/>
          <w:rFonts w:cs="Times New Roman"/>
          <w:color w:val="000000"/>
        </w:rPr>
      </w:pPr>
      <w:r w:rsidRPr="0015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57035">
        <w:rPr>
          <w:rFonts w:ascii="Times New Roman" w:hAnsi="Times New Roman" w:cs="Times New Roman"/>
          <w:color w:val="000000"/>
          <w:sz w:val="28"/>
          <w:szCs w:val="28"/>
        </w:rPr>
        <w:t>спех реализации проекта зависит от множества переменных величин, которые вводятся в описание в качестве исходных данных, но в действительности, не являются полностью контролируемыми параметрами. К числу таких параметров относятся</w:t>
      </w:r>
      <w:r w:rsidRPr="0015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157035">
        <w:rPr>
          <w:rFonts w:ascii="Times New Roman" w:hAnsi="Times New Roman" w:cs="Times New Roman"/>
          <w:color w:val="000000"/>
          <w:sz w:val="28"/>
          <w:szCs w:val="28"/>
        </w:rPr>
        <w:t xml:space="preserve"> объем сбыта, цена продукции, суммы издержек, величина налогов, уровень инфляции и многие другие. Все эти величины можно рассматривать как случайные факторы, оказывающие влияние на результат проекта</w:t>
      </w:r>
      <w:r w:rsidRPr="0015703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C3FEC" w:rsidRPr="00157035" w:rsidRDefault="00BC3FEC" w:rsidP="0015703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57035">
        <w:rPr>
          <w:rStyle w:val="PEStyleFont3"/>
          <w:rFonts w:cs="Times New Roman"/>
          <w:color w:val="000000"/>
          <w:lang w:val="uk-UA"/>
        </w:rPr>
        <w:t xml:space="preserve">С </w:t>
      </w:r>
      <w:r w:rsidRPr="00157035">
        <w:rPr>
          <w:rStyle w:val="PEStyleFont3"/>
          <w:rFonts w:cs="Times New Roman"/>
          <w:color w:val="000000"/>
        </w:rPr>
        <w:t>помощью анализа Монте-Карло мы рассчитываем показатели эффективности, проделав 100 попыток мы определили, что</w:t>
      </w:r>
      <w:r w:rsidR="00157035">
        <w:rPr>
          <w:rStyle w:val="PEStyleFont3"/>
          <w:rFonts w:cs="Times New Roman"/>
          <w:color w:val="000000"/>
        </w:rPr>
        <w:t xml:space="preserve"> </w:t>
      </w:r>
      <w:r w:rsidRPr="00157035">
        <w:rPr>
          <w:rStyle w:val="PEStyleFont3"/>
          <w:rFonts w:cs="Times New Roman"/>
          <w:color w:val="000000"/>
        </w:rPr>
        <w:t xml:space="preserve">при воздействии случайных факторов риск реализации проекта 0, так как ни одна попытка не была успешной и устойчивость проекта ровняется </w:t>
      </w:r>
      <w:r w:rsidR="00157035" w:rsidRPr="00157035">
        <w:rPr>
          <w:rStyle w:val="PEStyleFont3"/>
          <w:rFonts w:cs="Times New Roman"/>
          <w:color w:val="000000"/>
        </w:rPr>
        <w:t>0</w:t>
      </w:r>
      <w:r w:rsidR="00157035">
        <w:rPr>
          <w:rStyle w:val="PEStyleFont3"/>
          <w:rFonts w:cs="Times New Roman"/>
          <w:color w:val="000000"/>
        </w:rPr>
        <w:t>%</w:t>
      </w:r>
      <w:r w:rsidRPr="00157035">
        <w:rPr>
          <w:rStyle w:val="PEStyleFont3"/>
          <w:rFonts w:cs="Times New Roman"/>
          <w:color w:val="000000"/>
        </w:rPr>
        <w:t>. Можно сделать вывод о том, что в доле всех расчетов везде возникает дефицит наличных средств.</w:t>
      </w:r>
    </w:p>
    <w:p w:rsidR="00BC3FEC" w:rsidRPr="00C449C7" w:rsidRDefault="00BC3FEC" w:rsidP="00157035">
      <w:pPr>
        <w:tabs>
          <w:tab w:val="left" w:pos="2936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</w:p>
    <w:p w:rsidR="00BC3FEC" w:rsidRPr="00157035" w:rsidRDefault="00BC3FEC" w:rsidP="00157035">
      <w:pPr>
        <w:tabs>
          <w:tab w:val="left" w:pos="293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sectPr w:rsidR="00BC3FEC" w:rsidRPr="00157035" w:rsidSect="00157035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19" w:rsidRDefault="004F0F19" w:rsidP="00F3264F">
      <w:pPr>
        <w:spacing w:after="0" w:line="240" w:lineRule="auto"/>
      </w:pPr>
      <w:r>
        <w:separator/>
      </w:r>
    </w:p>
  </w:endnote>
  <w:endnote w:type="continuationSeparator" w:id="0">
    <w:p w:rsidR="004F0F19" w:rsidRDefault="004F0F19" w:rsidP="00F3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sto MT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19" w:rsidRDefault="004F0F19" w:rsidP="00F3264F">
      <w:pPr>
        <w:spacing w:after="0" w:line="240" w:lineRule="auto"/>
      </w:pPr>
      <w:r>
        <w:separator/>
      </w:r>
    </w:p>
  </w:footnote>
  <w:footnote w:type="continuationSeparator" w:id="0">
    <w:p w:rsidR="004F0F19" w:rsidRDefault="004F0F19" w:rsidP="00F3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35" w:rsidRPr="00157035" w:rsidRDefault="00157035" w:rsidP="00157035">
    <w:pPr>
      <w:pStyle w:val="a3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35" w:rsidRPr="00157035" w:rsidRDefault="00157035" w:rsidP="00157035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927A7"/>
    <w:multiLevelType w:val="hybridMultilevel"/>
    <w:tmpl w:val="3780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690F22"/>
    <w:multiLevelType w:val="hybridMultilevel"/>
    <w:tmpl w:val="74380C80"/>
    <w:lvl w:ilvl="0" w:tplc="BFCEB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64F"/>
    <w:rsid w:val="00015C92"/>
    <w:rsid w:val="00070E45"/>
    <w:rsid w:val="000818E4"/>
    <w:rsid w:val="000834B8"/>
    <w:rsid w:val="000A7CD0"/>
    <w:rsid w:val="000A7EE6"/>
    <w:rsid w:val="000E7B78"/>
    <w:rsid w:val="000F7014"/>
    <w:rsid w:val="00100FDB"/>
    <w:rsid w:val="00136E95"/>
    <w:rsid w:val="001376D2"/>
    <w:rsid w:val="00151E4B"/>
    <w:rsid w:val="00157035"/>
    <w:rsid w:val="00167FDB"/>
    <w:rsid w:val="00170494"/>
    <w:rsid w:val="00180F9C"/>
    <w:rsid w:val="001A0C3E"/>
    <w:rsid w:val="001C3766"/>
    <w:rsid w:val="001D6257"/>
    <w:rsid w:val="001E0A60"/>
    <w:rsid w:val="001E0E3F"/>
    <w:rsid w:val="001E7FBF"/>
    <w:rsid w:val="0022772C"/>
    <w:rsid w:val="00243D2B"/>
    <w:rsid w:val="00283FFF"/>
    <w:rsid w:val="002B349E"/>
    <w:rsid w:val="002C1EDC"/>
    <w:rsid w:val="002D3655"/>
    <w:rsid w:val="002D64D2"/>
    <w:rsid w:val="002E2579"/>
    <w:rsid w:val="00332952"/>
    <w:rsid w:val="00343051"/>
    <w:rsid w:val="0039747D"/>
    <w:rsid w:val="003A5468"/>
    <w:rsid w:val="0041572D"/>
    <w:rsid w:val="00464A26"/>
    <w:rsid w:val="004878AA"/>
    <w:rsid w:val="00494D29"/>
    <w:rsid w:val="004E2904"/>
    <w:rsid w:val="004F0F19"/>
    <w:rsid w:val="004F124A"/>
    <w:rsid w:val="00504735"/>
    <w:rsid w:val="00511E09"/>
    <w:rsid w:val="00515E9D"/>
    <w:rsid w:val="0059588B"/>
    <w:rsid w:val="005B0747"/>
    <w:rsid w:val="0060202A"/>
    <w:rsid w:val="00605AFE"/>
    <w:rsid w:val="0062775F"/>
    <w:rsid w:val="00654F3B"/>
    <w:rsid w:val="006651AF"/>
    <w:rsid w:val="00666859"/>
    <w:rsid w:val="00687891"/>
    <w:rsid w:val="006A01A9"/>
    <w:rsid w:val="006A09C8"/>
    <w:rsid w:val="006B3573"/>
    <w:rsid w:val="006C326B"/>
    <w:rsid w:val="006D075C"/>
    <w:rsid w:val="006E2381"/>
    <w:rsid w:val="006E4496"/>
    <w:rsid w:val="00717BB1"/>
    <w:rsid w:val="00724B12"/>
    <w:rsid w:val="007452B9"/>
    <w:rsid w:val="00756679"/>
    <w:rsid w:val="007A0B70"/>
    <w:rsid w:val="007D6E40"/>
    <w:rsid w:val="00814653"/>
    <w:rsid w:val="00815B31"/>
    <w:rsid w:val="00845F4A"/>
    <w:rsid w:val="00846B2F"/>
    <w:rsid w:val="008507ED"/>
    <w:rsid w:val="00892E50"/>
    <w:rsid w:val="00894AE1"/>
    <w:rsid w:val="008B3380"/>
    <w:rsid w:val="008B344C"/>
    <w:rsid w:val="008C6065"/>
    <w:rsid w:val="008E28B7"/>
    <w:rsid w:val="008F6F81"/>
    <w:rsid w:val="0091168A"/>
    <w:rsid w:val="00913BDD"/>
    <w:rsid w:val="00935C4E"/>
    <w:rsid w:val="009537E4"/>
    <w:rsid w:val="00954810"/>
    <w:rsid w:val="00954A5F"/>
    <w:rsid w:val="0095616F"/>
    <w:rsid w:val="00980B52"/>
    <w:rsid w:val="009C575E"/>
    <w:rsid w:val="00A05ABF"/>
    <w:rsid w:val="00A2686E"/>
    <w:rsid w:val="00A70D4E"/>
    <w:rsid w:val="00AA2A68"/>
    <w:rsid w:val="00AC7048"/>
    <w:rsid w:val="00AD2E74"/>
    <w:rsid w:val="00AD52B3"/>
    <w:rsid w:val="00AD57B1"/>
    <w:rsid w:val="00AF2424"/>
    <w:rsid w:val="00AF333C"/>
    <w:rsid w:val="00B235CE"/>
    <w:rsid w:val="00B91465"/>
    <w:rsid w:val="00BC3FEC"/>
    <w:rsid w:val="00BF56C1"/>
    <w:rsid w:val="00C07AC6"/>
    <w:rsid w:val="00C12619"/>
    <w:rsid w:val="00C449C7"/>
    <w:rsid w:val="00C54776"/>
    <w:rsid w:val="00C65645"/>
    <w:rsid w:val="00C66E36"/>
    <w:rsid w:val="00C773BB"/>
    <w:rsid w:val="00C93B93"/>
    <w:rsid w:val="00CA0DA2"/>
    <w:rsid w:val="00CD1F0E"/>
    <w:rsid w:val="00CE25F4"/>
    <w:rsid w:val="00D57A17"/>
    <w:rsid w:val="00D638D2"/>
    <w:rsid w:val="00DC4949"/>
    <w:rsid w:val="00DE0DB8"/>
    <w:rsid w:val="00DE1D59"/>
    <w:rsid w:val="00DF1E47"/>
    <w:rsid w:val="00DF505C"/>
    <w:rsid w:val="00DF7082"/>
    <w:rsid w:val="00E07105"/>
    <w:rsid w:val="00E30D2C"/>
    <w:rsid w:val="00E30ED7"/>
    <w:rsid w:val="00E8387A"/>
    <w:rsid w:val="00E9518C"/>
    <w:rsid w:val="00EA21B4"/>
    <w:rsid w:val="00ED5EC7"/>
    <w:rsid w:val="00F3264F"/>
    <w:rsid w:val="00F35E07"/>
    <w:rsid w:val="00F41D67"/>
    <w:rsid w:val="00F51EFE"/>
    <w:rsid w:val="00F74AE6"/>
    <w:rsid w:val="00F8466D"/>
    <w:rsid w:val="00FB7B09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8FE9F1-69FC-49C1-B104-2223B3F2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7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3264F"/>
    <w:rPr>
      <w:rFonts w:cs="Times New Roman"/>
    </w:rPr>
  </w:style>
  <w:style w:type="paragraph" w:styleId="a5">
    <w:name w:val="footer"/>
    <w:basedOn w:val="a"/>
    <w:link w:val="a6"/>
    <w:uiPriority w:val="99"/>
    <w:rsid w:val="00F3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3264F"/>
    <w:rPr>
      <w:rFonts w:cs="Times New Roman"/>
    </w:rPr>
  </w:style>
  <w:style w:type="paragraph" w:styleId="a7">
    <w:name w:val="List Paragraph"/>
    <w:basedOn w:val="a"/>
    <w:uiPriority w:val="99"/>
    <w:qFormat/>
    <w:rsid w:val="00F3264F"/>
    <w:pPr>
      <w:ind w:left="720"/>
      <w:contextualSpacing/>
    </w:pPr>
  </w:style>
  <w:style w:type="character" w:customStyle="1" w:styleId="PEStyleFont3">
    <w:name w:val="PEStyleFont3"/>
    <w:uiPriority w:val="99"/>
    <w:rsid w:val="00846B2F"/>
    <w:rPr>
      <w:rFonts w:ascii="Times New Roman" w:hAnsi="Times New Roman" w:cs="Courier New"/>
      <w:spacing w:val="0"/>
      <w:position w:val="0"/>
      <w:sz w:val="28"/>
      <w:u w:val="none"/>
    </w:rPr>
  </w:style>
  <w:style w:type="paragraph" w:customStyle="1" w:styleId="PEStylePara1">
    <w:name w:val="PEStylePara1"/>
    <w:basedOn w:val="a"/>
    <w:next w:val="a"/>
    <w:uiPriority w:val="99"/>
    <w:rsid w:val="00846B2F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PEStyleFont2">
    <w:name w:val="PEStyleFont2"/>
    <w:uiPriority w:val="99"/>
    <w:rsid w:val="00846B2F"/>
    <w:rPr>
      <w:rFonts w:ascii="Times New Roman" w:hAnsi="Times New Roman" w:cs="Courier New"/>
      <w:spacing w:val="0"/>
      <w:position w:val="0"/>
      <w:sz w:val="28"/>
      <w:u w:val="none"/>
    </w:rPr>
  </w:style>
  <w:style w:type="paragraph" w:customStyle="1" w:styleId="PEStylePara0">
    <w:name w:val="PEStylePara0"/>
    <w:basedOn w:val="a8"/>
    <w:uiPriority w:val="99"/>
    <w:rsid w:val="00846B2F"/>
    <w:pPr>
      <w:keepNext/>
      <w:keepLines/>
      <w:jc w:val="center"/>
    </w:pPr>
    <w:rPr>
      <w:rFonts w:cs="Times New Roman"/>
    </w:rPr>
  </w:style>
  <w:style w:type="paragraph" w:styleId="a8">
    <w:name w:val="Plain Text"/>
    <w:basedOn w:val="a"/>
    <w:link w:val="a9"/>
    <w:uiPriority w:val="99"/>
    <w:rsid w:val="00846B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link w:val="a8"/>
    <w:uiPriority w:val="99"/>
    <w:locked/>
    <w:rsid w:val="00846B2F"/>
    <w:rPr>
      <w:rFonts w:ascii="Consolas" w:hAnsi="Consolas" w:cs="Consolas"/>
      <w:sz w:val="21"/>
      <w:szCs w:val="21"/>
    </w:rPr>
  </w:style>
  <w:style w:type="character" w:customStyle="1" w:styleId="PEStyleFont4">
    <w:name w:val="PEStyleFont4"/>
    <w:uiPriority w:val="99"/>
    <w:rsid w:val="00846B2F"/>
    <w:rPr>
      <w:rFonts w:ascii="Times New Roman" w:hAnsi="Times New Roman" w:cs="Courier New"/>
      <w:spacing w:val="0"/>
      <w:position w:val="0"/>
      <w:sz w:val="28"/>
      <w:u w:val="none"/>
    </w:rPr>
  </w:style>
  <w:style w:type="paragraph" w:customStyle="1" w:styleId="PEStylePara2">
    <w:name w:val="PEStylePara2"/>
    <w:basedOn w:val="PEStylePara0"/>
    <w:next w:val="PEStylePara0"/>
    <w:uiPriority w:val="99"/>
    <w:rsid w:val="00846B2F"/>
  </w:style>
  <w:style w:type="character" w:customStyle="1" w:styleId="PEStyleFont6">
    <w:name w:val="PEStyleFont6"/>
    <w:uiPriority w:val="99"/>
    <w:rsid w:val="00846B2F"/>
    <w:rPr>
      <w:rFonts w:ascii="Times New Roman" w:hAnsi="Times New Roman" w:cs="Courier New"/>
      <w:spacing w:val="0"/>
      <w:position w:val="0"/>
      <w:sz w:val="28"/>
      <w:u w:val="none"/>
    </w:rPr>
  </w:style>
  <w:style w:type="character" w:customStyle="1" w:styleId="PEStyleFont8">
    <w:name w:val="PEStyleFont8"/>
    <w:uiPriority w:val="99"/>
    <w:rsid w:val="00846B2F"/>
    <w:rPr>
      <w:rFonts w:ascii="Times New Roman" w:hAnsi="Times New Roman" w:cs="Courier New"/>
      <w:spacing w:val="0"/>
      <w:position w:val="0"/>
      <w:sz w:val="28"/>
      <w:u w:val="none"/>
    </w:rPr>
  </w:style>
  <w:style w:type="character" w:customStyle="1" w:styleId="PEStyleFont7">
    <w:name w:val="PEStyleFont7"/>
    <w:uiPriority w:val="99"/>
    <w:rsid w:val="00845F4A"/>
    <w:rPr>
      <w:rFonts w:ascii="Times New Roman" w:hAnsi="Times New Roman" w:cs="Courier New"/>
      <w:spacing w:val="0"/>
      <w:position w:val="0"/>
      <w:sz w:val="28"/>
      <w:u w:val="none"/>
    </w:rPr>
  </w:style>
  <w:style w:type="table" w:styleId="aa">
    <w:name w:val="Table Grid"/>
    <w:basedOn w:val="a1"/>
    <w:uiPriority w:val="99"/>
    <w:rsid w:val="00845F4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StyleFont5">
    <w:name w:val="PEStyleFont5"/>
    <w:uiPriority w:val="99"/>
    <w:rsid w:val="00845F4A"/>
    <w:rPr>
      <w:rFonts w:ascii="Times New Roman" w:hAnsi="Times New Roman" w:cs="Courier New"/>
      <w:spacing w:val="0"/>
      <w:position w:val="0"/>
      <w:sz w:val="28"/>
      <w:u w:val="none"/>
    </w:rPr>
  </w:style>
  <w:style w:type="paragraph" w:customStyle="1" w:styleId="PEStylePara3">
    <w:name w:val="PEStylePara3"/>
    <w:basedOn w:val="PEStylePara0"/>
    <w:next w:val="PEStylePara0"/>
    <w:uiPriority w:val="99"/>
    <w:rsid w:val="00845F4A"/>
  </w:style>
  <w:style w:type="paragraph" w:styleId="ab">
    <w:name w:val="Body Text"/>
    <w:basedOn w:val="a"/>
    <w:link w:val="ac"/>
    <w:uiPriority w:val="99"/>
    <w:rsid w:val="00F8466D"/>
    <w:pPr>
      <w:spacing w:after="0" w:line="240" w:lineRule="auto"/>
      <w:jc w:val="both"/>
    </w:pPr>
    <w:rPr>
      <w:rFonts w:ascii="Calisto MT" w:hAnsi="Calisto MT"/>
      <w:sz w:val="20"/>
      <w:szCs w:val="20"/>
      <w:lang w:val="en-GB" w:eastAsia="pt-PT"/>
    </w:rPr>
  </w:style>
  <w:style w:type="character" w:customStyle="1" w:styleId="ac">
    <w:name w:val="Основной текст Знак"/>
    <w:link w:val="ab"/>
    <w:uiPriority w:val="99"/>
    <w:locked/>
    <w:rsid w:val="00F8466D"/>
    <w:rPr>
      <w:rFonts w:ascii="Calisto MT" w:hAnsi="Calisto MT" w:cs="Times New Roman"/>
      <w:sz w:val="20"/>
      <w:szCs w:val="20"/>
      <w:lang w:val="en-GB" w:eastAsia="pt-PT"/>
    </w:rPr>
  </w:style>
  <w:style w:type="paragraph" w:styleId="ad">
    <w:name w:val="Balloon Text"/>
    <w:basedOn w:val="a"/>
    <w:link w:val="ae"/>
    <w:uiPriority w:val="99"/>
    <w:semiHidden/>
    <w:rsid w:val="001A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A0C3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rsid w:val="00E83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">
    <w:name w:val="Table Grid 1"/>
    <w:basedOn w:val="a1"/>
    <w:uiPriority w:val="99"/>
    <w:rsid w:val="00157035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28105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Nastiay</dc:creator>
  <cp:keywords/>
  <dc:description/>
  <cp:lastModifiedBy>admin</cp:lastModifiedBy>
  <cp:revision>2</cp:revision>
  <dcterms:created xsi:type="dcterms:W3CDTF">2014-03-25T10:08:00Z</dcterms:created>
  <dcterms:modified xsi:type="dcterms:W3CDTF">2014-03-25T10:08:00Z</dcterms:modified>
</cp:coreProperties>
</file>