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  <w:r w:rsidRPr="00F77391">
        <w:rPr>
          <w:bCs/>
          <w:iCs/>
          <w:noProof/>
          <w:color w:val="000000"/>
          <w:sz w:val="28"/>
          <w:szCs w:val="28"/>
        </w:rPr>
        <w:t>Омская государственная медицинская академия</w:t>
      </w: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  <w:r w:rsidRPr="00F77391">
        <w:rPr>
          <w:bCs/>
          <w:iCs/>
          <w:noProof/>
          <w:color w:val="000000"/>
          <w:sz w:val="28"/>
          <w:szCs w:val="28"/>
        </w:rPr>
        <w:t>Кафедра гигиены с курсом гигиены детей и подростков.</w:t>
      </w: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424F33" w:rsidRDefault="00424F33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  <w:lang w:val="uk-UA"/>
        </w:rPr>
      </w:pPr>
      <w:r>
        <w:rPr>
          <w:bCs/>
          <w:iCs/>
          <w:noProof/>
          <w:color w:val="000000"/>
          <w:sz w:val="28"/>
          <w:szCs w:val="28"/>
        </w:rPr>
        <w:t>Курсовая работа</w:t>
      </w:r>
    </w:p>
    <w:p w:rsidR="00F77391" w:rsidRPr="00F77391" w:rsidRDefault="00F77391" w:rsidP="00F77391">
      <w:pPr>
        <w:spacing w:line="360" w:lineRule="auto"/>
        <w:jc w:val="center"/>
        <w:rPr>
          <w:b/>
          <w:bCs/>
          <w:iCs/>
          <w:noProof/>
          <w:color w:val="000000"/>
          <w:sz w:val="28"/>
          <w:szCs w:val="28"/>
        </w:rPr>
      </w:pPr>
      <w:r w:rsidRPr="00F77391">
        <w:rPr>
          <w:b/>
          <w:bCs/>
          <w:iCs/>
          <w:noProof/>
          <w:color w:val="000000"/>
          <w:sz w:val="28"/>
          <w:szCs w:val="28"/>
        </w:rPr>
        <w:t>Профессиональные вредности в системе здравоохранения</w:t>
      </w: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pStyle w:val="3"/>
        <w:spacing w:line="360" w:lineRule="auto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pStyle w:val="3"/>
        <w:spacing w:line="360" w:lineRule="auto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pStyle w:val="3"/>
        <w:spacing w:line="360" w:lineRule="auto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pStyle w:val="3"/>
        <w:spacing w:line="360" w:lineRule="auto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pStyle w:val="3"/>
        <w:spacing w:line="360" w:lineRule="auto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pStyle w:val="3"/>
        <w:spacing w:line="360" w:lineRule="auto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pStyle w:val="3"/>
        <w:spacing w:line="360" w:lineRule="auto"/>
        <w:rPr>
          <w:bCs/>
          <w:iCs/>
          <w:noProof/>
          <w:color w:val="000000"/>
          <w:sz w:val="28"/>
          <w:szCs w:val="28"/>
        </w:rPr>
      </w:pPr>
    </w:p>
    <w:p w:rsidR="00F77391" w:rsidRPr="00F77391" w:rsidRDefault="00F77391" w:rsidP="00F77391">
      <w:pPr>
        <w:pStyle w:val="3"/>
        <w:spacing w:line="360" w:lineRule="auto"/>
        <w:rPr>
          <w:bCs/>
          <w:iCs/>
          <w:noProof/>
          <w:color w:val="000000"/>
          <w:sz w:val="28"/>
          <w:szCs w:val="28"/>
        </w:rPr>
      </w:pPr>
      <w:r w:rsidRPr="00F77391">
        <w:rPr>
          <w:bCs/>
          <w:iCs/>
          <w:noProof/>
          <w:color w:val="000000"/>
          <w:sz w:val="28"/>
          <w:szCs w:val="28"/>
        </w:rPr>
        <w:t>Омск-2006</w:t>
      </w:r>
    </w:p>
    <w:p w:rsidR="00C87051" w:rsidRPr="00F77391" w:rsidRDefault="00F7739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br w:type="page"/>
      </w:r>
      <w:r w:rsidR="00C87051" w:rsidRPr="00F77391">
        <w:rPr>
          <w:noProof/>
          <w:color w:val="000000"/>
          <w:sz w:val="28"/>
          <w:szCs w:val="28"/>
        </w:rPr>
        <w:t>Профессиональные заболевания медработников растут на 8% в год. Это инфекции, лекарственные аллергии, интоксикации, тугоухость, полиневриты, дисбактериоз.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7391">
        <w:rPr>
          <w:b/>
          <w:noProof/>
          <w:color w:val="000000"/>
          <w:sz w:val="28"/>
          <w:szCs w:val="28"/>
        </w:rPr>
        <w:t>Основные факторы ПС медработников:</w:t>
      </w:r>
    </w:p>
    <w:p w:rsidR="00C87051" w:rsidRPr="00F77391" w:rsidRDefault="00C87051" w:rsidP="00F7739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Физические: лазер, радиация, ультразвук, шум, вибрация, неблагоприятный микроклимат.</w:t>
      </w:r>
    </w:p>
    <w:p w:rsidR="00C87051" w:rsidRPr="00F77391" w:rsidRDefault="00C87051" w:rsidP="00F7739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Химические: Соединения серы, фтора; уксусная, азотная кислоты; формальдегид, ртуть; пары этилового спирта, йода, анестетиков.</w:t>
      </w:r>
    </w:p>
    <w:p w:rsidR="00C87051" w:rsidRPr="00F77391" w:rsidRDefault="00C87051" w:rsidP="00F7739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Факторы физиологической природы: психоэмоциональное напряжение, мышечное напряжение, вынужденная рабочая поза, напряжение анализаторов.</w:t>
      </w:r>
    </w:p>
    <w:p w:rsidR="00C87051" w:rsidRPr="00F77391" w:rsidRDefault="00C87051" w:rsidP="00F7739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Биологические: вирусы, патогенная микрофлора, белково-витаминные пре5параты, иммунологические средства.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7391">
        <w:rPr>
          <w:b/>
          <w:noProof/>
          <w:color w:val="000000"/>
          <w:sz w:val="28"/>
          <w:szCs w:val="28"/>
        </w:rPr>
        <w:t>Причины возникновения профессиональных заболеваний:</w:t>
      </w:r>
    </w:p>
    <w:p w:rsidR="00C87051" w:rsidRPr="00F77391" w:rsidRDefault="00C87051" w:rsidP="00F7739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Нарушение техники безопасности</w:t>
      </w:r>
    </w:p>
    <w:p w:rsidR="00C87051" w:rsidRPr="00F77391" w:rsidRDefault="00C87051" w:rsidP="00F7739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Неприменение средств индивидуальной защиты</w:t>
      </w:r>
    </w:p>
    <w:p w:rsidR="00C87051" w:rsidRPr="00F77391" w:rsidRDefault="00C87051" w:rsidP="00F7739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Отсутствие средств индивидуальной защиты</w:t>
      </w:r>
    </w:p>
    <w:p w:rsidR="00C87051" w:rsidRPr="00F77391" w:rsidRDefault="00C87051" w:rsidP="00F7739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Обеспеченность комнатами отдыха для медработников – 45%</w:t>
      </w:r>
    </w:p>
    <w:p w:rsidR="00C87051" w:rsidRPr="00F77391" w:rsidRDefault="00C87051" w:rsidP="00F7739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Нерациональное питание</w:t>
      </w:r>
    </w:p>
    <w:p w:rsidR="00C87051" w:rsidRPr="00F77391" w:rsidRDefault="00C87051" w:rsidP="00F7739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Нарушение проведения плановой вакцинации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7391">
        <w:rPr>
          <w:b/>
          <w:noProof/>
          <w:color w:val="000000"/>
          <w:sz w:val="28"/>
          <w:szCs w:val="28"/>
        </w:rPr>
        <w:t>Физические факторы: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Воздействие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ионизирующих излучений (хирурги, рентгенохирургические бригады)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Лазерное излучение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Ультразвук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Шумовибрационный фактор (ПДУ шума 80 Дб, если эта величина превышена – поражение рецепторов улитки с развитием нейросенсорной тугоухости.)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Факторы риска: избыточная масса тела, повышение содержания холестерина, артериальная гипертензия.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Заболевания от действия физических факторов.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Наиболее опасно ионизирующее и неионизирующее излучение, вызывающие:</w:t>
      </w:r>
    </w:p>
    <w:p w:rsidR="00C87051" w:rsidRPr="00F77391" w:rsidRDefault="00C87051" w:rsidP="00F7739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Лучевая болезнь, местные лучевые поражения</w:t>
      </w:r>
    </w:p>
    <w:p w:rsidR="00C87051" w:rsidRPr="00F77391" w:rsidRDefault="00C87051" w:rsidP="00F7739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Вегето-сосудистая дистония; астенический и астено-депрессивный синдром</w:t>
      </w:r>
    </w:p>
    <w:p w:rsidR="00C87051" w:rsidRPr="00F77391" w:rsidRDefault="00C87051" w:rsidP="00F7739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Местные повреждения тканей лазерным излучением</w:t>
      </w:r>
    </w:p>
    <w:p w:rsidR="00C87051" w:rsidRPr="00F77391" w:rsidRDefault="00C87051" w:rsidP="00F7739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Вегето-сенсорная полиневропатия рук</w:t>
      </w:r>
    </w:p>
    <w:p w:rsidR="00C87051" w:rsidRPr="00F77391" w:rsidRDefault="00C87051" w:rsidP="00F7739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Катаракты</w:t>
      </w:r>
    </w:p>
    <w:p w:rsidR="00C87051" w:rsidRPr="00F77391" w:rsidRDefault="00C87051" w:rsidP="00F7739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Опухоли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Лучевая болезнь.</w:t>
      </w:r>
    </w:p>
    <w:p w:rsidR="00F7739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Естественно, наиболее подвержены действию ионизирующего излучения те, кто обслуживает рентген-кабинеты, радиологические лаборатории, а также – рентгенохирургические бригады.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Нормативы основных дозовых пределов облучения для организма и отдельных органов изложены: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«Нормы радиационной безопасности НРБ 76/87»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«Санитарные правила работы при проведении медицинских рентген-исследований», 1981г.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Известно, что биологическое действие ионизирующего излучения в первую очередь определяется величиной поглощенной дозы и наиболее активно проявляется в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активно пролиферирующих, недифференцированных тканях.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Лучевая болезнь – довольно редкое проявление действия ионизирующего излучения на медицинских работников, но при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достижении определенного уровня доз может развиться хроническая лучевая болезнь.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У медицинских работников при контакте с соответствующей аппаратурой вероятность отрицательного действия рентген -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и гамма-излучений повышается в случае плохой защиты трубки, пренебрежении средствами индивидуальной защиты или при их изношенности.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При постановке профессионального диагноза важно использовать следующие критерии (Гуськов, 1996г.):</w:t>
      </w:r>
    </w:p>
    <w:p w:rsidR="00C87051" w:rsidRPr="00F77391" w:rsidRDefault="00C87051" w:rsidP="00F7739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Регресс симптомов при прекращении облучения</w:t>
      </w:r>
    </w:p>
    <w:p w:rsidR="00F77391" w:rsidRPr="00F77391" w:rsidRDefault="00C87051" w:rsidP="00F7739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Развитие клинической симптоматики поражения критических органов, характерного для данного вида радиационного воздействия (рак кожи рук рентгенологов)</w:t>
      </w:r>
    </w:p>
    <w:p w:rsidR="00C87051" w:rsidRPr="00F77391" w:rsidRDefault="00C87051" w:rsidP="00F7739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Исключение общесоматических заболеваний со схожими клиническими симптомами (лимфолейкоз)</w:t>
      </w:r>
    </w:p>
    <w:p w:rsidR="00C87051" w:rsidRPr="00F77391" w:rsidRDefault="00C87051" w:rsidP="00F7739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Анализ влияния других факторов производственной среды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Профилактика: строгое соблюдение техники безопасности, своевременное и тщательное прохождение медосмотра. Существует ряд противопоказаний к работе с источниками ионизирующего излучения: органические поражения ЦНС, эпилепсия, нарушение ОМЦ, дерматиты, катаракта, все заболевания крови и печени.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Опухоли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Развиваются в результате прямого действия канцерогенного фактора на ткани либо опосредованно путем влияния на нейроэндокринные органы и иммунную систему.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Опухоли кожи: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Причиной образования этого вида новообразований может быть действие рентген-лучей или контакт с радиоактивными соединениями. Возникает на коже рук, преимущественно на пальцах (рак кожи рук рентгенологов). Начинается с хронического дерматита. Латентный период развития профессионального рака от 1 до 7 лет.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Лейкозы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Развиваются при контакте с ионизирующей радиацией, бензолом, этиленоксидом (используется при стерилизации). В группе наибольшего риска – рабочие, занятые в производстве фармацевтических препаратов (растворителем зачастую является бензол). У радиологов лейкозы возникают обычно при несоблюдении техники безопасности. Чаще встречается миелолейкоз. Профессиональную природу заболевания подтверждает длительный, более 18 лет, стаж работы в контакте с ионизирующим излучением.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Профилактика: первичные мероприятия сводятся к гигиенической регламентации канцерогенов; осуществлению мероприятий, направленных на уменьшение контакта с канцерогеном; контролю за загрязнением; запрету работы людям с хромосомной нестабильностью, иммунологическим статусом. Существенное значение имеет ранее выявление и лечение хронических фоновых и предопухолевых заболеваний.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Действие лазерного излучения.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По сути лазерное излучение – это электромагнитное излучение, которое характеризуется строгой направленностью, высокой интенсивностью излучаемой энергии. Лазерное излучение нашло широкое применение в медицине: лазерная хирургия, фотокоагуляция и деструкция, физиотерапия.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Максимальное поглощение лазерной энергии производится пигментными клетками, отсюда – частое поражение глаз и кожи. Помимо этого, лазерное излучение оказывает системное действие - на нервную систему.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Развитию патологии способствуют следующие факторы:</w:t>
      </w:r>
    </w:p>
    <w:p w:rsidR="00C87051" w:rsidRPr="00F77391" w:rsidRDefault="00C87051" w:rsidP="00F77391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Диффузное отраженное и рассеянное лазерное излучение</w:t>
      </w:r>
    </w:p>
    <w:p w:rsidR="00C87051" w:rsidRPr="00F77391" w:rsidRDefault="00C87051" w:rsidP="00F77391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Недостаточная освещенность объектов воздействия</w:t>
      </w:r>
    </w:p>
    <w:p w:rsidR="00C87051" w:rsidRPr="00F77391" w:rsidRDefault="00C87051" w:rsidP="00F77391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Импульсный шум (в процессе работы лазерной установки)</w:t>
      </w:r>
    </w:p>
    <w:p w:rsidR="00C87051" w:rsidRPr="00F77391" w:rsidRDefault="00C87051" w:rsidP="00F77391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Нервно-эмоциональное напряжение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Наиболее поражаемая часть – сетчатка, у которой имеется фокусирующие свойства собственной оптической системы. В легких случаях развиваются преходящие функциональные расстройства: нарушения темновой адаптации, преходящая слепота. В тяжелых – скотома (выпадение части поля зрения).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Кроме того может развиться катаракта, ожоги радужки. При длительном действии диффузного и рассеянного излучения появляются тупые боли, утомляемость, жжение, слезотечение, уменьшение полей зрения.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Лазерное излучение влияет и на кожу, наиболее опасны СО2 –лазеры (длина волны 10,6), при действии прямого и отраженного излучения развивается эритема, ожоги и вплоть до полного разрушения и разрыва кожных покровов. При длительном хроническом воздействии малоинтенсивных рассеянных лазерных лучей обычно специфической дерматопатологии не возникает.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Со стороны нервной системы – астенический, астеновегетативный синдром и вегето-сосудистые дистонии. Реже развивается гипоталамический синдром – перестройка нервно-гуморальных механизмов с клиническими проявлениями поражения гипоталамо-гипофизарно-адреналовой, - тиреоидной, - гонадной систем.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87051" w:rsidRPr="00F77391" w:rsidRDefault="00C87051" w:rsidP="00F7739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7391">
        <w:rPr>
          <w:b/>
          <w:noProof/>
          <w:color w:val="000000"/>
          <w:sz w:val="28"/>
          <w:szCs w:val="28"/>
        </w:rPr>
        <w:t>Критический предел мощности излучений в зависимости от вида лазера.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119"/>
        <w:gridCol w:w="1541"/>
        <w:gridCol w:w="1361"/>
        <w:gridCol w:w="1457"/>
        <w:gridCol w:w="1554"/>
        <w:gridCol w:w="1539"/>
      </w:tblGrid>
      <w:tr w:rsidR="00C87051" w:rsidRPr="004176A4" w:rsidTr="004176A4">
        <w:tc>
          <w:tcPr>
            <w:tcW w:w="1107" w:type="pct"/>
            <w:vMerge w:val="restar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Вид лазера</w:t>
            </w:r>
          </w:p>
        </w:tc>
        <w:tc>
          <w:tcPr>
            <w:tcW w:w="805" w:type="pct"/>
            <w:vMerge w:val="restar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Длина волны, мкм</w:t>
            </w:r>
          </w:p>
        </w:tc>
        <w:tc>
          <w:tcPr>
            <w:tcW w:w="3088" w:type="pct"/>
            <w:gridSpan w:val="4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Верхний предел мощности</w:t>
            </w:r>
          </w:p>
        </w:tc>
      </w:tr>
      <w:tr w:rsidR="00C87051" w:rsidRPr="004176A4" w:rsidTr="004176A4">
        <w:tc>
          <w:tcPr>
            <w:tcW w:w="1107" w:type="pct"/>
            <w:vMerge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1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Кл.I, мкВт</w:t>
            </w:r>
          </w:p>
        </w:tc>
        <w:tc>
          <w:tcPr>
            <w:tcW w:w="761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Кл.II, мВт</w:t>
            </w:r>
          </w:p>
        </w:tc>
        <w:tc>
          <w:tcPr>
            <w:tcW w:w="812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Кл.III, Вт</w:t>
            </w:r>
          </w:p>
        </w:tc>
        <w:tc>
          <w:tcPr>
            <w:tcW w:w="804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Кл.IV, Вт</w:t>
            </w:r>
          </w:p>
        </w:tc>
      </w:tr>
      <w:tr w:rsidR="00C87051" w:rsidRPr="004176A4" w:rsidTr="004176A4">
        <w:tc>
          <w:tcPr>
            <w:tcW w:w="1107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Гелий-неоновый</w:t>
            </w:r>
          </w:p>
        </w:tc>
        <w:tc>
          <w:tcPr>
            <w:tcW w:w="805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0,6328</w:t>
            </w:r>
          </w:p>
        </w:tc>
        <w:tc>
          <w:tcPr>
            <w:tcW w:w="711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6,8</w:t>
            </w:r>
          </w:p>
        </w:tc>
        <w:tc>
          <w:tcPr>
            <w:tcW w:w="761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812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804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Менее 0,5</w:t>
            </w:r>
          </w:p>
        </w:tc>
      </w:tr>
      <w:tr w:rsidR="00C87051" w:rsidRPr="004176A4" w:rsidTr="004176A4">
        <w:tc>
          <w:tcPr>
            <w:tcW w:w="1107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Аргоновый</w:t>
            </w:r>
          </w:p>
        </w:tc>
        <w:tc>
          <w:tcPr>
            <w:tcW w:w="805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0,5145</w:t>
            </w:r>
          </w:p>
        </w:tc>
        <w:tc>
          <w:tcPr>
            <w:tcW w:w="711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0,4</w:t>
            </w:r>
          </w:p>
        </w:tc>
        <w:tc>
          <w:tcPr>
            <w:tcW w:w="761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812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804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Менее 0,5</w:t>
            </w:r>
          </w:p>
        </w:tc>
      </w:tr>
      <w:tr w:rsidR="00C87051" w:rsidRPr="004176A4" w:rsidTr="004176A4">
        <w:tc>
          <w:tcPr>
            <w:tcW w:w="1107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Углекислый</w:t>
            </w:r>
          </w:p>
        </w:tc>
        <w:tc>
          <w:tcPr>
            <w:tcW w:w="805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10,6</w:t>
            </w:r>
          </w:p>
        </w:tc>
        <w:tc>
          <w:tcPr>
            <w:tcW w:w="711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0,8</w:t>
            </w:r>
          </w:p>
        </w:tc>
        <w:tc>
          <w:tcPr>
            <w:tcW w:w="761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2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804" w:type="pct"/>
            <w:shd w:val="clear" w:color="auto" w:fill="auto"/>
          </w:tcPr>
          <w:p w:rsidR="00C87051" w:rsidRPr="004176A4" w:rsidRDefault="00C87051" w:rsidP="004176A4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4176A4">
              <w:rPr>
                <w:noProof/>
                <w:color w:val="000000"/>
                <w:sz w:val="20"/>
                <w:szCs w:val="28"/>
              </w:rPr>
              <w:t>Менее 0,5</w:t>
            </w:r>
          </w:p>
        </w:tc>
      </w:tr>
    </w:tbl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Меры безопасности в зависимости от класса.</w:t>
      </w:r>
    </w:p>
    <w:p w:rsidR="00C87051" w:rsidRPr="00F77391" w:rsidRDefault="00C87051" w:rsidP="00F7739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Не требуются</w:t>
      </w:r>
    </w:p>
    <w:p w:rsidR="00C87051" w:rsidRPr="00F77391" w:rsidRDefault="00C87051" w:rsidP="00F7739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Надписи: «Опасно! Лазерное излучение!»</w:t>
      </w:r>
    </w:p>
    <w:p w:rsidR="00C87051" w:rsidRPr="00F77391" w:rsidRDefault="00C87051" w:rsidP="00F7739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Средства индивидуальной защиты глаз, кожи, предупредительные надписи.</w:t>
      </w:r>
    </w:p>
    <w:p w:rsidR="00C87051" w:rsidRPr="00F77391" w:rsidRDefault="00C87051" w:rsidP="00F7739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Строгие меры по контролю защиты, дистанционное управление.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7391">
        <w:rPr>
          <w:b/>
          <w:noProof/>
          <w:color w:val="000000"/>
          <w:sz w:val="28"/>
          <w:szCs w:val="28"/>
        </w:rPr>
        <w:t>Химические факторы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Заболевания токсико-химической этиологии.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Воздействие химических веществ чаще носит комбинированный характер (ингаляция нескольких соединений), комбинированный (одно и тоже вещество поступает несколькими путями), сочетанный характер.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Болезни ВДП.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 данном случае поражения химическими веществами связано с прямым их действием. Это соединений хлора и серы, азотная, уксусная кислоты, формальдегид. Влияние этих раздражающих веществ носит в основном хронический характер. В основе патогенеза поражения – агрессивная форма хронического воспаления, со склонностью к деструктивным поражениям и дальнейшему склерозирования. Проявляется катаром слизистой, в начале катарального характера, в дальнейшем суб- и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 xml:space="preserve">атрофического. 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У людей с большим стажем работы поражения обычно комбинированные. Клинические проявления: затруднение дыхания, выделения из носа слизистого и слизисто-гнойного характера; развивается хронический фарингит, хронический ларингит, приводящий к дисфонии.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Токсико-аллергические гепатиты.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 xml:space="preserve">Развиваются от воздействия средств для наркоза и препаратов антибиотиков. Известно, что наркотические вещества неоднородны, это и углеводороды, и кетоны, и алкоголи. Их характерное свойство – метаболические превращения в печени и выведение через легкие в неизменном виде (до 20%), что создает условия для хронического воздействия на организм персонала. При хроническом действии нарушение метаболизма в гепатоцитах приводит к снижению синтеза белка и гликогена, нарушению метаболизма триглицеридов и снижению транспорта жирных кислот. Перегруженные жиром гепатоциты погибают, развивается воспалительный процесс. Гепатит имеет персистирующий характер. 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Признаки проявляются через 10-20 лет и проявляются гепатобилиарным синдромом. Диагностика достаточно трудна, основная роль отводится биохимическим исследованиям.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Заболевания крови токсико-аллергического генеза.</w:t>
      </w:r>
    </w:p>
    <w:p w:rsidR="00F7739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Встречаются в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условиях профессионального контакта с ароматическими углеводородами (лабораторные работы), сульфаниламидами, НПВС, цитостатиками.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Обычно ведущим является анемический синдром, если превалирует угнетение тромбоцитопоэза, то развиваются признаки геморрагического синдрома. При выраженных формах хронической интоксикации (аминобензол, бензидин, гексан) могут развиться анемия и геморрагический диатез.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Часто самые первые признаки интоксикации – транзиторные лейкопении и нейтропении.</w:t>
      </w:r>
    </w:p>
    <w:p w:rsidR="00F7739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Поражения нервной системы токсико-химической этиологии.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 xml:space="preserve">Отравления ртутью. 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Острое отравление.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 xml:space="preserve">Происходит при технических неисправностях измерительных приборов, применение </w:t>
      </w:r>
      <w:r w:rsidR="008B15B8" w:rsidRPr="00F77391">
        <w:rPr>
          <w:noProof/>
          <w:color w:val="000000"/>
          <w:sz w:val="28"/>
          <w:szCs w:val="28"/>
        </w:rPr>
        <w:t>ртутьсодержащих</w:t>
      </w:r>
      <w:r w:rsidRPr="00F77391">
        <w:rPr>
          <w:noProof/>
          <w:color w:val="000000"/>
          <w:sz w:val="28"/>
          <w:szCs w:val="28"/>
        </w:rPr>
        <w:t xml:space="preserve"> препаратов. Ртуть испаряется уже при минусовой температуре, хорошо депонируется в пористых материалах. В основном острое </w:t>
      </w:r>
      <w:r w:rsidR="008B15B8" w:rsidRPr="00F77391">
        <w:rPr>
          <w:noProof/>
          <w:color w:val="000000"/>
          <w:sz w:val="28"/>
          <w:szCs w:val="28"/>
        </w:rPr>
        <w:t>отравление</w:t>
      </w:r>
      <w:r w:rsidRPr="00F77391">
        <w:rPr>
          <w:noProof/>
          <w:color w:val="000000"/>
          <w:sz w:val="28"/>
          <w:szCs w:val="28"/>
        </w:rPr>
        <w:t xml:space="preserve"> наблюдается при аварийных разливах ртути из приборов. Появляется металлический привкус во рту, головная боль, диспепсические явления. В дальнейшем развивается геморрагический синдром, стоматит, нефропатия, хронический колит, поражения печени.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Хроническое отравление.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 xml:space="preserve">Преимущественно поражается нервная система. Развивается синдром </w:t>
      </w:r>
      <w:r w:rsidR="008B15B8" w:rsidRPr="00F77391">
        <w:rPr>
          <w:noProof/>
          <w:color w:val="000000"/>
          <w:sz w:val="28"/>
          <w:szCs w:val="28"/>
        </w:rPr>
        <w:t>ртутного</w:t>
      </w:r>
      <w:r w:rsidRPr="00F77391">
        <w:rPr>
          <w:noProof/>
          <w:color w:val="000000"/>
          <w:sz w:val="28"/>
          <w:szCs w:val="28"/>
        </w:rPr>
        <w:t xml:space="preserve"> эритизма – слабость, нарушение сна, эмоциональная лабильность, снижается память. Наиболее ранний синдром – тремор пальцев. Нарушается вегетативные функции и функции эндокринных желез. По Костову (1995г.) хроническое отравление ртутью проявляется </w:t>
      </w:r>
      <w:r w:rsidR="008B15B8" w:rsidRPr="00F77391">
        <w:rPr>
          <w:noProof/>
          <w:color w:val="000000"/>
          <w:sz w:val="28"/>
          <w:szCs w:val="28"/>
        </w:rPr>
        <w:t>следующими</w:t>
      </w:r>
      <w:r w:rsidRPr="00F77391">
        <w:rPr>
          <w:noProof/>
          <w:color w:val="000000"/>
          <w:sz w:val="28"/>
          <w:szCs w:val="28"/>
        </w:rPr>
        <w:t xml:space="preserve"> формами: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52% - невротический синдром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22% - нейроциркуляторная дистония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59% - пароодонтопатии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31% - желудочно-кишечный синдром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Токсическое действие антибиотиков.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По Уоотингтону (1981г.) в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21%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анализов воздух рабочих помещений аптек имеет содержание пыли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 xml:space="preserve">препаратов-антибиотиков с превышением </w:t>
      </w:r>
      <w:r w:rsidR="008B15B8" w:rsidRPr="00F77391">
        <w:rPr>
          <w:noProof/>
          <w:color w:val="000000"/>
          <w:sz w:val="28"/>
          <w:szCs w:val="28"/>
        </w:rPr>
        <w:t>нормы</w:t>
      </w:r>
      <w:r w:rsidRPr="00F77391">
        <w:rPr>
          <w:noProof/>
          <w:color w:val="000000"/>
          <w:sz w:val="28"/>
          <w:szCs w:val="28"/>
        </w:rPr>
        <w:t xml:space="preserve"> в 5 раз.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Вредное действие антибиотиков проявляется при загрязнении кожи, ингаляционном поступлении, проведении ингаляционных и аэрозольно-ингаляционных процедур, кипячении загрязненного инструментария. Вызывают поражения нервной системы, сердечно-сосудистой, поражения печени.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Наиболее опасны: аминогликозиды, цефалоспорины, сульфаниламиды, рубомицин, 6 – меркаптопурин.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 xml:space="preserve">Поражения ЦНС проявляются синдромом вегето-сосудистой дистонии и признаками гипоталамической дисфункции. 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 xml:space="preserve">Поражения </w:t>
      </w:r>
      <w:r w:rsidR="008B15B8" w:rsidRPr="00F77391">
        <w:rPr>
          <w:noProof/>
          <w:color w:val="000000"/>
          <w:sz w:val="28"/>
          <w:szCs w:val="28"/>
        </w:rPr>
        <w:t>нервной периферической</w:t>
      </w:r>
      <w:r w:rsidRPr="00F77391">
        <w:rPr>
          <w:noProof/>
          <w:color w:val="000000"/>
          <w:sz w:val="28"/>
          <w:szCs w:val="28"/>
        </w:rPr>
        <w:t xml:space="preserve"> системы невритом слуховых нервов. 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Поражения сердечнососудистой – токсико-аллергическим миокардитом.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Поражения печени – хронический лекарственный гепатит.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 80-е годы проводилось изучение состояния здоровья рабочих (153 человека), изготавливающих антибиотики – тетрациклин, олеотетрин, олеандомицин. Первая группа преимущественно подвергалась действию тетрациклина, вторая – действию всех трех антибиотиков.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 первой группе отмечалось: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49% - головная боль, нарушение сна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28,2% - повышение сухожильных рефлексов, снижение корнеальных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11,5% - болевая гиперестезия по типу «коротких перчаток»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Во второй группе помимо функциональных нарушений выявлена микроорганическая симптоматика.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 xml:space="preserve">21,3% - 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13,3% - устойчивый нистагм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58,5% - акрогипотермия с гипергидрозом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23,9% - повышение сухожильных рефлексов, снижение корнеальных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24% - болевая гиперестезия по типу «коротких перчаток»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Профилактика: средства индивидуальной и коллективной защиты; проведение профосмотров и выявление лиц с отягощенным аллергологическим анамнезом, раннее выявление функциональных нарушений.</w:t>
      </w:r>
    </w:p>
    <w:p w:rsidR="00C87051" w:rsidRPr="00F77391" w:rsidRDefault="008B15B8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Физиологические</w:t>
      </w:r>
      <w:r w:rsidR="00C87051" w:rsidRPr="00F77391">
        <w:rPr>
          <w:noProof/>
          <w:color w:val="000000"/>
          <w:sz w:val="28"/>
          <w:szCs w:val="28"/>
        </w:rPr>
        <w:t xml:space="preserve"> факторы – повышенная психоэмоциональная и мышечная нагрузка, вынужденной положение. Подвержены хирурги, акушеры гинекологи, врачи скорой помощи.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Вынужденная рабочая поза приведет к развитию радикулопатий, заболеваний позвоночника, деформаций суставов.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Риск профессионального инфицирования: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Гематологи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Реаниматологи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Стоматологи</w:t>
      </w:r>
    </w:p>
    <w:p w:rsidR="00C87051" w:rsidRPr="00F77391" w:rsidRDefault="00C87051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Хирурги</w:t>
      </w:r>
    </w:p>
    <w:p w:rsidR="008B15B8" w:rsidRPr="00F77391" w:rsidRDefault="00F77391" w:rsidP="00F7739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br w:type="page"/>
      </w:r>
      <w:r w:rsidR="008B15B8" w:rsidRPr="00F77391">
        <w:rPr>
          <w:b/>
          <w:noProof/>
          <w:color w:val="000000"/>
          <w:sz w:val="28"/>
          <w:szCs w:val="28"/>
        </w:rPr>
        <w:t>С</w:t>
      </w:r>
      <w:r w:rsidRPr="00F77391">
        <w:rPr>
          <w:b/>
          <w:noProof/>
          <w:color w:val="000000"/>
          <w:sz w:val="28"/>
          <w:szCs w:val="28"/>
        </w:rPr>
        <w:t>писок использованной литературы</w:t>
      </w:r>
    </w:p>
    <w:p w:rsidR="008B15B8" w:rsidRPr="00F77391" w:rsidRDefault="008B15B8" w:rsidP="00F7739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15B8" w:rsidRPr="00F77391" w:rsidRDefault="008B15B8" w:rsidP="00F77391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Гигиена детей и подростков под редакцией В.Н.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Кардашенко – М.: Медицина, 1988 год.</w:t>
      </w:r>
    </w:p>
    <w:p w:rsidR="008B15B8" w:rsidRPr="00F77391" w:rsidRDefault="008B15B8" w:rsidP="00F77391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Гигиена детей и подростков: Учебник для студентов старших курсов, интернов, клинических ординаторов медицинских ВУЗов, автор В.В.</w:t>
      </w:r>
      <w:r w:rsidR="00F77391" w:rsidRPr="00F77391">
        <w:rPr>
          <w:noProof/>
          <w:color w:val="000000"/>
          <w:sz w:val="28"/>
          <w:szCs w:val="28"/>
        </w:rPr>
        <w:t xml:space="preserve"> </w:t>
      </w:r>
      <w:r w:rsidRPr="00F77391">
        <w:rPr>
          <w:noProof/>
          <w:color w:val="000000"/>
          <w:sz w:val="28"/>
          <w:szCs w:val="28"/>
        </w:rPr>
        <w:t>Кучма – М.: Медицина, 2000 год.</w:t>
      </w:r>
    </w:p>
    <w:p w:rsidR="008B15B8" w:rsidRPr="00F77391" w:rsidRDefault="008B15B8" w:rsidP="00F77391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Основы педиатрии и гигиены детей дошкольного возраста: Учебное пособие для студентов « Педагогика и психология дошкольников» ВУЗов. Ред. М.П. Дорошкевич, М.П. Кравцов – Минск « Университетское» 2002.</w:t>
      </w:r>
    </w:p>
    <w:p w:rsidR="008B15B8" w:rsidRPr="00F77391" w:rsidRDefault="008B15B8" w:rsidP="00F77391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77391">
        <w:rPr>
          <w:noProof/>
          <w:color w:val="000000"/>
          <w:sz w:val="28"/>
          <w:szCs w:val="28"/>
        </w:rPr>
        <w:t>www.crc.ru</w:t>
      </w:r>
      <w:bookmarkStart w:id="0" w:name="_GoBack"/>
      <w:bookmarkEnd w:id="0"/>
    </w:p>
    <w:sectPr w:rsidR="008B15B8" w:rsidRPr="00F77391" w:rsidSect="00F7739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A4" w:rsidRDefault="004176A4">
      <w:r>
        <w:separator/>
      </w:r>
    </w:p>
  </w:endnote>
  <w:endnote w:type="continuationSeparator" w:id="0">
    <w:p w:rsidR="004176A4" w:rsidRDefault="0041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A4" w:rsidRDefault="004176A4">
      <w:r>
        <w:separator/>
      </w:r>
    </w:p>
  </w:footnote>
  <w:footnote w:type="continuationSeparator" w:id="0">
    <w:p w:rsidR="004176A4" w:rsidRDefault="0041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360B"/>
    <w:multiLevelType w:val="hybridMultilevel"/>
    <w:tmpl w:val="9C60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590945"/>
    <w:multiLevelType w:val="hybridMultilevel"/>
    <w:tmpl w:val="1CFEAE00"/>
    <w:lvl w:ilvl="0" w:tplc="28B070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A517AD"/>
    <w:multiLevelType w:val="hybridMultilevel"/>
    <w:tmpl w:val="D766F9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AF6C57"/>
    <w:multiLevelType w:val="hybridMultilevel"/>
    <w:tmpl w:val="6310D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0C3FA5"/>
    <w:multiLevelType w:val="hybridMultilevel"/>
    <w:tmpl w:val="BCBC1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E497C"/>
    <w:multiLevelType w:val="hybridMultilevel"/>
    <w:tmpl w:val="D408A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736064"/>
    <w:multiLevelType w:val="hybridMultilevel"/>
    <w:tmpl w:val="B9C2FE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520"/>
    <w:rsid w:val="00160F3F"/>
    <w:rsid w:val="004176A4"/>
    <w:rsid w:val="00424F33"/>
    <w:rsid w:val="005837E6"/>
    <w:rsid w:val="00687520"/>
    <w:rsid w:val="007C0469"/>
    <w:rsid w:val="008A392B"/>
    <w:rsid w:val="008B15B8"/>
    <w:rsid w:val="00C87051"/>
    <w:rsid w:val="00C97CBB"/>
    <w:rsid w:val="00EA087B"/>
    <w:rsid w:val="00F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E9123B-2676-422D-A301-A42E6BEF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51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87051"/>
    <w:pPr>
      <w:keepNext/>
      <w:jc w:val="center"/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8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C87051"/>
    <w:pPr>
      <w:jc w:val="center"/>
    </w:pPr>
    <w:rPr>
      <w:sz w:val="56"/>
      <w:szCs w:val="56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F77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F77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table" w:styleId="aa">
    <w:name w:val="Table Professional"/>
    <w:basedOn w:val="a1"/>
    <w:uiPriority w:val="99"/>
    <w:rsid w:val="00F773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Профессиональные заболевания медработников растут на 8% в год</vt:lpstr>
    </vt:vector>
  </TitlesOfParts>
  <Company>Chip</Company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Профессиональные заболевания медработников растут на 8% в год</dc:title>
  <dc:subject/>
  <dc:creator>User173 </dc:creator>
  <cp:keywords/>
  <dc:description/>
  <cp:lastModifiedBy>admin</cp:lastModifiedBy>
  <cp:revision>2</cp:revision>
  <dcterms:created xsi:type="dcterms:W3CDTF">2014-04-18T09:44:00Z</dcterms:created>
  <dcterms:modified xsi:type="dcterms:W3CDTF">2014-04-18T09:44:00Z</dcterms:modified>
</cp:coreProperties>
</file>