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CF4" w:rsidRPr="00E03C26" w:rsidRDefault="00920CF4" w:rsidP="00E03C26">
      <w:pPr>
        <w:pStyle w:val="1"/>
        <w:keepNext w:val="0"/>
        <w:widowControl w:val="0"/>
        <w:spacing w:before="0" w:after="0" w:line="360" w:lineRule="auto"/>
        <w:rPr>
          <w:rFonts w:ascii="Times New Roman" w:hAnsi="Times New Roman"/>
          <w:sz w:val="28"/>
          <w:szCs w:val="28"/>
        </w:rPr>
      </w:pPr>
      <w:bookmarkStart w:id="0" w:name="_Toc274050997"/>
      <w:r w:rsidRPr="00E03C26">
        <w:rPr>
          <w:rFonts w:ascii="Times New Roman" w:hAnsi="Times New Roman"/>
          <w:sz w:val="28"/>
          <w:szCs w:val="28"/>
        </w:rPr>
        <w:t>Содержание</w:t>
      </w:r>
      <w:bookmarkEnd w:id="0"/>
    </w:p>
    <w:p w:rsidR="00E03C26" w:rsidRDefault="00E03C26" w:rsidP="00E03C26">
      <w:pPr>
        <w:pStyle w:val="11"/>
        <w:widowControl w:val="0"/>
        <w:tabs>
          <w:tab w:val="right" w:leader="dot" w:pos="9345"/>
        </w:tabs>
        <w:spacing w:after="0" w:line="360" w:lineRule="auto"/>
        <w:rPr>
          <w:rFonts w:ascii="Times New Roman" w:hAnsi="Times New Roman"/>
          <w:sz w:val="28"/>
          <w:szCs w:val="28"/>
        </w:rPr>
      </w:pPr>
    </w:p>
    <w:p w:rsidR="00920CF4" w:rsidRPr="00E03C26" w:rsidRDefault="00920CF4" w:rsidP="00E03C26">
      <w:pPr>
        <w:pStyle w:val="11"/>
        <w:widowControl w:val="0"/>
        <w:tabs>
          <w:tab w:val="right" w:leader="dot" w:pos="9345"/>
        </w:tabs>
        <w:spacing w:after="0" w:line="360" w:lineRule="auto"/>
        <w:rPr>
          <w:rFonts w:ascii="Times New Roman" w:hAnsi="Times New Roman"/>
          <w:noProof/>
          <w:sz w:val="28"/>
          <w:szCs w:val="28"/>
        </w:rPr>
      </w:pPr>
      <w:r w:rsidRPr="00C57AEE">
        <w:rPr>
          <w:rStyle w:val="a6"/>
          <w:rFonts w:ascii="Times New Roman" w:hAnsi="Times New Roman"/>
          <w:noProof/>
          <w:color w:val="auto"/>
          <w:sz w:val="28"/>
          <w:szCs w:val="28"/>
        </w:rPr>
        <w:t>Вступление</w:t>
      </w:r>
      <w:r w:rsidRPr="00E03C26">
        <w:rPr>
          <w:rFonts w:ascii="Times New Roman" w:hAnsi="Times New Roman"/>
          <w:noProof/>
          <w:webHidden/>
          <w:sz w:val="28"/>
          <w:szCs w:val="28"/>
        </w:rPr>
        <w:tab/>
      </w:r>
      <w:r w:rsidR="00E03C26">
        <w:rPr>
          <w:rFonts w:ascii="Times New Roman" w:hAnsi="Times New Roman"/>
          <w:noProof/>
          <w:webHidden/>
          <w:sz w:val="28"/>
          <w:szCs w:val="28"/>
        </w:rPr>
        <w:t>2</w:t>
      </w:r>
    </w:p>
    <w:p w:rsidR="00920CF4" w:rsidRPr="00E03C26" w:rsidRDefault="00920CF4" w:rsidP="00E03C26">
      <w:pPr>
        <w:pStyle w:val="11"/>
        <w:widowControl w:val="0"/>
        <w:tabs>
          <w:tab w:val="right" w:leader="dot" w:pos="9345"/>
        </w:tabs>
        <w:spacing w:after="0" w:line="360" w:lineRule="auto"/>
        <w:rPr>
          <w:rFonts w:ascii="Times New Roman" w:hAnsi="Times New Roman"/>
          <w:noProof/>
          <w:sz w:val="28"/>
          <w:szCs w:val="28"/>
        </w:rPr>
      </w:pPr>
      <w:r w:rsidRPr="00C57AEE">
        <w:rPr>
          <w:rStyle w:val="a6"/>
          <w:rFonts w:ascii="Times New Roman" w:hAnsi="Times New Roman"/>
          <w:noProof/>
          <w:color w:val="auto"/>
          <w:sz w:val="28"/>
          <w:szCs w:val="28"/>
        </w:rPr>
        <w:t>Глава 1. Производные ценные бумаги, их виды</w:t>
      </w:r>
      <w:r w:rsidRPr="00E03C26">
        <w:rPr>
          <w:rFonts w:ascii="Times New Roman" w:hAnsi="Times New Roman"/>
          <w:noProof/>
          <w:webHidden/>
          <w:sz w:val="28"/>
          <w:szCs w:val="28"/>
        </w:rPr>
        <w:tab/>
      </w:r>
      <w:r w:rsidR="00E03C26">
        <w:rPr>
          <w:rFonts w:ascii="Times New Roman" w:hAnsi="Times New Roman"/>
          <w:noProof/>
          <w:webHidden/>
          <w:sz w:val="28"/>
          <w:szCs w:val="28"/>
        </w:rPr>
        <w:t>3</w:t>
      </w:r>
    </w:p>
    <w:p w:rsidR="00920CF4" w:rsidRPr="00E03C26" w:rsidRDefault="00920CF4" w:rsidP="00E03C26">
      <w:pPr>
        <w:pStyle w:val="11"/>
        <w:widowControl w:val="0"/>
        <w:tabs>
          <w:tab w:val="right" w:leader="dot" w:pos="9345"/>
        </w:tabs>
        <w:spacing w:after="0" w:line="360" w:lineRule="auto"/>
        <w:rPr>
          <w:rFonts w:ascii="Times New Roman" w:hAnsi="Times New Roman"/>
          <w:noProof/>
          <w:sz w:val="28"/>
          <w:szCs w:val="28"/>
        </w:rPr>
      </w:pPr>
      <w:r w:rsidRPr="00C57AEE">
        <w:rPr>
          <w:rStyle w:val="a6"/>
          <w:rFonts w:ascii="Times New Roman" w:hAnsi="Times New Roman"/>
          <w:noProof/>
          <w:color w:val="auto"/>
          <w:sz w:val="28"/>
          <w:szCs w:val="28"/>
        </w:rPr>
        <w:t>Глава 2. Характеристика опционов и фьючерсов</w:t>
      </w:r>
      <w:r w:rsidRPr="00E03C26">
        <w:rPr>
          <w:rFonts w:ascii="Times New Roman" w:hAnsi="Times New Roman"/>
          <w:noProof/>
          <w:webHidden/>
          <w:sz w:val="28"/>
          <w:szCs w:val="28"/>
        </w:rPr>
        <w:tab/>
      </w:r>
      <w:r w:rsidR="00A4689B" w:rsidRPr="00E03C26">
        <w:rPr>
          <w:rFonts w:ascii="Times New Roman" w:hAnsi="Times New Roman"/>
          <w:noProof/>
          <w:webHidden/>
          <w:sz w:val="28"/>
          <w:szCs w:val="28"/>
        </w:rPr>
        <w:t>9</w:t>
      </w:r>
    </w:p>
    <w:p w:rsidR="00920CF4" w:rsidRPr="00E03C26" w:rsidRDefault="00920CF4" w:rsidP="00E03C26">
      <w:pPr>
        <w:pStyle w:val="11"/>
        <w:widowControl w:val="0"/>
        <w:tabs>
          <w:tab w:val="right" w:leader="dot" w:pos="9345"/>
        </w:tabs>
        <w:spacing w:after="0" w:line="360" w:lineRule="auto"/>
        <w:rPr>
          <w:rFonts w:ascii="Times New Roman" w:hAnsi="Times New Roman"/>
          <w:noProof/>
          <w:sz w:val="28"/>
          <w:szCs w:val="28"/>
        </w:rPr>
      </w:pPr>
      <w:r w:rsidRPr="00C57AEE">
        <w:rPr>
          <w:rStyle w:val="a6"/>
          <w:rFonts w:ascii="Times New Roman" w:hAnsi="Times New Roman"/>
          <w:noProof/>
          <w:color w:val="auto"/>
          <w:sz w:val="28"/>
          <w:szCs w:val="28"/>
        </w:rPr>
        <w:t>Глава 3. Международные ценные бумаги</w:t>
      </w:r>
      <w:r w:rsidRPr="00E03C26">
        <w:rPr>
          <w:rFonts w:ascii="Times New Roman" w:hAnsi="Times New Roman"/>
          <w:noProof/>
          <w:webHidden/>
          <w:sz w:val="28"/>
          <w:szCs w:val="28"/>
        </w:rPr>
        <w:tab/>
      </w:r>
      <w:r w:rsidR="00096D5B" w:rsidRPr="00E03C26">
        <w:rPr>
          <w:rFonts w:ascii="Times New Roman" w:hAnsi="Times New Roman"/>
          <w:noProof/>
          <w:webHidden/>
          <w:sz w:val="28"/>
          <w:szCs w:val="28"/>
        </w:rPr>
        <w:t>14</w:t>
      </w:r>
    </w:p>
    <w:p w:rsidR="00920CF4" w:rsidRPr="00E03C26" w:rsidRDefault="00920CF4" w:rsidP="00E03C26">
      <w:pPr>
        <w:pStyle w:val="11"/>
        <w:widowControl w:val="0"/>
        <w:tabs>
          <w:tab w:val="right" w:leader="dot" w:pos="9345"/>
        </w:tabs>
        <w:spacing w:after="0" w:line="360" w:lineRule="auto"/>
        <w:rPr>
          <w:rFonts w:ascii="Times New Roman" w:hAnsi="Times New Roman"/>
          <w:noProof/>
          <w:sz w:val="28"/>
          <w:szCs w:val="28"/>
        </w:rPr>
      </w:pPr>
      <w:r w:rsidRPr="00C57AEE">
        <w:rPr>
          <w:rStyle w:val="a6"/>
          <w:rFonts w:ascii="Times New Roman" w:hAnsi="Times New Roman"/>
          <w:noProof/>
          <w:color w:val="auto"/>
          <w:sz w:val="28"/>
          <w:szCs w:val="28"/>
        </w:rPr>
        <w:t>Заключение</w:t>
      </w:r>
      <w:r w:rsidRPr="00E03C26">
        <w:rPr>
          <w:rFonts w:ascii="Times New Roman" w:hAnsi="Times New Roman"/>
          <w:noProof/>
          <w:webHidden/>
          <w:sz w:val="28"/>
          <w:szCs w:val="28"/>
        </w:rPr>
        <w:tab/>
      </w:r>
      <w:r w:rsidR="00096D5B" w:rsidRPr="00E03C26">
        <w:rPr>
          <w:rFonts w:ascii="Times New Roman" w:hAnsi="Times New Roman"/>
          <w:noProof/>
          <w:webHidden/>
          <w:sz w:val="28"/>
          <w:szCs w:val="28"/>
        </w:rPr>
        <w:t>19</w:t>
      </w:r>
    </w:p>
    <w:p w:rsidR="00920CF4" w:rsidRPr="00E03C26" w:rsidRDefault="00920CF4" w:rsidP="00E03C26">
      <w:pPr>
        <w:pStyle w:val="11"/>
        <w:widowControl w:val="0"/>
        <w:tabs>
          <w:tab w:val="right" w:leader="dot" w:pos="9345"/>
        </w:tabs>
        <w:spacing w:after="0" w:line="360" w:lineRule="auto"/>
        <w:rPr>
          <w:rFonts w:ascii="Times New Roman" w:hAnsi="Times New Roman"/>
          <w:noProof/>
          <w:sz w:val="28"/>
          <w:szCs w:val="28"/>
        </w:rPr>
      </w:pPr>
      <w:r w:rsidRPr="00C57AEE">
        <w:rPr>
          <w:rStyle w:val="a6"/>
          <w:rFonts w:ascii="Times New Roman" w:hAnsi="Times New Roman"/>
          <w:noProof/>
          <w:color w:val="auto"/>
          <w:sz w:val="28"/>
          <w:szCs w:val="28"/>
        </w:rPr>
        <w:t>Задача</w:t>
      </w:r>
      <w:r w:rsidRPr="00E03C26">
        <w:rPr>
          <w:rFonts w:ascii="Times New Roman" w:hAnsi="Times New Roman"/>
          <w:noProof/>
          <w:webHidden/>
          <w:sz w:val="28"/>
          <w:szCs w:val="28"/>
        </w:rPr>
        <w:tab/>
      </w:r>
      <w:r w:rsidR="00096D5B" w:rsidRPr="00E03C26">
        <w:rPr>
          <w:rFonts w:ascii="Times New Roman" w:hAnsi="Times New Roman"/>
          <w:noProof/>
          <w:webHidden/>
          <w:sz w:val="28"/>
          <w:szCs w:val="28"/>
        </w:rPr>
        <w:t>20</w:t>
      </w:r>
    </w:p>
    <w:p w:rsidR="00920CF4" w:rsidRPr="00E03C26" w:rsidRDefault="00920CF4" w:rsidP="00E03C26">
      <w:pPr>
        <w:pStyle w:val="11"/>
        <w:widowControl w:val="0"/>
        <w:tabs>
          <w:tab w:val="right" w:leader="dot" w:pos="9345"/>
        </w:tabs>
        <w:spacing w:after="0" w:line="360" w:lineRule="auto"/>
        <w:rPr>
          <w:rFonts w:ascii="Times New Roman" w:hAnsi="Times New Roman"/>
          <w:noProof/>
          <w:sz w:val="28"/>
          <w:szCs w:val="28"/>
        </w:rPr>
      </w:pPr>
      <w:r w:rsidRPr="00C57AEE">
        <w:rPr>
          <w:rStyle w:val="a6"/>
          <w:rFonts w:ascii="Times New Roman" w:hAnsi="Times New Roman"/>
          <w:noProof/>
          <w:color w:val="auto"/>
          <w:sz w:val="28"/>
          <w:szCs w:val="28"/>
        </w:rPr>
        <w:t>Список литературы</w:t>
      </w:r>
      <w:r w:rsidRPr="00E03C26">
        <w:rPr>
          <w:rFonts w:ascii="Times New Roman" w:hAnsi="Times New Roman"/>
          <w:noProof/>
          <w:webHidden/>
          <w:sz w:val="28"/>
          <w:szCs w:val="28"/>
        </w:rPr>
        <w:tab/>
      </w:r>
      <w:r w:rsidR="00096D5B" w:rsidRPr="00E03C26">
        <w:rPr>
          <w:rFonts w:ascii="Times New Roman" w:hAnsi="Times New Roman"/>
          <w:noProof/>
          <w:webHidden/>
          <w:sz w:val="28"/>
          <w:szCs w:val="28"/>
        </w:rPr>
        <w:t>21</w:t>
      </w:r>
    </w:p>
    <w:p w:rsidR="00920CF4" w:rsidRPr="00E03C26" w:rsidRDefault="00920CF4" w:rsidP="00E03C26">
      <w:pPr>
        <w:pStyle w:val="1"/>
        <w:keepNext w:val="0"/>
        <w:widowControl w:val="0"/>
        <w:spacing w:before="0" w:after="0" w:line="360" w:lineRule="auto"/>
        <w:rPr>
          <w:rFonts w:ascii="Times New Roman" w:hAnsi="Times New Roman"/>
          <w:sz w:val="28"/>
          <w:szCs w:val="28"/>
        </w:rPr>
      </w:pPr>
    </w:p>
    <w:p w:rsidR="006B7E78" w:rsidRPr="00E03C26" w:rsidRDefault="00E03C26" w:rsidP="00E03C26">
      <w:pPr>
        <w:pStyle w:val="1"/>
        <w:keepNext w:val="0"/>
        <w:widowControl w:val="0"/>
        <w:spacing w:before="0" w:after="0" w:line="360" w:lineRule="auto"/>
        <w:ind w:firstLine="709"/>
        <w:jc w:val="both"/>
        <w:rPr>
          <w:rFonts w:ascii="Times New Roman" w:hAnsi="Times New Roman"/>
          <w:sz w:val="28"/>
          <w:szCs w:val="28"/>
        </w:rPr>
      </w:pPr>
      <w:bookmarkStart w:id="1" w:name="_Toc274050998"/>
      <w:r>
        <w:rPr>
          <w:rFonts w:ascii="Times New Roman" w:hAnsi="Times New Roman"/>
          <w:sz w:val="28"/>
          <w:szCs w:val="28"/>
        </w:rPr>
        <w:br w:type="page"/>
      </w:r>
      <w:r w:rsidR="00920CF4" w:rsidRPr="00E03C26">
        <w:rPr>
          <w:rFonts w:ascii="Times New Roman" w:hAnsi="Times New Roman"/>
          <w:sz w:val="28"/>
          <w:szCs w:val="28"/>
        </w:rPr>
        <w:t>Вступление</w:t>
      </w:r>
      <w:bookmarkEnd w:id="1"/>
    </w:p>
    <w:p w:rsidR="00632253" w:rsidRPr="00E03C26" w:rsidRDefault="00632253" w:rsidP="00E03C26">
      <w:pPr>
        <w:widowControl w:val="0"/>
        <w:spacing w:after="0" w:line="360" w:lineRule="auto"/>
        <w:ind w:firstLine="709"/>
        <w:jc w:val="both"/>
        <w:rPr>
          <w:rFonts w:ascii="Times New Roman" w:hAnsi="Times New Roman"/>
          <w:sz w:val="28"/>
          <w:szCs w:val="28"/>
        </w:rPr>
      </w:pPr>
    </w:p>
    <w:p w:rsidR="008040CA" w:rsidRPr="00E03C26" w:rsidRDefault="008040CA"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В первом разделе основное внимание уделено понятию производных ценных бумаг, их видам. Подробнее разобраны понятия варрантов и американских депозитарных расписок. Приведена структура распределения производных ценных бумаг среди промышленно развитых стран мира. Дается краткая историческая справка о</w:t>
      </w:r>
      <w:r w:rsidR="00E03C26">
        <w:rPr>
          <w:rFonts w:ascii="Times New Roman" w:hAnsi="Times New Roman"/>
          <w:sz w:val="28"/>
          <w:szCs w:val="28"/>
        </w:rPr>
        <w:t xml:space="preserve"> </w:t>
      </w:r>
      <w:r w:rsidRPr="00E03C26">
        <w:rPr>
          <w:rFonts w:ascii="Times New Roman" w:hAnsi="Times New Roman"/>
          <w:sz w:val="28"/>
          <w:szCs w:val="28"/>
        </w:rPr>
        <w:t>зарождении и причинах последующего развития рынка производных ценных бумаг.</w:t>
      </w:r>
    </w:p>
    <w:p w:rsidR="008040CA" w:rsidRPr="00E03C26" w:rsidRDefault="008040CA"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Второй раздел посвящен опционам и фьючерсам. Дается определение этих понятий и примеры их использования. Разобрано понятие хеджирования с помощью опционов и фьючерсов, </w:t>
      </w:r>
      <w:r w:rsidR="004B0491" w:rsidRPr="00E03C26">
        <w:rPr>
          <w:rFonts w:ascii="Times New Roman" w:hAnsi="Times New Roman"/>
          <w:sz w:val="28"/>
          <w:szCs w:val="28"/>
        </w:rPr>
        <w:t>приведены</w:t>
      </w:r>
      <w:r w:rsidRPr="00E03C26">
        <w:rPr>
          <w:rFonts w:ascii="Times New Roman" w:hAnsi="Times New Roman"/>
          <w:sz w:val="28"/>
          <w:szCs w:val="28"/>
        </w:rPr>
        <w:t xml:space="preserve"> примеры их использования с этой целью.</w:t>
      </w:r>
      <w:r w:rsidR="004B5A31" w:rsidRPr="00E03C26">
        <w:rPr>
          <w:rFonts w:ascii="Times New Roman" w:hAnsi="Times New Roman"/>
          <w:sz w:val="28"/>
          <w:szCs w:val="28"/>
        </w:rPr>
        <w:t xml:space="preserve"> Приведена таблица, характеризующая развитие рынка производных ценных бумаг, в частности опционов и фьючерсов.</w:t>
      </w:r>
    </w:p>
    <w:p w:rsidR="008040CA" w:rsidRPr="00E03C26" w:rsidRDefault="008040CA"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И, наконец, в третьем разделе раскрывается понятие международных ценных бумаг, их виды. Дается определение понятия «евробумага». Приведена таблица, наглядно демонстрирующая положительную динамику развития международного рынка ценных бумаг во всем мире и в промышленно развитых странах в частности. </w:t>
      </w:r>
    </w:p>
    <w:p w:rsidR="004B0491" w:rsidRPr="00E03C26" w:rsidRDefault="004B0491"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Таким образом, цель данной контрольной работы – разобрать понятия производных и международных ценных бумаг. </w:t>
      </w:r>
    </w:p>
    <w:p w:rsidR="00751674" w:rsidRPr="00E03C26" w:rsidRDefault="00632253" w:rsidP="00E03C26">
      <w:pPr>
        <w:pStyle w:val="1"/>
        <w:keepNext w:val="0"/>
        <w:widowControl w:val="0"/>
        <w:spacing w:before="0" w:after="0" w:line="360" w:lineRule="auto"/>
        <w:ind w:firstLine="709"/>
        <w:jc w:val="both"/>
        <w:rPr>
          <w:rFonts w:ascii="Times New Roman" w:hAnsi="Times New Roman"/>
          <w:sz w:val="28"/>
          <w:szCs w:val="28"/>
        </w:rPr>
      </w:pPr>
      <w:bookmarkStart w:id="2" w:name="_Toc274050999"/>
      <w:r w:rsidRPr="00E03C26">
        <w:rPr>
          <w:rFonts w:ascii="Times New Roman" w:hAnsi="Times New Roman"/>
          <w:sz w:val="28"/>
          <w:szCs w:val="28"/>
        </w:rPr>
        <w:br w:type="page"/>
      </w:r>
      <w:r w:rsidR="00751674" w:rsidRPr="00E03C26">
        <w:rPr>
          <w:rFonts w:ascii="Times New Roman" w:hAnsi="Times New Roman"/>
          <w:sz w:val="28"/>
          <w:szCs w:val="28"/>
        </w:rPr>
        <w:t>Глава 1. Производные ценные бумаги, их виды</w:t>
      </w:r>
      <w:bookmarkEnd w:id="2"/>
    </w:p>
    <w:p w:rsidR="00E03C26" w:rsidRPr="00934A49" w:rsidRDefault="00E03C26" w:rsidP="00E03C26">
      <w:pPr>
        <w:ind w:firstLine="709"/>
        <w:rPr>
          <w:rFonts w:ascii="Times New Roman" w:hAnsi="Times New Roman"/>
          <w:color w:val="FFFFFF"/>
          <w:sz w:val="28"/>
          <w:szCs w:val="28"/>
        </w:rPr>
      </w:pPr>
      <w:r w:rsidRPr="00934A49">
        <w:rPr>
          <w:rFonts w:ascii="Times New Roman" w:hAnsi="Times New Roman"/>
          <w:color w:val="FFFFFF"/>
          <w:sz w:val="28"/>
          <w:szCs w:val="28"/>
        </w:rPr>
        <w:t>производная ценная бумага опцион</w:t>
      </w:r>
    </w:p>
    <w:p w:rsidR="00236279" w:rsidRPr="00E03C26" w:rsidRDefault="006C538A"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Большое влияние на развитие фондовых бирж на Западе оказало появление в 1970—1980-х годах производных ценных бумаг — деривативов, занявших заметное место в биржевом обороте ведущих фондовых бирж западных стран. В конце 1980-х годов их объем составил 12 трлн. долл., т.е. в 25 раз превысил объем всего товарооборота на мировом рынке. На начало 1997г. объем деривативов превысил 100 трлн. долл., а годовой мировой оборот, с их высокой скоростью, — 1000 трлн. долл. Распределение деривативов, согласно оценке Шиллеровского института в Германии, приведено в табл. 1.</w:t>
      </w:r>
    </w:p>
    <w:p w:rsidR="00E03C26" w:rsidRDefault="00E03C26" w:rsidP="00E03C26">
      <w:pPr>
        <w:widowControl w:val="0"/>
        <w:spacing w:after="0" w:line="360" w:lineRule="auto"/>
        <w:ind w:firstLine="709"/>
        <w:jc w:val="both"/>
        <w:rPr>
          <w:rFonts w:ascii="Times New Roman" w:hAnsi="Times New Roman"/>
          <w:sz w:val="28"/>
          <w:szCs w:val="28"/>
        </w:rPr>
      </w:pPr>
    </w:p>
    <w:p w:rsidR="006C538A" w:rsidRPr="00E03C26" w:rsidRDefault="005D0127" w:rsidP="00E03C26">
      <w:pPr>
        <w:widowControl w:val="0"/>
        <w:spacing w:after="0" w:line="360" w:lineRule="auto"/>
        <w:ind w:left="709"/>
        <w:rPr>
          <w:rFonts w:ascii="Times New Roman" w:hAnsi="Times New Roman"/>
          <w:sz w:val="28"/>
          <w:szCs w:val="28"/>
        </w:rPr>
      </w:pPr>
      <w:r w:rsidRPr="00E03C26">
        <w:rPr>
          <w:rFonts w:ascii="Times New Roman" w:hAnsi="Times New Roman"/>
          <w:sz w:val="28"/>
          <w:szCs w:val="28"/>
        </w:rPr>
        <w:t xml:space="preserve">Таблица 1. Распределение деривативов между </w:t>
      </w:r>
      <w:r w:rsidR="00236279" w:rsidRPr="00E03C26">
        <w:rPr>
          <w:rFonts w:ascii="Times New Roman" w:hAnsi="Times New Roman"/>
          <w:sz w:val="28"/>
          <w:szCs w:val="28"/>
        </w:rPr>
        <w:t>п</w:t>
      </w:r>
      <w:r w:rsidRPr="00E03C26">
        <w:rPr>
          <w:rFonts w:ascii="Times New Roman" w:hAnsi="Times New Roman"/>
          <w:sz w:val="28"/>
          <w:szCs w:val="28"/>
        </w:rPr>
        <w:t>ромышленно развитыми странами</w:t>
      </w:r>
    </w:p>
    <w:p w:rsidR="006C538A" w:rsidRPr="00E03C26" w:rsidRDefault="001825D7" w:rsidP="00E03C2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54.25pt">
            <v:imagedata r:id="rId7" o:title=""/>
          </v:shape>
        </w:pict>
      </w:r>
    </w:p>
    <w:p w:rsidR="00E03C26" w:rsidRDefault="00E03C26" w:rsidP="00E03C26">
      <w:pPr>
        <w:widowControl w:val="0"/>
        <w:spacing w:after="0" w:line="360" w:lineRule="auto"/>
        <w:ind w:firstLine="709"/>
        <w:jc w:val="both"/>
        <w:rPr>
          <w:rFonts w:ascii="Times New Roman" w:hAnsi="Times New Roman"/>
          <w:sz w:val="28"/>
          <w:szCs w:val="28"/>
        </w:rPr>
      </w:pPr>
    </w:p>
    <w:p w:rsidR="006C538A" w:rsidRPr="00E03C26" w:rsidRDefault="006C538A"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Почти 70% деривативов сосредоточено на фондовых биржах ведущих западных стран, причем свыше 20% — в США и около 12% — в Японии. С увеличением количества деривативов возрос объем операций и статус фондовых бирж как рынка ценных бумаг</w:t>
      </w:r>
      <w:r w:rsidR="004922E4" w:rsidRPr="00E03C26">
        <w:rPr>
          <w:rStyle w:val="a5"/>
          <w:rFonts w:ascii="Times New Roman" w:hAnsi="Times New Roman"/>
          <w:sz w:val="28"/>
          <w:szCs w:val="28"/>
        </w:rPr>
        <w:footnoteReference w:id="1"/>
      </w:r>
      <w:r w:rsidRPr="00E03C26">
        <w:rPr>
          <w:rFonts w:ascii="Times New Roman" w:hAnsi="Times New Roman"/>
          <w:sz w:val="28"/>
          <w:szCs w:val="28"/>
        </w:rPr>
        <w:t>.</w:t>
      </w:r>
    </w:p>
    <w:p w:rsidR="006C538A" w:rsidRPr="00E03C26" w:rsidRDefault="006C538A"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Появление этих ценных бумаг на фондовых биржах усилило интенсивность операций, приводящих к биржевым крахам и потрясениям (Азиатский кризис 1997г., поразивший фондовые рынки не только стран Юго-Восточной Азии, приведший к валютным потрясениям, банковским кризисам, к нестабильности экономического развития).</w:t>
      </w:r>
    </w:p>
    <w:p w:rsidR="00094852" w:rsidRPr="00E03C26" w:rsidRDefault="00094852"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Производные ценные бумаги</w:t>
      </w:r>
      <w:r w:rsidRPr="00E03C26">
        <w:rPr>
          <w:rFonts w:ascii="Times New Roman" w:hAnsi="Times New Roman"/>
          <w:sz w:val="28"/>
          <w:szCs w:val="28"/>
        </w:rPr>
        <w:t xml:space="preserve"> - это бездокументарная форма выражения имущественного права (обязательства), возникающего в связи с изменением цены лежащего в основе данной ценной бумаги биржевого актива. Упростив это определение</w:t>
      </w:r>
      <w:r w:rsidR="009C7B5F" w:rsidRPr="00E03C26">
        <w:rPr>
          <w:rFonts w:ascii="Times New Roman" w:hAnsi="Times New Roman"/>
          <w:sz w:val="28"/>
          <w:szCs w:val="28"/>
        </w:rPr>
        <w:t xml:space="preserve">, </w:t>
      </w:r>
      <w:r w:rsidRPr="00E03C26">
        <w:rPr>
          <w:rFonts w:ascii="Times New Roman" w:hAnsi="Times New Roman"/>
          <w:sz w:val="28"/>
          <w:szCs w:val="28"/>
        </w:rPr>
        <w:t xml:space="preserve">можно было бы сказать, что производная ценная бумага - это ценная бумага на какой-либо ценовой </w:t>
      </w:r>
      <w:r w:rsidR="009C7B5F" w:rsidRPr="00E03C26">
        <w:rPr>
          <w:rFonts w:ascii="Times New Roman" w:hAnsi="Times New Roman"/>
          <w:sz w:val="28"/>
          <w:szCs w:val="28"/>
        </w:rPr>
        <w:t xml:space="preserve">актив: на цены товаров (обычно </w:t>
      </w:r>
      <w:r w:rsidRPr="00E03C26">
        <w:rPr>
          <w:rFonts w:ascii="Times New Roman" w:hAnsi="Times New Roman"/>
          <w:sz w:val="28"/>
          <w:szCs w:val="28"/>
        </w:rPr>
        <w:t>биржевых товаров: зерна, мяса, нефти, золота и т.п.); на цены основных цен</w:t>
      </w:r>
      <w:r w:rsidR="009C7B5F" w:rsidRPr="00E03C26">
        <w:rPr>
          <w:rFonts w:ascii="Times New Roman" w:hAnsi="Times New Roman"/>
          <w:sz w:val="28"/>
          <w:szCs w:val="28"/>
        </w:rPr>
        <w:t>ных бумаг (</w:t>
      </w:r>
      <w:r w:rsidRPr="00E03C26">
        <w:rPr>
          <w:rFonts w:ascii="Times New Roman" w:hAnsi="Times New Roman"/>
          <w:sz w:val="28"/>
          <w:szCs w:val="28"/>
        </w:rPr>
        <w:t>на индексы акций, на облигации); на цены кредитного рынка (процентные ставки); на цены валютн</w:t>
      </w:r>
      <w:r w:rsidR="009C7B5F" w:rsidRPr="00E03C26">
        <w:rPr>
          <w:rFonts w:ascii="Times New Roman" w:hAnsi="Times New Roman"/>
          <w:sz w:val="28"/>
          <w:szCs w:val="28"/>
        </w:rPr>
        <w:t>ого рынка (валютные курсы)</w:t>
      </w:r>
      <w:r w:rsidRPr="00E03C26">
        <w:rPr>
          <w:rFonts w:ascii="Times New Roman" w:hAnsi="Times New Roman"/>
          <w:sz w:val="28"/>
          <w:szCs w:val="28"/>
        </w:rPr>
        <w:t>.</w:t>
      </w:r>
      <w:r w:rsidRPr="00E03C26">
        <w:rPr>
          <w:rStyle w:val="a5"/>
          <w:rFonts w:ascii="Times New Roman" w:hAnsi="Times New Roman"/>
          <w:sz w:val="28"/>
          <w:szCs w:val="28"/>
        </w:rPr>
        <w:footnoteReference w:id="2"/>
      </w:r>
    </w:p>
    <w:p w:rsidR="00094852" w:rsidRPr="00E03C26" w:rsidRDefault="008F2980"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В настоящее время эти ценные бумаги получили название </w:t>
      </w:r>
      <w:r w:rsidRPr="00E03C26">
        <w:rPr>
          <w:rFonts w:ascii="Times New Roman" w:hAnsi="Times New Roman"/>
          <w:i/>
          <w:sz w:val="28"/>
          <w:szCs w:val="28"/>
        </w:rPr>
        <w:t>деривативы</w:t>
      </w:r>
      <w:r w:rsidR="006C538A" w:rsidRPr="00E03C26">
        <w:rPr>
          <w:rFonts w:ascii="Times New Roman" w:hAnsi="Times New Roman"/>
          <w:sz w:val="28"/>
          <w:szCs w:val="28"/>
        </w:rPr>
        <w:t>, зачастую называемые также «финансовыми пузырями»</w:t>
      </w:r>
      <w:r w:rsidRPr="00E03C26">
        <w:rPr>
          <w:rFonts w:ascii="Times New Roman" w:hAnsi="Times New Roman"/>
          <w:sz w:val="28"/>
          <w:szCs w:val="28"/>
        </w:rPr>
        <w:t>. Главными видами деривативов являются: конвертируемые облигации, варранты, фьючерсы, опционы, депозитарные расписки и др. разновидности. Операции с производными бумагами проводятся во всех развитых странах, как на первичном, так и на вторичном рынках.</w:t>
      </w:r>
    </w:p>
    <w:p w:rsidR="008F2980" w:rsidRPr="00E03C26" w:rsidRDefault="008F2980"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Варранты</w:t>
      </w:r>
      <w:r w:rsidRPr="00E03C26">
        <w:rPr>
          <w:rFonts w:ascii="Times New Roman" w:hAnsi="Times New Roman"/>
          <w:sz w:val="28"/>
          <w:szCs w:val="28"/>
        </w:rPr>
        <w:t xml:space="preserve"> </w:t>
      </w:r>
      <w:r w:rsidR="00555077" w:rsidRPr="00E03C26">
        <w:rPr>
          <w:rFonts w:ascii="Times New Roman" w:hAnsi="Times New Roman"/>
          <w:sz w:val="28"/>
          <w:szCs w:val="28"/>
        </w:rPr>
        <w:t>–</w:t>
      </w:r>
      <w:r w:rsidRPr="00E03C26">
        <w:rPr>
          <w:rFonts w:ascii="Times New Roman" w:hAnsi="Times New Roman"/>
          <w:sz w:val="28"/>
          <w:szCs w:val="28"/>
        </w:rPr>
        <w:t xml:space="preserve"> </w:t>
      </w:r>
      <w:r w:rsidR="00555077" w:rsidRPr="00E03C26">
        <w:rPr>
          <w:rFonts w:ascii="Times New Roman" w:hAnsi="Times New Roman"/>
          <w:sz w:val="28"/>
          <w:szCs w:val="28"/>
        </w:rPr>
        <w:t>ценные бумаги, которые дают своему владельцу право в будущем купить по заранее установленной цене опредленное количество ценных бумаг</w:t>
      </w:r>
      <w:r w:rsidR="004448F4" w:rsidRPr="00E03C26">
        <w:rPr>
          <w:rStyle w:val="a5"/>
          <w:rFonts w:ascii="Times New Roman" w:hAnsi="Times New Roman"/>
          <w:sz w:val="28"/>
          <w:szCs w:val="28"/>
        </w:rPr>
        <w:footnoteReference w:id="3"/>
      </w:r>
      <w:r w:rsidR="00555077" w:rsidRPr="00E03C26">
        <w:rPr>
          <w:rFonts w:ascii="Times New Roman" w:hAnsi="Times New Roman"/>
          <w:sz w:val="28"/>
          <w:szCs w:val="28"/>
        </w:rPr>
        <w:t>.</w:t>
      </w:r>
      <w:r w:rsidRPr="00E03C26">
        <w:rPr>
          <w:rFonts w:ascii="Times New Roman" w:hAnsi="Times New Roman"/>
          <w:sz w:val="28"/>
          <w:szCs w:val="28"/>
        </w:rPr>
        <w:t xml:space="preserve"> </w:t>
      </w:r>
    </w:p>
    <w:p w:rsidR="008F2980" w:rsidRPr="00E03C26" w:rsidRDefault="008F2980"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Базовыми активами варранта могут быть акции и облигации, при этом эмитентом варрантов должен быть эмитент базовых ценных бумаг. Варранты технически выпускаются эмитентом при условии достаточности размещенного к выпуску капитала для обеспечения будущей эмиссии базовых ценных бумаг. В этом заключается основная разница между опционами и варрантами, поскольку первые эмитируются исходя из решения сторон опционной сделки. </w:t>
      </w:r>
    </w:p>
    <w:p w:rsidR="008F2980" w:rsidRPr="00E03C26" w:rsidRDefault="008F2980"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Несмотря на этот факт варранты очень схожи с опционами, а потому имеют аналогичную модель в ценообразовании. Отличие здесь — в сроках обращения: как правило, варранты имеют более длительные сроки, чем опционы, а потому временная их стоимость значительно больше, чем внутренняя. Временная стоимость снижается очень медленно с начала существования варранта, но резко снижается в последние дни срока его действия (примерно две-три недели). И действительно, варрант с очень высокой внутренней стоимостью может иметь очень маленькую или нулевую временную стоимость, а следовательно, его цена будет изменяться пункт в пункт с изменением цены базового актива. Между тем, изначально между этими двумя инструментами такой тесной корреляции не наблюдается. В этом и проявляется эффект финансового рычага для варрантов. </w:t>
      </w:r>
    </w:p>
    <w:p w:rsidR="004922E4" w:rsidRPr="00E03C26" w:rsidRDefault="008F2980"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Этот эффект лучше всего рассмотреть </w:t>
      </w:r>
      <w:r w:rsidR="00555077" w:rsidRPr="00E03C26">
        <w:rPr>
          <w:rFonts w:ascii="Times New Roman" w:hAnsi="Times New Roman"/>
          <w:sz w:val="28"/>
          <w:szCs w:val="28"/>
        </w:rPr>
        <w:t xml:space="preserve">на конкретном цифровом </w:t>
      </w:r>
      <w:r w:rsidR="00555077" w:rsidRPr="00E03C26">
        <w:rPr>
          <w:rFonts w:ascii="Times New Roman" w:hAnsi="Times New Roman"/>
          <w:b/>
          <w:sz w:val="28"/>
          <w:szCs w:val="28"/>
        </w:rPr>
        <w:t>примере</w:t>
      </w:r>
      <w:r w:rsidR="00555077" w:rsidRPr="00E03C26">
        <w:rPr>
          <w:rFonts w:ascii="Times New Roman" w:hAnsi="Times New Roman"/>
          <w:sz w:val="28"/>
          <w:szCs w:val="28"/>
        </w:rPr>
        <w:t>: п</w:t>
      </w:r>
      <w:r w:rsidRPr="00E03C26">
        <w:rPr>
          <w:rFonts w:ascii="Times New Roman" w:hAnsi="Times New Roman"/>
          <w:sz w:val="28"/>
          <w:szCs w:val="28"/>
        </w:rPr>
        <w:t xml:space="preserve">редположим, что цена акции 100, цена исполнения варранта 110, цена варранта 20. </w:t>
      </w:r>
      <w:r w:rsidR="004B0491" w:rsidRPr="00E03C26">
        <w:rPr>
          <w:rFonts w:ascii="Times New Roman" w:hAnsi="Times New Roman"/>
          <w:sz w:val="28"/>
          <w:szCs w:val="28"/>
        </w:rPr>
        <w:t>Т.е.</w:t>
      </w:r>
      <w:r w:rsidRPr="00E03C26">
        <w:rPr>
          <w:rFonts w:ascii="Times New Roman" w:hAnsi="Times New Roman"/>
          <w:sz w:val="28"/>
          <w:szCs w:val="28"/>
        </w:rPr>
        <w:t xml:space="preserve"> фактически цена покупки варрантного права:</w:t>
      </w:r>
      <w:r w:rsidR="00E03C26">
        <w:rPr>
          <w:rFonts w:ascii="Times New Roman" w:hAnsi="Times New Roman"/>
          <w:sz w:val="28"/>
          <w:szCs w:val="28"/>
        </w:rPr>
        <w:t xml:space="preserve"> </w:t>
      </w:r>
      <w:r w:rsidR="004B0491" w:rsidRPr="00E03C26">
        <w:rPr>
          <w:rFonts w:ascii="Times New Roman" w:hAnsi="Times New Roman"/>
          <w:sz w:val="28"/>
          <w:szCs w:val="28"/>
        </w:rPr>
        <w:t>110+20=</w:t>
      </w:r>
      <w:r w:rsidRPr="00E03C26">
        <w:rPr>
          <w:rFonts w:ascii="Times New Roman" w:hAnsi="Times New Roman"/>
          <w:sz w:val="28"/>
          <w:szCs w:val="28"/>
        </w:rPr>
        <w:t>130.</w:t>
      </w:r>
      <w:r w:rsidR="009C7B5F" w:rsidRPr="00E03C26">
        <w:rPr>
          <w:rFonts w:ascii="Times New Roman" w:hAnsi="Times New Roman"/>
          <w:sz w:val="28"/>
          <w:szCs w:val="28"/>
        </w:rPr>
        <w:t xml:space="preserve"> </w:t>
      </w:r>
    </w:p>
    <w:p w:rsidR="008F2980" w:rsidRPr="00E03C26" w:rsidRDefault="008F2980"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Пусть инвестор имеет 1000 денежных единиц, тогда он может либо купить 10 акций по 100 или 50 варрантов по 20 единиц. </w:t>
      </w:r>
    </w:p>
    <w:p w:rsidR="008F2980" w:rsidRPr="00E03C26" w:rsidRDefault="008F2980"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Если цена акции поднимется до 130, то цена варранта может увеличится вдвое, так как в этом случае к предыдущей цене варранта добавляется разница между спотовой ценой базовой акции и ценой подпис</w:t>
      </w:r>
      <w:r w:rsidR="00555077" w:rsidRPr="00E03C26">
        <w:rPr>
          <w:rFonts w:ascii="Times New Roman" w:hAnsi="Times New Roman"/>
          <w:sz w:val="28"/>
          <w:szCs w:val="28"/>
        </w:rPr>
        <w:t>ки по варранту, следовательно, 20 + (130-110) = 40.</w:t>
      </w:r>
    </w:p>
    <w:p w:rsidR="008F2980" w:rsidRPr="00E03C26" w:rsidRDefault="008F2980"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Таким образом, в первом случае при покупке акций инвестор получит доход в размере 30%, а во втором — 100%, при этом коэффициент финансового рычага составит 3,3 к 1. </w:t>
      </w:r>
    </w:p>
    <w:p w:rsidR="00094852" w:rsidRPr="00E03C26" w:rsidRDefault="008F2980"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Однако, как и в случае с опционом, при снижении цены акции убытки инвестора по варрантам могли бы оказаться больше: более чем в три раза по сравнению с инвестициями в акции</w:t>
      </w:r>
      <w:r w:rsidR="004448F4" w:rsidRPr="00E03C26">
        <w:rPr>
          <w:rStyle w:val="a5"/>
          <w:rFonts w:ascii="Times New Roman" w:hAnsi="Times New Roman"/>
          <w:sz w:val="28"/>
          <w:szCs w:val="28"/>
        </w:rPr>
        <w:footnoteReference w:id="4"/>
      </w:r>
      <w:r w:rsidRPr="00E03C26">
        <w:rPr>
          <w:rFonts w:ascii="Times New Roman" w:hAnsi="Times New Roman"/>
          <w:sz w:val="28"/>
          <w:szCs w:val="28"/>
        </w:rPr>
        <w:t xml:space="preserve">. </w:t>
      </w:r>
    </w:p>
    <w:p w:rsidR="004448F4" w:rsidRPr="00E03C26" w:rsidRDefault="00B135DD"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Американские депозитарные расписки</w:t>
      </w:r>
      <w:r w:rsidRPr="00E03C26">
        <w:rPr>
          <w:rFonts w:ascii="Times New Roman" w:hAnsi="Times New Roman"/>
          <w:sz w:val="28"/>
          <w:szCs w:val="28"/>
        </w:rPr>
        <w:t xml:space="preserve"> – свободно обращающиеся расписки на иностранные акции, депонированные в банке США. АДР – расписка, представляющая акции корпорации, зарегистрированной за пределами США. Операции с АДР производятся вместо операций с ценными бумагами, хранящимися в банке или у попечителя.</w:t>
      </w:r>
    </w:p>
    <w:p w:rsidR="00B135DD" w:rsidRPr="00E03C26" w:rsidRDefault="00B135DD"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АДР появилась еще в 20х гг. Ее суть состоит в том, что банк хранит соответствующие акции за границей в одном из своих филиалов, а расписки эмитируются и обращаются на американском рынке.</w:t>
      </w:r>
    </w:p>
    <w:p w:rsidR="00B135DD" w:rsidRPr="00E03C26" w:rsidRDefault="00B135DD"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Держатели АДР обычно сохраняют права акционеров ценных бумаг в стране их эмиссии.</w:t>
      </w:r>
    </w:p>
    <w:p w:rsidR="004D19DE" w:rsidRPr="00E03C26" w:rsidRDefault="004D19D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По мере роста интереса к иностранной акционерной собственности депозитарные расписки перешли с внебиржевого рынка на биржевой.</w:t>
      </w:r>
      <w:r w:rsidR="00751674" w:rsidRPr="00E03C26">
        <w:rPr>
          <w:rFonts w:ascii="Times New Roman" w:hAnsi="Times New Roman"/>
          <w:sz w:val="28"/>
          <w:szCs w:val="28"/>
        </w:rPr>
        <w:t xml:space="preserve"> </w:t>
      </w:r>
    </w:p>
    <w:p w:rsidR="004D19DE" w:rsidRPr="00E03C26" w:rsidRDefault="004D19D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Интерес к АДР растет, т.к. они привлекательны и для инвесторов, и для эмитентов. Инвестору они предоставляют определенные гарантии в связи с тем, что: </w:t>
      </w:r>
      <w:r w:rsidR="00751674" w:rsidRPr="00E03C26">
        <w:rPr>
          <w:rFonts w:ascii="Times New Roman" w:hAnsi="Times New Roman"/>
          <w:sz w:val="28"/>
          <w:szCs w:val="28"/>
        </w:rPr>
        <w:t>о</w:t>
      </w:r>
      <w:r w:rsidRPr="00E03C26">
        <w:rPr>
          <w:rFonts w:ascii="Times New Roman" w:hAnsi="Times New Roman"/>
          <w:sz w:val="28"/>
          <w:szCs w:val="28"/>
        </w:rPr>
        <w:t>бладают той же ликвидностью, что и сами ценные бумаги;</w:t>
      </w:r>
      <w:r w:rsidR="00751674" w:rsidRPr="00E03C26">
        <w:rPr>
          <w:rFonts w:ascii="Times New Roman" w:hAnsi="Times New Roman"/>
          <w:sz w:val="28"/>
          <w:szCs w:val="28"/>
        </w:rPr>
        <w:t xml:space="preserve"> к</w:t>
      </w:r>
      <w:r w:rsidRPr="00E03C26">
        <w:rPr>
          <w:rFonts w:ascii="Times New Roman" w:hAnsi="Times New Roman"/>
          <w:sz w:val="28"/>
          <w:szCs w:val="28"/>
        </w:rPr>
        <w:t>отируются обычно в долларах США;</w:t>
      </w:r>
      <w:r w:rsidR="00751674" w:rsidRPr="00E03C26">
        <w:rPr>
          <w:rFonts w:ascii="Times New Roman" w:hAnsi="Times New Roman"/>
          <w:sz w:val="28"/>
          <w:szCs w:val="28"/>
        </w:rPr>
        <w:t xml:space="preserve"> п</w:t>
      </w:r>
      <w:r w:rsidRPr="00E03C26">
        <w:rPr>
          <w:rFonts w:ascii="Times New Roman" w:hAnsi="Times New Roman"/>
          <w:sz w:val="28"/>
          <w:szCs w:val="28"/>
        </w:rPr>
        <w:t>омогают институциональным инвесторам при покупке и других операциях с ценными бумагами иностранных эмитентов преодолеть законодательные ограничения;</w:t>
      </w:r>
      <w:r w:rsidR="00751674" w:rsidRPr="00E03C26">
        <w:rPr>
          <w:rFonts w:ascii="Times New Roman" w:hAnsi="Times New Roman"/>
          <w:sz w:val="28"/>
          <w:szCs w:val="28"/>
        </w:rPr>
        <w:t xml:space="preserve"> п</w:t>
      </w:r>
      <w:r w:rsidRPr="00E03C26">
        <w:rPr>
          <w:rFonts w:ascii="Times New Roman" w:hAnsi="Times New Roman"/>
          <w:sz w:val="28"/>
          <w:szCs w:val="28"/>
        </w:rPr>
        <w:t>редоставляют возможность покупать их вместо акций и использовать для получения прибыли за счет разницы котировок на американском рынке и других рынках,</w:t>
      </w:r>
      <w:r w:rsidR="00E03C26">
        <w:rPr>
          <w:rFonts w:ascii="Times New Roman" w:hAnsi="Times New Roman"/>
          <w:sz w:val="28"/>
          <w:szCs w:val="28"/>
        </w:rPr>
        <w:t xml:space="preserve"> </w:t>
      </w:r>
      <w:r w:rsidRPr="00E03C26">
        <w:rPr>
          <w:rFonts w:ascii="Times New Roman" w:hAnsi="Times New Roman"/>
          <w:sz w:val="28"/>
          <w:szCs w:val="28"/>
        </w:rPr>
        <w:t>а также для участия в капитале иностранных компаний;</w:t>
      </w:r>
      <w:r w:rsidR="00751674" w:rsidRPr="00E03C26">
        <w:rPr>
          <w:rFonts w:ascii="Times New Roman" w:hAnsi="Times New Roman"/>
          <w:sz w:val="28"/>
          <w:szCs w:val="28"/>
        </w:rPr>
        <w:t xml:space="preserve"> п</w:t>
      </w:r>
      <w:r w:rsidRPr="00E03C26">
        <w:rPr>
          <w:rFonts w:ascii="Times New Roman" w:hAnsi="Times New Roman"/>
          <w:sz w:val="28"/>
          <w:szCs w:val="28"/>
        </w:rPr>
        <w:t>озволяют облегчить не т</w:t>
      </w:r>
      <w:r w:rsidR="00096D5B" w:rsidRPr="00E03C26">
        <w:rPr>
          <w:rFonts w:ascii="Times New Roman" w:hAnsi="Times New Roman"/>
          <w:sz w:val="28"/>
          <w:szCs w:val="28"/>
        </w:rPr>
        <w:t>олько продажу ценных бумаг иностранных</w:t>
      </w:r>
      <w:r w:rsidRPr="00E03C26">
        <w:rPr>
          <w:rFonts w:ascii="Times New Roman" w:hAnsi="Times New Roman"/>
          <w:sz w:val="28"/>
          <w:szCs w:val="28"/>
        </w:rPr>
        <w:t xml:space="preserve"> эмитентов, но и получение дивидендов американским инвесторам.</w:t>
      </w:r>
    </w:p>
    <w:p w:rsidR="004D19DE" w:rsidRPr="00E03C26" w:rsidRDefault="004D19DE" w:rsidP="00E03C26">
      <w:pPr>
        <w:widowControl w:val="0"/>
        <w:tabs>
          <w:tab w:val="left" w:pos="993"/>
        </w:tabs>
        <w:spacing w:after="0" w:line="360" w:lineRule="auto"/>
        <w:ind w:firstLine="709"/>
        <w:jc w:val="both"/>
        <w:rPr>
          <w:rFonts w:ascii="Times New Roman" w:hAnsi="Times New Roman"/>
          <w:sz w:val="28"/>
          <w:szCs w:val="28"/>
        </w:rPr>
      </w:pPr>
      <w:r w:rsidRPr="00E03C26">
        <w:rPr>
          <w:rFonts w:ascii="Times New Roman" w:hAnsi="Times New Roman"/>
          <w:sz w:val="28"/>
          <w:szCs w:val="28"/>
        </w:rPr>
        <w:t>К преимуществам для эмитентов относится то, что:</w:t>
      </w:r>
      <w:r w:rsidR="00751674" w:rsidRPr="00E03C26">
        <w:rPr>
          <w:rFonts w:ascii="Times New Roman" w:hAnsi="Times New Roman"/>
          <w:sz w:val="28"/>
          <w:szCs w:val="28"/>
        </w:rPr>
        <w:t xml:space="preserve"> о</w:t>
      </w:r>
      <w:r w:rsidRPr="00E03C26">
        <w:rPr>
          <w:rFonts w:ascii="Times New Roman" w:hAnsi="Times New Roman"/>
          <w:sz w:val="28"/>
          <w:szCs w:val="28"/>
        </w:rPr>
        <w:t>ни помогают компаниям-эмитентам выйти на зарубежный рынок, а также повысить ликвидность акций, преодолеть правовые ограничения на непосредственное владение акциями;</w:t>
      </w:r>
      <w:r w:rsidR="00751674" w:rsidRPr="00E03C26">
        <w:rPr>
          <w:rFonts w:ascii="Times New Roman" w:hAnsi="Times New Roman"/>
          <w:sz w:val="28"/>
          <w:szCs w:val="28"/>
        </w:rPr>
        <w:t xml:space="preserve"> в</w:t>
      </w:r>
      <w:r w:rsidRPr="00E03C26">
        <w:rPr>
          <w:rFonts w:ascii="Times New Roman" w:hAnsi="Times New Roman"/>
          <w:sz w:val="28"/>
          <w:szCs w:val="28"/>
        </w:rPr>
        <w:t>ыпуск АДР позволяет расширить состав потенциальных инвесторов;</w:t>
      </w:r>
      <w:r w:rsidR="00751674" w:rsidRPr="00E03C26">
        <w:rPr>
          <w:rFonts w:ascii="Times New Roman" w:hAnsi="Times New Roman"/>
          <w:sz w:val="28"/>
          <w:szCs w:val="28"/>
        </w:rPr>
        <w:t xml:space="preserve"> у</w:t>
      </w:r>
      <w:r w:rsidRPr="00E03C26">
        <w:rPr>
          <w:rFonts w:ascii="Times New Roman" w:hAnsi="Times New Roman"/>
          <w:sz w:val="28"/>
          <w:szCs w:val="28"/>
        </w:rPr>
        <w:t>спешное размещение АДР повышает престиж компании-эмитента ценн</w:t>
      </w:r>
      <w:r w:rsidR="00953480" w:rsidRPr="00E03C26">
        <w:rPr>
          <w:rFonts w:ascii="Times New Roman" w:hAnsi="Times New Roman"/>
          <w:sz w:val="28"/>
          <w:szCs w:val="28"/>
        </w:rPr>
        <w:t>ы</w:t>
      </w:r>
      <w:r w:rsidRPr="00E03C26">
        <w:rPr>
          <w:rFonts w:ascii="Times New Roman" w:hAnsi="Times New Roman"/>
          <w:sz w:val="28"/>
          <w:szCs w:val="28"/>
        </w:rPr>
        <w:t>х бумаг и доверие со стороны инвесторов, а также влияте на цены этих бумаг;</w:t>
      </w:r>
      <w:r w:rsidR="00751674" w:rsidRPr="00E03C26">
        <w:rPr>
          <w:rFonts w:ascii="Times New Roman" w:hAnsi="Times New Roman"/>
          <w:sz w:val="28"/>
          <w:szCs w:val="28"/>
        </w:rPr>
        <w:t xml:space="preserve"> к</w:t>
      </w:r>
      <w:r w:rsidR="00953480" w:rsidRPr="00E03C26">
        <w:rPr>
          <w:rFonts w:ascii="Times New Roman" w:hAnsi="Times New Roman"/>
          <w:sz w:val="28"/>
          <w:szCs w:val="28"/>
        </w:rPr>
        <w:t>омпании могут определить рыночную стоимость своих акций, а также привлечь капитал иностранных инвесторов.</w:t>
      </w:r>
    </w:p>
    <w:p w:rsidR="00953480" w:rsidRPr="00E03C26" w:rsidRDefault="00953480"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АДР бывают </w:t>
      </w:r>
      <w:r w:rsidRPr="00E03C26">
        <w:rPr>
          <w:rFonts w:ascii="Times New Roman" w:hAnsi="Times New Roman"/>
          <w:i/>
          <w:sz w:val="28"/>
          <w:szCs w:val="28"/>
        </w:rPr>
        <w:t>спонсируемые</w:t>
      </w:r>
      <w:r w:rsidRPr="00E03C26">
        <w:rPr>
          <w:rFonts w:ascii="Times New Roman" w:hAnsi="Times New Roman"/>
          <w:sz w:val="28"/>
          <w:szCs w:val="28"/>
        </w:rPr>
        <w:t xml:space="preserve"> и </w:t>
      </w:r>
      <w:r w:rsidRPr="00E03C26">
        <w:rPr>
          <w:rFonts w:ascii="Times New Roman" w:hAnsi="Times New Roman"/>
          <w:i/>
          <w:sz w:val="28"/>
          <w:szCs w:val="28"/>
        </w:rPr>
        <w:t>неспонсируемые</w:t>
      </w:r>
      <w:r w:rsidRPr="00E03C26">
        <w:rPr>
          <w:rFonts w:ascii="Times New Roman" w:hAnsi="Times New Roman"/>
          <w:sz w:val="28"/>
          <w:szCs w:val="28"/>
        </w:rPr>
        <w:t>. Если расписки выпускаются по запросу эмитента, то они считаются спонсируемыми, эмитент оплачивает расходы по спонсируемой программе. Такие АДР регистрируются в Комиссии по ценным бумагам и биржам.</w:t>
      </w:r>
    </w:p>
    <w:p w:rsidR="00953480" w:rsidRPr="00E03C26" w:rsidRDefault="00953480"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Банки могут создавать неспонсируемые расписки по запросу инвесторов; держатели таких расписок несут все расходы, в том числе плату за депонирование и изъятие ценных бумаг из депозитария, конвертацию дивидендов в доллары и др. услуги. Неспонсируемые программы сейчас считаются устаревшими и выпускаются редко.</w:t>
      </w:r>
    </w:p>
    <w:p w:rsidR="00751674" w:rsidRPr="00E03C26" w:rsidRDefault="00E47508"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Одной из главных причин</w:t>
      </w:r>
      <w:r w:rsidR="00953480" w:rsidRPr="00E03C26">
        <w:rPr>
          <w:rFonts w:ascii="Times New Roman" w:hAnsi="Times New Roman"/>
          <w:sz w:val="28"/>
          <w:szCs w:val="28"/>
        </w:rPr>
        <w:t xml:space="preserve"> появления депозитарный расписок в РФ были определённые трудности в части проведения спекуляций иностранными портфельными инвесторами, связанные с отсутствием в стране чётких гарантий при переоформлении прав собственности на приобретённые акции. На американском рынке, например, обращались расписки, выпущенные на акции ТД "ГУМ", НК"ЛУКойл", Инкомбанка и др. Выпуском АДР на акции этих и других учреждений, а также их размещением, занимались, прошедшие аудит по международным стандартам, такие известные корпорации, как РАО"ЕЭС России", ОАО"Ростелеком", ОАО"Мосэнерго", ОАО"Сургутнеф</w:t>
      </w:r>
      <w:r w:rsidRPr="00E03C26">
        <w:rPr>
          <w:rFonts w:ascii="Times New Roman" w:hAnsi="Times New Roman"/>
          <w:sz w:val="28"/>
          <w:szCs w:val="28"/>
        </w:rPr>
        <w:t>тегаз"</w:t>
      </w:r>
      <w:r w:rsidR="00953480" w:rsidRPr="00E03C26">
        <w:rPr>
          <w:rFonts w:ascii="Times New Roman" w:hAnsi="Times New Roman"/>
          <w:sz w:val="28"/>
          <w:szCs w:val="28"/>
        </w:rPr>
        <w:t xml:space="preserve">. Выпущенные российскими корпорациями АДР, позволяли их владельцам иметь все права акционеров, в т.ч. получения дивидендов, а также работать на американском рынке при наличии некоторых объективных ограничений. </w:t>
      </w:r>
    </w:p>
    <w:p w:rsidR="004B0491" w:rsidRPr="00E03C26" w:rsidRDefault="004B0491" w:rsidP="00E03C26">
      <w:pPr>
        <w:widowControl w:val="0"/>
        <w:spacing w:after="0" w:line="360" w:lineRule="auto"/>
        <w:ind w:firstLine="709"/>
        <w:jc w:val="both"/>
        <w:rPr>
          <w:rFonts w:ascii="Times New Roman" w:hAnsi="Times New Roman"/>
          <w:sz w:val="28"/>
          <w:szCs w:val="28"/>
        </w:rPr>
      </w:pPr>
      <w:bookmarkStart w:id="3" w:name="_Toc274051000"/>
    </w:p>
    <w:p w:rsidR="00751674" w:rsidRPr="00E03C26" w:rsidRDefault="00E03C26" w:rsidP="00E03C26">
      <w:pPr>
        <w:pStyle w:val="1"/>
        <w:keepNext w:val="0"/>
        <w:widowControl w:val="0"/>
        <w:spacing w:before="0" w:after="0" w:line="360" w:lineRule="auto"/>
        <w:ind w:firstLine="709"/>
        <w:jc w:val="both"/>
        <w:rPr>
          <w:rFonts w:ascii="Times New Roman" w:hAnsi="Times New Roman"/>
          <w:sz w:val="28"/>
          <w:szCs w:val="28"/>
        </w:rPr>
      </w:pPr>
      <w:r>
        <w:rPr>
          <w:rFonts w:ascii="Times New Roman" w:hAnsi="Times New Roman"/>
          <w:sz w:val="28"/>
          <w:szCs w:val="28"/>
        </w:rPr>
        <w:br w:type="page"/>
      </w:r>
      <w:r w:rsidR="00751674" w:rsidRPr="00E03C26">
        <w:rPr>
          <w:rFonts w:ascii="Times New Roman" w:hAnsi="Times New Roman"/>
          <w:sz w:val="28"/>
          <w:szCs w:val="28"/>
        </w:rPr>
        <w:t>Глава 2. Хара</w:t>
      </w:r>
      <w:r w:rsidR="00C316AE" w:rsidRPr="00E03C26">
        <w:rPr>
          <w:rFonts w:ascii="Times New Roman" w:hAnsi="Times New Roman"/>
          <w:sz w:val="28"/>
          <w:szCs w:val="28"/>
        </w:rPr>
        <w:t>ктеристика опционов и фьючерсов</w:t>
      </w:r>
      <w:bookmarkEnd w:id="3"/>
    </w:p>
    <w:p w:rsidR="00E03C26" w:rsidRDefault="00E03C26" w:rsidP="00E03C26">
      <w:pPr>
        <w:widowControl w:val="0"/>
        <w:spacing w:after="0" w:line="360" w:lineRule="auto"/>
        <w:ind w:firstLine="709"/>
        <w:jc w:val="both"/>
        <w:rPr>
          <w:rFonts w:ascii="Times New Roman" w:hAnsi="Times New Roman"/>
          <w:b/>
          <w:sz w:val="28"/>
          <w:szCs w:val="28"/>
        </w:rPr>
      </w:pPr>
    </w:p>
    <w:p w:rsidR="001F07E7" w:rsidRPr="00E03C26" w:rsidRDefault="001F07E7"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Опционом</w:t>
      </w:r>
      <w:r w:rsidRPr="00E03C26">
        <w:rPr>
          <w:rFonts w:ascii="Times New Roman" w:hAnsi="Times New Roman"/>
          <w:sz w:val="28"/>
          <w:szCs w:val="28"/>
        </w:rPr>
        <w:t xml:space="preserve"> называется контракт, дающий право (но не обязательство) его получателю на покупку (продажу) базового актива у продавца</w:t>
      </w:r>
      <w:r w:rsidR="00E03C26">
        <w:rPr>
          <w:rFonts w:ascii="Times New Roman" w:hAnsi="Times New Roman"/>
          <w:sz w:val="28"/>
          <w:szCs w:val="28"/>
        </w:rPr>
        <w:t xml:space="preserve"> </w:t>
      </w:r>
      <w:r w:rsidRPr="00E03C26">
        <w:rPr>
          <w:rFonts w:ascii="Times New Roman" w:hAnsi="Times New Roman"/>
          <w:sz w:val="28"/>
          <w:szCs w:val="28"/>
        </w:rPr>
        <w:t>в течение оговоренного срока исполнения контракта по заранее оговоренной цене с уплатой за это право последнему определенного вознаграждения, называемого премией (или ценой контракта</w:t>
      </w:r>
      <w:r w:rsidR="00E47508" w:rsidRPr="00E03C26">
        <w:rPr>
          <w:rFonts w:ascii="Times New Roman" w:hAnsi="Times New Roman"/>
          <w:sz w:val="28"/>
          <w:szCs w:val="28"/>
        </w:rPr>
        <w:t>).</w:t>
      </w:r>
      <w:r w:rsidRPr="00E03C26">
        <w:rPr>
          <w:rFonts w:ascii="Times New Roman" w:hAnsi="Times New Roman"/>
          <w:sz w:val="28"/>
          <w:szCs w:val="28"/>
        </w:rPr>
        <w:t xml:space="preserve"> Премия – единственная переменная величина сделки, все остальные условия и суммы не подлежат изменению. Цена опциона формируется под влиянием спроса и предложения. Существуют опцион «колл» и опцион «пут».</w:t>
      </w:r>
    </w:p>
    <w:p w:rsidR="001F07E7" w:rsidRPr="00E03C26" w:rsidRDefault="004C2CE7"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Опцион </w:t>
      </w:r>
      <w:r w:rsidRPr="00E03C26">
        <w:rPr>
          <w:rFonts w:ascii="Times New Roman" w:hAnsi="Times New Roman"/>
          <w:b/>
          <w:sz w:val="28"/>
          <w:szCs w:val="28"/>
        </w:rPr>
        <w:t>«колл»</w:t>
      </w:r>
      <w:r w:rsidRPr="00E03C26">
        <w:rPr>
          <w:rFonts w:ascii="Times New Roman" w:hAnsi="Times New Roman"/>
          <w:sz w:val="28"/>
          <w:szCs w:val="28"/>
        </w:rPr>
        <w:t xml:space="preserve"> (на покупку) предоставляет его владельцу право купить в будущем ценную бумагу по фиксированной цене – цене исполнения опциона. Премия, уплачиваемая за приобретение, обычно составляет лишь небольшую часть цены базовой бумаги. В итоге покупатель опциона выигрывает или теряет на изменении цены бумаги, фактически не владея ею. Вместе с тем владелец опциона хорошо знает, что убыток, который возможен, не превысит величину премии, поэтому он может отказаться от его исполнения, если к наступлению срока его исполнения рыночная цена базовой бумаги окажется ниже цены, зафиксированной в опционе (цены тсполнения).</w:t>
      </w:r>
    </w:p>
    <w:p w:rsidR="00696127" w:rsidRPr="00E03C26" w:rsidRDefault="00696127"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В зависимости от сроков исполнения различают опционы </w:t>
      </w:r>
      <w:r w:rsidRPr="00E03C26">
        <w:rPr>
          <w:rFonts w:ascii="Times New Roman" w:hAnsi="Times New Roman"/>
          <w:b/>
          <w:sz w:val="28"/>
          <w:szCs w:val="28"/>
        </w:rPr>
        <w:t>европейские</w:t>
      </w:r>
      <w:r w:rsidRPr="00E03C26">
        <w:rPr>
          <w:rFonts w:ascii="Times New Roman" w:hAnsi="Times New Roman"/>
          <w:sz w:val="28"/>
          <w:szCs w:val="28"/>
        </w:rPr>
        <w:t xml:space="preserve"> (могут быть исполнены в момент их погашения) и </w:t>
      </w:r>
      <w:r w:rsidRPr="00E03C26">
        <w:rPr>
          <w:rFonts w:ascii="Times New Roman" w:hAnsi="Times New Roman"/>
          <w:b/>
          <w:sz w:val="28"/>
          <w:szCs w:val="28"/>
        </w:rPr>
        <w:t>американские</w:t>
      </w:r>
      <w:r w:rsidRPr="00E03C26">
        <w:rPr>
          <w:rFonts w:ascii="Times New Roman" w:hAnsi="Times New Roman"/>
          <w:sz w:val="28"/>
          <w:szCs w:val="28"/>
        </w:rPr>
        <w:t xml:space="preserve"> (могут быть исполнены в любое время до истечения срока их действия).</w:t>
      </w:r>
    </w:p>
    <w:p w:rsidR="003C7824" w:rsidRPr="00E03C26" w:rsidRDefault="00C316A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Опцион </w:t>
      </w:r>
      <w:r w:rsidRPr="00E03C26">
        <w:rPr>
          <w:rFonts w:ascii="Times New Roman" w:hAnsi="Times New Roman"/>
          <w:b/>
          <w:sz w:val="28"/>
          <w:szCs w:val="28"/>
        </w:rPr>
        <w:t>«пут»</w:t>
      </w:r>
      <w:r w:rsidRPr="00E03C26">
        <w:rPr>
          <w:rFonts w:ascii="Times New Roman" w:hAnsi="Times New Roman"/>
          <w:sz w:val="28"/>
          <w:szCs w:val="28"/>
        </w:rPr>
        <w:t xml:space="preserve"> предоставляет право его держателю продать в будущем ценную бумагу по фиксированной цене – цене исполнения. Имеет место право, но не обязательство продать ценную бумагу, и если к моменту исполнения опциона рыночная цена этой бумаги окажется выше фиксированной, то владелец опциона имеет право не исполнять его.</w:t>
      </w:r>
    </w:p>
    <w:p w:rsidR="003C7824" w:rsidRPr="00E03C26" w:rsidRDefault="00C316A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Пример</w:t>
      </w:r>
      <w:r w:rsidR="00E47508" w:rsidRPr="00E03C26">
        <w:rPr>
          <w:rFonts w:ascii="Times New Roman" w:hAnsi="Times New Roman"/>
          <w:b/>
          <w:sz w:val="28"/>
          <w:szCs w:val="28"/>
        </w:rPr>
        <w:t>.</w:t>
      </w:r>
      <w:r w:rsidR="00E47508" w:rsidRPr="00E03C26">
        <w:rPr>
          <w:rFonts w:ascii="Times New Roman" w:hAnsi="Times New Roman"/>
          <w:sz w:val="28"/>
          <w:szCs w:val="28"/>
        </w:rPr>
        <w:t xml:space="preserve"> </w:t>
      </w:r>
      <w:r w:rsidR="003C7824" w:rsidRPr="00E03C26">
        <w:rPr>
          <w:rFonts w:ascii="Times New Roman" w:hAnsi="Times New Roman"/>
          <w:sz w:val="28"/>
          <w:szCs w:val="28"/>
        </w:rPr>
        <w:t>Пусть инвестор покупает</w:t>
      </w:r>
      <w:r w:rsidR="00B84721" w:rsidRPr="00E03C26">
        <w:rPr>
          <w:rFonts w:ascii="Times New Roman" w:hAnsi="Times New Roman"/>
          <w:sz w:val="28"/>
          <w:szCs w:val="28"/>
        </w:rPr>
        <w:t xml:space="preserve"> 1 акцию по цене</w:t>
      </w:r>
      <w:r w:rsidR="004775C4" w:rsidRPr="00E03C26">
        <w:rPr>
          <w:rFonts w:ascii="Times New Roman" w:hAnsi="Times New Roman"/>
          <w:sz w:val="28"/>
          <w:szCs w:val="28"/>
        </w:rPr>
        <w:t xml:space="preserve"> 200$</w:t>
      </w:r>
      <w:r w:rsidR="003C7824" w:rsidRPr="00E03C26">
        <w:rPr>
          <w:rFonts w:ascii="Times New Roman" w:hAnsi="Times New Roman"/>
          <w:sz w:val="28"/>
          <w:szCs w:val="28"/>
        </w:rPr>
        <w:t xml:space="preserve">. За эти же деньги, то есть за премию 2$ за акцию можно приобрести на опционном рынке </w:t>
      </w:r>
      <w:r w:rsidR="00B84721" w:rsidRPr="00E03C26">
        <w:rPr>
          <w:rFonts w:ascii="Times New Roman" w:hAnsi="Times New Roman"/>
          <w:sz w:val="28"/>
          <w:szCs w:val="28"/>
        </w:rPr>
        <w:t>опцион «колл»</w:t>
      </w:r>
      <w:r w:rsidR="003C7824" w:rsidRPr="00E03C26">
        <w:rPr>
          <w:rFonts w:ascii="Times New Roman" w:hAnsi="Times New Roman"/>
          <w:sz w:val="28"/>
          <w:szCs w:val="28"/>
        </w:rPr>
        <w:t xml:space="preserve"> продолжительностью 1 месяц на</w:t>
      </w:r>
      <w:r w:rsidR="00B84721" w:rsidRPr="00E03C26">
        <w:rPr>
          <w:rFonts w:ascii="Times New Roman" w:hAnsi="Times New Roman"/>
          <w:sz w:val="28"/>
          <w:szCs w:val="28"/>
        </w:rPr>
        <w:t xml:space="preserve"> покупку 100 акций компании по цене</w:t>
      </w:r>
      <w:r w:rsidR="004775C4" w:rsidRPr="00E03C26">
        <w:rPr>
          <w:rFonts w:ascii="Times New Roman" w:hAnsi="Times New Roman"/>
          <w:sz w:val="28"/>
          <w:szCs w:val="28"/>
        </w:rPr>
        <w:t xml:space="preserve"> 210$</w:t>
      </w:r>
      <w:r w:rsidR="003C7824" w:rsidRPr="00E03C26">
        <w:rPr>
          <w:rFonts w:ascii="Times New Roman" w:hAnsi="Times New Roman"/>
          <w:sz w:val="28"/>
          <w:szCs w:val="28"/>
        </w:rPr>
        <w:t>.</w:t>
      </w:r>
      <w:r w:rsidR="00E03C26">
        <w:rPr>
          <w:rFonts w:ascii="Times New Roman" w:hAnsi="Times New Roman"/>
          <w:sz w:val="28"/>
          <w:szCs w:val="28"/>
        </w:rPr>
        <w:t xml:space="preserve"> </w:t>
      </w:r>
      <w:r w:rsidR="003C7824" w:rsidRPr="00E03C26">
        <w:rPr>
          <w:rFonts w:ascii="Times New Roman" w:hAnsi="Times New Roman"/>
          <w:sz w:val="28"/>
          <w:szCs w:val="28"/>
        </w:rPr>
        <w:t>Предположим, что курс акций выр</w:t>
      </w:r>
      <w:r w:rsidR="00B84721" w:rsidRPr="00E03C26">
        <w:rPr>
          <w:rFonts w:ascii="Times New Roman" w:hAnsi="Times New Roman"/>
          <w:sz w:val="28"/>
          <w:szCs w:val="28"/>
        </w:rPr>
        <w:t>ос в течение десяти дней на 20$</w:t>
      </w:r>
      <w:r w:rsidR="003C7824" w:rsidRPr="00E03C26">
        <w:rPr>
          <w:rFonts w:ascii="Times New Roman" w:hAnsi="Times New Roman"/>
          <w:sz w:val="28"/>
          <w:szCs w:val="28"/>
        </w:rPr>
        <w:t>. Если держатель опциона воспользуется в этот момент своим правом, он может перепродать эти 100 акций с доходом 220$ — 210$ = 10$ за каждую акцию, в общем заработав 10$ х 100 = 1000$ , или за вычетом уплаченной премии в размере 200$ будет иметь прибыль 800$ .</w:t>
      </w:r>
    </w:p>
    <w:p w:rsidR="003C7824" w:rsidRPr="00E03C26" w:rsidRDefault="003C7824"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Сравнительно с покупкой опциона покупка одной акции принесла бы инвестору доход только в 220$ — 200$ = 20$ . То есть в описанном случае удачный опцион оказывается примерно в 40 раз прибыльнее, а коэффициент финансового рычага составляет 40 к 1. С другой стороны, при невозрастании курса акции (и</w:t>
      </w:r>
      <w:r w:rsidR="00B84721" w:rsidRPr="00E03C26">
        <w:rPr>
          <w:rFonts w:ascii="Times New Roman" w:hAnsi="Times New Roman"/>
          <w:sz w:val="28"/>
          <w:szCs w:val="28"/>
        </w:rPr>
        <w:t>ли росте, не превосходящем 210$</w:t>
      </w:r>
      <w:r w:rsidRPr="00E03C26">
        <w:rPr>
          <w:rFonts w:ascii="Times New Roman" w:hAnsi="Times New Roman"/>
          <w:sz w:val="28"/>
          <w:szCs w:val="28"/>
        </w:rPr>
        <w:t>) деньги, потраченные на приобретение опциона, оказались бы потерянными, в то время как акция сохранила бы их владельцу.</w:t>
      </w:r>
    </w:p>
    <w:p w:rsidR="003C7824" w:rsidRPr="00E03C26" w:rsidRDefault="003C7824"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Таким образом, опцион — это высокорискованное вложение и отношение риска к доходу у опционов чрезвычайно велико.</w:t>
      </w:r>
    </w:p>
    <w:p w:rsidR="0020158A" w:rsidRPr="00E03C26" w:rsidRDefault="0020158A"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Фьючерсы</w:t>
      </w:r>
      <w:r w:rsidRPr="00E03C26">
        <w:rPr>
          <w:rFonts w:ascii="Times New Roman" w:hAnsi="Times New Roman"/>
          <w:sz w:val="28"/>
          <w:szCs w:val="28"/>
        </w:rPr>
        <w:t xml:space="preserve"> - срочные контракты (взаимные обязательства сторон), заключаемые по поводу купли-продажи в будущем (на установленную дату) классических видов ценных бумаг по цене, зафиксированной при их подписании. Поставка реальных бумаг по фьючерсам не обязательна. Могут заключаться также контракты по поводу биржевых индексов и других объектов. Стороны, как правило, ограничиваются взаимными денежными расчётами по результатам сделки в день её исполнения. Такие контракты могут многократно перепродавать</w:t>
      </w:r>
      <w:r w:rsidR="00920CF4" w:rsidRPr="00E03C26">
        <w:rPr>
          <w:rFonts w:ascii="Times New Roman" w:hAnsi="Times New Roman"/>
          <w:sz w:val="28"/>
          <w:szCs w:val="28"/>
        </w:rPr>
        <w:t>ся в течение срока их действия.</w:t>
      </w:r>
    </w:p>
    <w:p w:rsidR="00751868" w:rsidRPr="00E03C26" w:rsidRDefault="00751868"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Цель участников торговли фьючерсами состоит в игре на разнице цен. Приобретая контракт, его владелец рассчитывает продать его по более высокой цене, а продавец надеется на приобретение иакого же контракта в будущем, но по более низкой цене.</w:t>
      </w:r>
    </w:p>
    <w:p w:rsidR="003B10D3" w:rsidRPr="00E03C26" w:rsidRDefault="003B10D3"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С фьючерсными контрактами, так же, как и с опционными, имеют дело два типа лиц — спекулянты и хеджеры. </w:t>
      </w:r>
      <w:r w:rsidRPr="00E03C26">
        <w:rPr>
          <w:rFonts w:ascii="Times New Roman" w:hAnsi="Times New Roman"/>
          <w:b/>
          <w:sz w:val="28"/>
          <w:szCs w:val="28"/>
        </w:rPr>
        <w:t>Хеджирование</w:t>
      </w:r>
      <w:r w:rsidRPr="00E03C26">
        <w:rPr>
          <w:rFonts w:ascii="Times New Roman" w:hAnsi="Times New Roman"/>
          <w:sz w:val="28"/>
          <w:szCs w:val="28"/>
        </w:rPr>
        <w:t xml:space="preserve"> – это страхование рисков от не благоприятного изменения цен путём заключения сделок на срочном или биржевом рынке. Раскроем суть</w:t>
      </w:r>
      <w:r w:rsidR="00E03C26">
        <w:rPr>
          <w:rFonts w:ascii="Times New Roman" w:hAnsi="Times New Roman"/>
          <w:sz w:val="28"/>
          <w:szCs w:val="28"/>
        </w:rPr>
        <w:t xml:space="preserve"> </w:t>
      </w:r>
      <w:r w:rsidRPr="00E03C26">
        <w:rPr>
          <w:rFonts w:ascii="Times New Roman" w:hAnsi="Times New Roman"/>
          <w:sz w:val="28"/>
          <w:szCs w:val="28"/>
        </w:rPr>
        <w:t>хеджирования на примерах.</w:t>
      </w:r>
    </w:p>
    <w:p w:rsidR="003B10D3" w:rsidRPr="00E03C26" w:rsidRDefault="003B10D3"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i/>
          <w:sz w:val="28"/>
          <w:szCs w:val="28"/>
        </w:rPr>
        <w:t>Хеджирование с помощью фьючерсов</w:t>
      </w:r>
      <w:r w:rsidRPr="00E03C26">
        <w:rPr>
          <w:rFonts w:ascii="Times New Roman" w:hAnsi="Times New Roman"/>
          <w:sz w:val="28"/>
          <w:szCs w:val="28"/>
        </w:rPr>
        <w:t xml:space="preserve">. Представим себе производителя дизельного топлива, который в январе планирует свою деятельность и считает, что текущая цена дизельного топлива с поставкой в летние месяцы обеспечивает ему издержки производства и прибыль. Но он опасается, что к лету эта цена понизиться. Не имея в январе реального товара, он продает непроизведенный товар в количестве, которое соответствует его возможностям: 100 контрактов по </w:t>
      </w:r>
      <w:smartTag w:uri="urn:schemas-microsoft-com:office:smarttags" w:element="metricconverter">
        <w:smartTagPr>
          <w:attr w:name="ProductID" w:val="42 000 галлонов"/>
        </w:smartTagPr>
        <w:r w:rsidRPr="00E03C26">
          <w:rPr>
            <w:rFonts w:ascii="Times New Roman" w:hAnsi="Times New Roman"/>
            <w:sz w:val="28"/>
            <w:szCs w:val="28"/>
          </w:rPr>
          <w:t>42 000 галлонов</w:t>
        </w:r>
      </w:smartTag>
      <w:r w:rsidRPr="00E03C26">
        <w:rPr>
          <w:rFonts w:ascii="Times New Roman" w:hAnsi="Times New Roman"/>
          <w:sz w:val="28"/>
          <w:szCs w:val="28"/>
        </w:rPr>
        <w:t xml:space="preserve"> каждый, цена с поставкой в летние месяцы 50 центов за галлон. Проходит время, летом цена на наличное топливо действительно понижается. Однако хеджер не несет убытки, т.к. он закрывает свою позицию продавца на бирже по более низкой цене</w:t>
      </w:r>
      <w:r w:rsidRPr="00E03C26">
        <w:rPr>
          <w:rStyle w:val="a5"/>
          <w:rFonts w:ascii="Times New Roman" w:hAnsi="Times New Roman"/>
          <w:sz w:val="28"/>
          <w:szCs w:val="28"/>
        </w:rPr>
        <w:footnoteReference w:id="5"/>
      </w:r>
      <w:r w:rsidRPr="00E03C26">
        <w:rPr>
          <w:rFonts w:ascii="Times New Roman" w:hAnsi="Times New Roman"/>
          <w:sz w:val="28"/>
          <w:szCs w:val="28"/>
        </w:rPr>
        <w:t>.</w:t>
      </w:r>
    </w:p>
    <w:p w:rsidR="003B10D3" w:rsidRPr="00E03C26" w:rsidRDefault="003B10D3"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С помощью опционов можно страховаться от повышения и понижения цены базисного актива. При хеджировании от роста цены базисного актива покупают опцион колл, при страховании от падения цены базисного актива покупают опцион пут</w:t>
      </w:r>
      <w:r w:rsidRPr="00E03C26">
        <w:rPr>
          <w:rStyle w:val="a5"/>
          <w:rFonts w:ascii="Times New Roman" w:hAnsi="Times New Roman"/>
          <w:sz w:val="28"/>
          <w:szCs w:val="28"/>
        </w:rPr>
        <w:footnoteReference w:id="6"/>
      </w:r>
      <w:r w:rsidRPr="00E03C26">
        <w:rPr>
          <w:rFonts w:ascii="Times New Roman" w:hAnsi="Times New Roman"/>
          <w:sz w:val="28"/>
          <w:szCs w:val="28"/>
        </w:rPr>
        <w:t xml:space="preserve">. </w:t>
      </w:r>
    </w:p>
    <w:p w:rsidR="003B10D3" w:rsidRPr="00E03C26" w:rsidRDefault="003B10D3"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Пример 1</w:t>
      </w:r>
      <w:r w:rsidRPr="00E03C26">
        <w:rPr>
          <w:rFonts w:ascii="Times New Roman" w:hAnsi="Times New Roman"/>
          <w:sz w:val="28"/>
          <w:szCs w:val="28"/>
        </w:rPr>
        <w:t>. Инвестор планирует купить через три месяца акцию. Он опасается, что к этому моменту цена может вырасти, поэтому покупает трехмесячный опцион колл с ценой исполнения 100 руб. за 5 руб. К моменту истечения срока действия контракта курс акции равен 120 руб. Тогда инвестор исполняет опцион, т.е. покупает акцию за 100 руб. С учетом уплаченной за опцион премии фактическая цена покупки бумаги составила 105 руб.</w:t>
      </w:r>
      <w:r w:rsidR="00E03C26">
        <w:rPr>
          <w:rFonts w:ascii="Times New Roman" w:hAnsi="Times New Roman"/>
          <w:sz w:val="28"/>
          <w:szCs w:val="28"/>
        </w:rPr>
        <w:t xml:space="preserve"> </w:t>
      </w:r>
      <w:r w:rsidRPr="00E03C26">
        <w:rPr>
          <w:rFonts w:ascii="Times New Roman" w:hAnsi="Times New Roman"/>
          <w:sz w:val="28"/>
          <w:szCs w:val="28"/>
        </w:rPr>
        <w:t>Допустим, к моменту истечения срока действия контракта курс акции равен 80 руб. Инвестор не исполняет опцион и покупает акцию. Фактическая цена покупки составляет 85 руб.</w:t>
      </w:r>
    </w:p>
    <w:p w:rsidR="003B10D3" w:rsidRPr="00E03C26" w:rsidRDefault="003B10D3"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Пример 2</w:t>
      </w:r>
      <w:r w:rsidRPr="00E03C26">
        <w:rPr>
          <w:rFonts w:ascii="Times New Roman" w:hAnsi="Times New Roman"/>
          <w:sz w:val="28"/>
          <w:szCs w:val="28"/>
        </w:rPr>
        <w:t>. Инвестор владеет акцией, курс которой равен 100 руб. Он опасается падения ее цены в течение следующих трех месяцев и покупает трехмесячный опцион пут с ценой исполнения 100 руб. за 5 руб. Через три месяца курс акции составил 80 руб. Тогда инвестор исполнил опцион, т. е. продал акцию за 100 руб. С учетом уплаченной премии он фактически получил за акцию 95 руб. Если цена акции выросла до 120 руб., он не исполнил опцион, а продал акцию на спотовом рынке по этой цене. С учетом премии фактически полученная цена составила 125руб.</w:t>
      </w:r>
    </w:p>
    <w:p w:rsidR="003B10D3" w:rsidRPr="00E03C26" w:rsidRDefault="003B10D3"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Как видно из примеров, хеджирование с помощью опционов позволяет инвестору застраховаться от неблагоприятной конъюнктуры, но оставляет возможность воспользоваться благоприятным развитием событий.</w:t>
      </w:r>
    </w:p>
    <w:p w:rsidR="003B10D3" w:rsidRPr="00E03C26" w:rsidRDefault="003B10D3"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Страхование от роста цены базисного актива можно осуществить продажей опциона пут, а хеджирование от падения цены – продажей опциона колл. Однако в отмеченных случаях страховка ограничивается только величиной полученной премии</w:t>
      </w:r>
    </w:p>
    <w:p w:rsidR="003B10D3" w:rsidRPr="00E03C26" w:rsidRDefault="003B10D3"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Пример 3</w:t>
      </w:r>
      <w:r w:rsidRPr="00E03C26">
        <w:rPr>
          <w:rFonts w:ascii="Times New Roman" w:hAnsi="Times New Roman"/>
          <w:sz w:val="28"/>
          <w:szCs w:val="28"/>
        </w:rPr>
        <w:t>. Инвестор планирует купить через три месяца акцию. Опасаясь роста цены акции в будущем, он страхуется продажей трехмесячного опциона пут с ценой исполнения 100 руб. за 5 руб. Страховка сработает, если курс акции не превысит 105 руб.</w:t>
      </w:r>
    </w:p>
    <w:p w:rsidR="003B10D3" w:rsidRPr="00E03C26" w:rsidRDefault="003B10D3"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Пример 4</w:t>
      </w:r>
      <w:r w:rsidRPr="00E03C26">
        <w:rPr>
          <w:rFonts w:ascii="Times New Roman" w:hAnsi="Times New Roman"/>
          <w:sz w:val="28"/>
          <w:szCs w:val="28"/>
        </w:rPr>
        <w:t>. Инвестор владеет акцией, курс которой равен 100 руб. Он опасается падения ее цены в течение следующих трех месяцев и страхуется продажей опциона колл с ценой исполнения 100 руб. за 5 руб. Страховка сработает, если курс акции не опустится ниже 95 руб.</w:t>
      </w:r>
    </w:p>
    <w:p w:rsidR="00D971ED" w:rsidRPr="00E03C26" w:rsidRDefault="00D971ED"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Крупнейшими центрами торговли опционами и фьючерсами являются американские биржи, в частности, Чикагская биржа опционов, Лондонская международная биржа финансовых фьючерсов, парижские биржи опционов и фьючерсов, амстердамская Европейская биржа опционов, Сингапурская международная валютная биржа, Сиднейская фьючерская биржа.</w:t>
      </w:r>
    </w:p>
    <w:p w:rsidR="004B5A31" w:rsidRPr="00E03C26" w:rsidRDefault="001365A2" w:rsidP="00E03C26">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E03C26">
        <w:rPr>
          <w:rFonts w:ascii="Times New Roman" w:eastAsia="TimesNewRoman" w:hAnsi="Times New Roman"/>
          <w:sz w:val="28"/>
          <w:szCs w:val="28"/>
        </w:rPr>
        <w:t>Поистине «взрывным» десятилетием для развития производных финансовых инструментов стали 90-е годы (таблица 2).</w:t>
      </w:r>
    </w:p>
    <w:p w:rsidR="00096D5B" w:rsidRPr="00E03C26" w:rsidRDefault="00096D5B" w:rsidP="00E03C26">
      <w:pPr>
        <w:widowControl w:val="0"/>
        <w:autoSpaceDE w:val="0"/>
        <w:autoSpaceDN w:val="0"/>
        <w:adjustRightInd w:val="0"/>
        <w:spacing w:after="0" w:line="360" w:lineRule="auto"/>
        <w:ind w:firstLine="709"/>
        <w:jc w:val="both"/>
        <w:rPr>
          <w:rFonts w:ascii="Times New Roman" w:eastAsia="TimesNewRoman" w:hAnsi="Times New Roman"/>
          <w:sz w:val="28"/>
          <w:szCs w:val="28"/>
        </w:rPr>
      </w:pPr>
    </w:p>
    <w:p w:rsidR="001365A2" w:rsidRPr="00E03C26" w:rsidRDefault="00E03C26" w:rsidP="00E03C26">
      <w:pPr>
        <w:widowControl w:val="0"/>
        <w:autoSpaceDE w:val="0"/>
        <w:autoSpaceDN w:val="0"/>
        <w:adjustRightInd w:val="0"/>
        <w:spacing w:after="0" w:line="360" w:lineRule="auto"/>
        <w:ind w:firstLine="709"/>
        <w:jc w:val="both"/>
        <w:rPr>
          <w:rFonts w:ascii="Times New Roman" w:eastAsia="TimesNewRoman" w:hAnsi="Times New Roman"/>
          <w:sz w:val="28"/>
          <w:szCs w:val="28"/>
        </w:rPr>
      </w:pPr>
      <w:r>
        <w:rPr>
          <w:rFonts w:ascii="Times New Roman" w:eastAsia="TimesNewRoman" w:hAnsi="Times New Roman"/>
          <w:sz w:val="28"/>
          <w:szCs w:val="28"/>
        </w:rPr>
        <w:br w:type="page"/>
      </w:r>
      <w:r w:rsidR="001365A2" w:rsidRPr="00E03C26">
        <w:rPr>
          <w:rFonts w:ascii="Times New Roman" w:eastAsia="TimesNewRoman" w:hAnsi="Times New Roman"/>
          <w:sz w:val="28"/>
          <w:szCs w:val="28"/>
        </w:rPr>
        <w:t>Таблица 2.Стоимость фьючерсов и опционов на торгах на организованных рынках и оборот по ним в 1991-2003 гг.*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127"/>
        <w:gridCol w:w="1126"/>
        <w:gridCol w:w="1126"/>
        <w:gridCol w:w="1126"/>
        <w:gridCol w:w="1127"/>
        <w:gridCol w:w="1127"/>
        <w:gridCol w:w="1316"/>
      </w:tblGrid>
      <w:tr w:rsidR="001365A2" w:rsidRPr="00E03C26">
        <w:tc>
          <w:tcPr>
            <w:tcW w:w="1672" w:type="dxa"/>
          </w:tcPr>
          <w:p w:rsidR="001365A2"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Деривативы</w:t>
            </w:r>
          </w:p>
        </w:tc>
        <w:tc>
          <w:tcPr>
            <w:tcW w:w="1127" w:type="dxa"/>
          </w:tcPr>
          <w:p w:rsidR="001365A2"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smartTag w:uri="urn:schemas-microsoft-com:office:smarttags" w:element="metricconverter">
              <w:smartTagPr>
                <w:attr w:name="ProductID" w:val="1991 г"/>
              </w:smartTagPr>
              <w:r w:rsidRPr="00E03C26">
                <w:rPr>
                  <w:rFonts w:ascii="Times New Roman" w:eastAsia="TimesNewRoman" w:hAnsi="Times New Roman"/>
                  <w:sz w:val="20"/>
                  <w:szCs w:val="20"/>
                </w:rPr>
                <w:t>1991 г</w:t>
              </w:r>
            </w:smartTag>
            <w:r w:rsidRPr="00E03C26">
              <w:rPr>
                <w:rFonts w:ascii="Times New Roman" w:eastAsia="TimesNewRoman" w:hAnsi="Times New Roman"/>
                <w:sz w:val="20"/>
                <w:szCs w:val="20"/>
              </w:rPr>
              <w:t>.</w:t>
            </w:r>
          </w:p>
        </w:tc>
        <w:tc>
          <w:tcPr>
            <w:tcW w:w="1126" w:type="dxa"/>
          </w:tcPr>
          <w:p w:rsidR="001365A2"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smartTag w:uri="urn:schemas-microsoft-com:office:smarttags" w:element="metricconverter">
              <w:smartTagPr>
                <w:attr w:name="ProductID" w:val="1994 г"/>
              </w:smartTagPr>
              <w:r w:rsidRPr="00E03C26">
                <w:rPr>
                  <w:rFonts w:ascii="Times New Roman" w:eastAsia="TimesNewRoman" w:hAnsi="Times New Roman"/>
                  <w:sz w:val="20"/>
                  <w:szCs w:val="20"/>
                </w:rPr>
                <w:t>1994 г</w:t>
              </w:r>
            </w:smartTag>
            <w:r w:rsidRPr="00E03C26">
              <w:rPr>
                <w:rFonts w:ascii="Times New Roman" w:eastAsia="TimesNewRoman" w:hAnsi="Times New Roman"/>
                <w:sz w:val="20"/>
                <w:szCs w:val="20"/>
              </w:rPr>
              <w:t>.</w:t>
            </w:r>
          </w:p>
        </w:tc>
        <w:tc>
          <w:tcPr>
            <w:tcW w:w="1126" w:type="dxa"/>
          </w:tcPr>
          <w:p w:rsidR="001365A2"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smartTag w:uri="urn:schemas-microsoft-com:office:smarttags" w:element="metricconverter">
              <w:smartTagPr>
                <w:attr w:name="ProductID" w:val="1997 г"/>
              </w:smartTagPr>
              <w:r w:rsidRPr="00E03C26">
                <w:rPr>
                  <w:rFonts w:ascii="Times New Roman" w:eastAsia="TimesNewRoman" w:hAnsi="Times New Roman"/>
                  <w:sz w:val="20"/>
                  <w:szCs w:val="20"/>
                </w:rPr>
                <w:t>1997 г</w:t>
              </w:r>
            </w:smartTag>
            <w:r w:rsidRPr="00E03C26">
              <w:rPr>
                <w:rFonts w:ascii="Times New Roman" w:eastAsia="TimesNewRoman" w:hAnsi="Times New Roman"/>
                <w:sz w:val="20"/>
                <w:szCs w:val="20"/>
              </w:rPr>
              <w:t>.</w:t>
            </w:r>
          </w:p>
        </w:tc>
        <w:tc>
          <w:tcPr>
            <w:tcW w:w="1126" w:type="dxa"/>
          </w:tcPr>
          <w:p w:rsidR="001365A2"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smartTag w:uri="urn:schemas-microsoft-com:office:smarttags" w:element="metricconverter">
              <w:smartTagPr>
                <w:attr w:name="ProductID" w:val="1998 г"/>
              </w:smartTagPr>
              <w:r w:rsidRPr="00E03C26">
                <w:rPr>
                  <w:rFonts w:ascii="Times New Roman" w:eastAsia="TimesNewRoman" w:hAnsi="Times New Roman"/>
                  <w:sz w:val="20"/>
                  <w:szCs w:val="20"/>
                </w:rPr>
                <w:t>1998 г</w:t>
              </w:r>
            </w:smartTag>
            <w:r w:rsidRPr="00E03C26">
              <w:rPr>
                <w:rFonts w:ascii="Times New Roman" w:eastAsia="TimesNewRoman" w:hAnsi="Times New Roman"/>
                <w:sz w:val="20"/>
                <w:szCs w:val="20"/>
              </w:rPr>
              <w:t>.</w:t>
            </w:r>
          </w:p>
        </w:tc>
        <w:tc>
          <w:tcPr>
            <w:tcW w:w="1127" w:type="dxa"/>
          </w:tcPr>
          <w:p w:rsidR="001365A2"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smartTag w:uri="urn:schemas-microsoft-com:office:smarttags" w:element="metricconverter">
              <w:smartTagPr>
                <w:attr w:name="ProductID" w:val="2000 г"/>
              </w:smartTagPr>
              <w:r w:rsidRPr="00E03C26">
                <w:rPr>
                  <w:rFonts w:ascii="Times New Roman" w:eastAsia="TimesNewRoman" w:hAnsi="Times New Roman"/>
                  <w:sz w:val="20"/>
                  <w:szCs w:val="20"/>
                </w:rPr>
                <w:t>2000 г</w:t>
              </w:r>
            </w:smartTag>
            <w:r w:rsidRPr="00E03C26">
              <w:rPr>
                <w:rFonts w:ascii="Times New Roman" w:eastAsia="TimesNewRoman" w:hAnsi="Times New Roman"/>
                <w:sz w:val="20"/>
                <w:szCs w:val="20"/>
              </w:rPr>
              <w:t>.</w:t>
            </w:r>
          </w:p>
        </w:tc>
        <w:tc>
          <w:tcPr>
            <w:tcW w:w="1127" w:type="dxa"/>
          </w:tcPr>
          <w:p w:rsidR="001365A2"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smartTag w:uri="urn:schemas-microsoft-com:office:smarttags" w:element="metricconverter">
              <w:smartTagPr>
                <w:attr w:name="ProductID" w:val="2002 г"/>
              </w:smartTagPr>
              <w:r w:rsidRPr="00E03C26">
                <w:rPr>
                  <w:rFonts w:ascii="Times New Roman" w:eastAsia="TimesNewRoman" w:hAnsi="Times New Roman"/>
                  <w:sz w:val="20"/>
                  <w:szCs w:val="20"/>
                </w:rPr>
                <w:t>2002 г</w:t>
              </w:r>
            </w:smartTag>
            <w:r w:rsidRPr="00E03C26">
              <w:rPr>
                <w:rFonts w:ascii="Times New Roman" w:eastAsia="TimesNewRoman" w:hAnsi="Times New Roman"/>
                <w:sz w:val="20"/>
                <w:szCs w:val="20"/>
              </w:rPr>
              <w:t>.</w:t>
            </w:r>
          </w:p>
        </w:tc>
        <w:tc>
          <w:tcPr>
            <w:tcW w:w="1316" w:type="dxa"/>
          </w:tcPr>
          <w:p w:rsidR="001365A2"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2003г., июнь</w:t>
            </w:r>
          </w:p>
        </w:tc>
      </w:tr>
      <w:tr w:rsidR="003B10D3" w:rsidRPr="00E03C26">
        <w:tc>
          <w:tcPr>
            <w:tcW w:w="9747" w:type="dxa"/>
            <w:gridSpan w:val="8"/>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Фьючерсы</w:t>
            </w:r>
          </w:p>
        </w:tc>
      </w:tr>
      <w:tr w:rsidR="003B10D3" w:rsidRPr="00E03C26">
        <w:tc>
          <w:tcPr>
            <w:tcW w:w="1672"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стоимость, трлн. долл.</w:t>
            </w:r>
          </w:p>
        </w:tc>
        <w:tc>
          <w:tcPr>
            <w:tcW w:w="1127"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2,25</w:t>
            </w:r>
          </w:p>
        </w:tc>
        <w:tc>
          <w:tcPr>
            <w:tcW w:w="1126"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5,95</w:t>
            </w:r>
          </w:p>
        </w:tc>
        <w:tc>
          <w:tcPr>
            <w:tcW w:w="1126"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7,75</w:t>
            </w:r>
          </w:p>
        </w:tc>
        <w:tc>
          <w:tcPr>
            <w:tcW w:w="1126"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8,34</w:t>
            </w:r>
          </w:p>
        </w:tc>
        <w:tc>
          <w:tcPr>
            <w:tcW w:w="1127"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8,36</w:t>
            </w:r>
          </w:p>
        </w:tc>
        <w:tc>
          <w:tcPr>
            <w:tcW w:w="1127"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10,33</w:t>
            </w:r>
          </w:p>
        </w:tc>
        <w:tc>
          <w:tcPr>
            <w:tcW w:w="1316"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13,94**</w:t>
            </w:r>
          </w:p>
        </w:tc>
      </w:tr>
      <w:tr w:rsidR="003B10D3" w:rsidRPr="00E03C26">
        <w:tc>
          <w:tcPr>
            <w:tcW w:w="1672"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объем торгов, млрд. долл.</w:t>
            </w:r>
          </w:p>
        </w:tc>
        <w:tc>
          <w:tcPr>
            <w:tcW w:w="1127"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w:t>
            </w:r>
          </w:p>
        </w:tc>
        <w:tc>
          <w:tcPr>
            <w:tcW w:w="1126"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286</w:t>
            </w:r>
          </w:p>
        </w:tc>
        <w:tc>
          <w:tcPr>
            <w:tcW w:w="1126"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294</w:t>
            </w:r>
          </w:p>
        </w:tc>
        <w:tc>
          <w:tcPr>
            <w:tcW w:w="1126"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319</w:t>
            </w:r>
          </w:p>
        </w:tc>
        <w:tc>
          <w:tcPr>
            <w:tcW w:w="1127"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317</w:t>
            </w:r>
          </w:p>
        </w:tc>
        <w:tc>
          <w:tcPr>
            <w:tcW w:w="1127"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502</w:t>
            </w:r>
          </w:p>
        </w:tc>
        <w:tc>
          <w:tcPr>
            <w:tcW w:w="1316"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309</w:t>
            </w:r>
          </w:p>
        </w:tc>
      </w:tr>
      <w:tr w:rsidR="003B10D3" w:rsidRPr="00E03C26">
        <w:tc>
          <w:tcPr>
            <w:tcW w:w="9747" w:type="dxa"/>
            <w:gridSpan w:val="8"/>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Опционы</w:t>
            </w:r>
          </w:p>
        </w:tc>
      </w:tr>
      <w:tr w:rsidR="003B10D3" w:rsidRPr="00E03C26">
        <w:tc>
          <w:tcPr>
            <w:tcW w:w="1672"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стоимость, трлн. долл.</w:t>
            </w:r>
          </w:p>
        </w:tc>
        <w:tc>
          <w:tcPr>
            <w:tcW w:w="1127"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1,27</w:t>
            </w:r>
          </w:p>
        </w:tc>
        <w:tc>
          <w:tcPr>
            <w:tcW w:w="1126"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2,92</w:t>
            </w:r>
          </w:p>
        </w:tc>
        <w:tc>
          <w:tcPr>
            <w:tcW w:w="1126"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4,45</w:t>
            </w:r>
          </w:p>
        </w:tc>
        <w:tc>
          <w:tcPr>
            <w:tcW w:w="1126"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5,59</w:t>
            </w:r>
          </w:p>
        </w:tc>
        <w:tc>
          <w:tcPr>
            <w:tcW w:w="1127"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5,92</w:t>
            </w:r>
          </w:p>
        </w:tc>
        <w:tc>
          <w:tcPr>
            <w:tcW w:w="1127"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13,54</w:t>
            </w:r>
          </w:p>
        </w:tc>
        <w:tc>
          <w:tcPr>
            <w:tcW w:w="1316"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24,37**</w:t>
            </w:r>
          </w:p>
        </w:tc>
      </w:tr>
      <w:tr w:rsidR="003B10D3" w:rsidRPr="00E03C26">
        <w:tc>
          <w:tcPr>
            <w:tcW w:w="1672"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объем торгов, млрд. долл.</w:t>
            </w:r>
          </w:p>
        </w:tc>
        <w:tc>
          <w:tcPr>
            <w:tcW w:w="1127"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w:t>
            </w:r>
          </w:p>
        </w:tc>
        <w:tc>
          <w:tcPr>
            <w:tcW w:w="1126"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57</w:t>
            </w:r>
          </w:p>
        </w:tc>
        <w:tc>
          <w:tcPr>
            <w:tcW w:w="1126"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62</w:t>
            </w:r>
          </w:p>
        </w:tc>
        <w:tc>
          <w:tcPr>
            <w:tcW w:w="1126"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71</w:t>
            </w:r>
          </w:p>
        </w:tc>
        <w:tc>
          <w:tcPr>
            <w:tcW w:w="1127"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66</w:t>
            </w:r>
          </w:p>
        </w:tc>
        <w:tc>
          <w:tcPr>
            <w:tcW w:w="1127"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192</w:t>
            </w:r>
          </w:p>
        </w:tc>
        <w:tc>
          <w:tcPr>
            <w:tcW w:w="1316" w:type="dxa"/>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sz w:val="20"/>
                <w:szCs w:val="20"/>
              </w:rPr>
              <w:t>134</w:t>
            </w:r>
          </w:p>
        </w:tc>
      </w:tr>
      <w:tr w:rsidR="003B10D3" w:rsidRPr="00E03C26">
        <w:tc>
          <w:tcPr>
            <w:tcW w:w="9747" w:type="dxa"/>
            <w:gridSpan w:val="8"/>
          </w:tcPr>
          <w:p w:rsidR="003B10D3" w:rsidRPr="00E03C26" w:rsidRDefault="003B10D3" w:rsidP="00E03C26">
            <w:pPr>
              <w:widowControl w:val="0"/>
              <w:autoSpaceDE w:val="0"/>
              <w:autoSpaceDN w:val="0"/>
              <w:adjustRightInd w:val="0"/>
              <w:spacing w:after="0" w:line="360" w:lineRule="auto"/>
              <w:rPr>
                <w:rFonts w:ascii="Times New Roman" w:eastAsia="TimesNewRoman" w:hAnsi="Times New Roman"/>
                <w:i/>
                <w:iCs/>
                <w:sz w:val="20"/>
                <w:szCs w:val="20"/>
              </w:rPr>
            </w:pPr>
            <w:r w:rsidRPr="00E03C26">
              <w:rPr>
                <w:rFonts w:ascii="Times New Roman" w:eastAsia="TimesNewRoman" w:hAnsi="Times New Roman"/>
                <w:i/>
                <w:iCs/>
                <w:sz w:val="20"/>
                <w:szCs w:val="20"/>
              </w:rPr>
              <w:t xml:space="preserve">* Первое полугодие </w:t>
            </w:r>
            <w:smartTag w:uri="urn:schemas-microsoft-com:office:smarttags" w:element="metricconverter">
              <w:smartTagPr>
                <w:attr w:name="ProductID" w:val="2003 г"/>
              </w:smartTagPr>
              <w:r w:rsidRPr="00E03C26">
                <w:rPr>
                  <w:rFonts w:ascii="Times New Roman" w:eastAsia="TimesNewRoman" w:hAnsi="Times New Roman"/>
                  <w:i/>
                  <w:iCs/>
                  <w:sz w:val="20"/>
                  <w:szCs w:val="20"/>
                </w:rPr>
                <w:t>2003 г</w:t>
              </w:r>
            </w:smartTag>
            <w:r w:rsidRPr="00E03C26">
              <w:rPr>
                <w:rFonts w:ascii="Times New Roman" w:eastAsia="TimesNewRoman" w:hAnsi="Times New Roman"/>
                <w:i/>
                <w:iCs/>
                <w:sz w:val="20"/>
                <w:szCs w:val="20"/>
              </w:rPr>
              <w:t>.</w:t>
            </w:r>
          </w:p>
          <w:p w:rsidR="003B10D3" w:rsidRPr="00E03C26" w:rsidRDefault="003B10D3" w:rsidP="00E03C26">
            <w:pPr>
              <w:widowControl w:val="0"/>
              <w:autoSpaceDE w:val="0"/>
              <w:autoSpaceDN w:val="0"/>
              <w:adjustRightInd w:val="0"/>
              <w:spacing w:after="0" w:line="360" w:lineRule="auto"/>
              <w:rPr>
                <w:rFonts w:ascii="Times New Roman" w:eastAsia="TimesNewRoman" w:hAnsi="Times New Roman"/>
                <w:sz w:val="20"/>
                <w:szCs w:val="20"/>
              </w:rPr>
            </w:pPr>
            <w:r w:rsidRPr="00E03C26">
              <w:rPr>
                <w:rFonts w:ascii="Times New Roman" w:eastAsia="TimesNewRoman" w:hAnsi="Times New Roman"/>
                <w:i/>
                <w:iCs/>
                <w:sz w:val="20"/>
                <w:szCs w:val="20"/>
              </w:rPr>
              <w:t>** На конец периода.</w:t>
            </w:r>
          </w:p>
        </w:tc>
      </w:tr>
    </w:tbl>
    <w:p w:rsidR="00E03C26" w:rsidRDefault="00E03C26" w:rsidP="00E03C26">
      <w:pPr>
        <w:widowControl w:val="0"/>
        <w:autoSpaceDE w:val="0"/>
        <w:autoSpaceDN w:val="0"/>
        <w:adjustRightInd w:val="0"/>
        <w:spacing w:after="0" w:line="360" w:lineRule="auto"/>
        <w:ind w:firstLine="709"/>
        <w:jc w:val="both"/>
        <w:rPr>
          <w:rFonts w:ascii="Times New Roman" w:eastAsia="TimesNewRoman" w:hAnsi="Times New Roman"/>
          <w:sz w:val="28"/>
          <w:szCs w:val="28"/>
        </w:rPr>
      </w:pPr>
    </w:p>
    <w:p w:rsidR="003B10D3" w:rsidRPr="00E03C26" w:rsidRDefault="003B10D3" w:rsidP="00E03C26">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E03C26">
        <w:rPr>
          <w:rFonts w:ascii="Times New Roman" w:eastAsia="TimesNewRoman" w:hAnsi="Times New Roman"/>
          <w:sz w:val="28"/>
          <w:szCs w:val="28"/>
        </w:rPr>
        <w:t xml:space="preserve">На июнь </w:t>
      </w:r>
      <w:smartTag w:uri="urn:schemas-microsoft-com:office:smarttags" w:element="metricconverter">
        <w:smartTagPr>
          <w:attr w:name="ProductID" w:val="2003 г"/>
        </w:smartTagPr>
        <w:r w:rsidRPr="00E03C26">
          <w:rPr>
            <w:rFonts w:ascii="Times New Roman" w:eastAsia="TimesNewRoman" w:hAnsi="Times New Roman"/>
            <w:sz w:val="28"/>
            <w:szCs w:val="28"/>
          </w:rPr>
          <w:t>2003 г</w:t>
        </w:r>
      </w:smartTag>
      <w:r w:rsidRPr="00E03C26">
        <w:rPr>
          <w:rFonts w:ascii="Times New Roman" w:eastAsia="TimesNewRoman" w:hAnsi="Times New Roman"/>
          <w:sz w:val="28"/>
          <w:szCs w:val="28"/>
        </w:rPr>
        <w:t xml:space="preserve">. Стоимость фьючерсов на торгах на организованных рынках составила уже около 14 трлн. долл., а опционов – 24,4 трлн. долл. Оборот биржевых торгов по фьючерсам и опционам в </w:t>
      </w:r>
      <w:smartTag w:uri="urn:schemas-microsoft-com:office:smarttags" w:element="metricconverter">
        <w:smartTagPr>
          <w:attr w:name="ProductID" w:val="2002 г"/>
        </w:smartTagPr>
        <w:r w:rsidRPr="00E03C26">
          <w:rPr>
            <w:rFonts w:ascii="Times New Roman" w:eastAsia="TimesNewRoman" w:hAnsi="Times New Roman"/>
            <w:sz w:val="28"/>
            <w:szCs w:val="28"/>
          </w:rPr>
          <w:t>2002 г</w:t>
        </w:r>
      </w:smartTag>
      <w:r w:rsidRPr="00E03C26">
        <w:rPr>
          <w:rFonts w:ascii="Times New Roman" w:eastAsia="TimesNewRoman" w:hAnsi="Times New Roman"/>
          <w:sz w:val="28"/>
          <w:szCs w:val="28"/>
        </w:rPr>
        <w:t xml:space="preserve">. – 694 млрд. долл. – превысил показатель </w:t>
      </w:r>
      <w:smartTag w:uri="urn:schemas-microsoft-com:office:smarttags" w:element="metricconverter">
        <w:smartTagPr>
          <w:attr w:name="ProductID" w:val="2001 г"/>
        </w:smartTagPr>
        <w:r w:rsidRPr="00E03C26">
          <w:rPr>
            <w:rFonts w:ascii="Times New Roman" w:eastAsia="TimesNewRoman" w:hAnsi="Times New Roman"/>
            <w:sz w:val="28"/>
            <w:szCs w:val="28"/>
          </w:rPr>
          <w:t>2001 г</w:t>
        </w:r>
      </w:smartTag>
      <w:r w:rsidRPr="00E03C26">
        <w:rPr>
          <w:rFonts w:ascii="Times New Roman" w:eastAsia="TimesNewRoman" w:hAnsi="Times New Roman"/>
          <w:sz w:val="28"/>
          <w:szCs w:val="28"/>
        </w:rPr>
        <w:t>. на 16,6%</w:t>
      </w:r>
      <w:r w:rsidR="002C53FB" w:rsidRPr="00E03C26">
        <w:rPr>
          <w:rStyle w:val="a5"/>
          <w:rFonts w:ascii="Times New Roman" w:eastAsia="TimesNewRoman" w:hAnsi="Times New Roman"/>
          <w:sz w:val="28"/>
          <w:szCs w:val="28"/>
        </w:rPr>
        <w:footnoteReference w:id="7"/>
      </w:r>
      <w:r w:rsidRPr="00E03C26">
        <w:rPr>
          <w:rFonts w:ascii="Times New Roman" w:eastAsia="TimesNewRoman" w:hAnsi="Times New Roman"/>
          <w:sz w:val="28"/>
          <w:szCs w:val="28"/>
        </w:rPr>
        <w:t>.</w:t>
      </w:r>
    </w:p>
    <w:p w:rsidR="003B10D3" w:rsidRPr="00E03C26" w:rsidRDefault="003B10D3" w:rsidP="00E03C26">
      <w:pPr>
        <w:widowControl w:val="0"/>
        <w:autoSpaceDE w:val="0"/>
        <w:autoSpaceDN w:val="0"/>
        <w:adjustRightInd w:val="0"/>
        <w:spacing w:after="0" w:line="360" w:lineRule="auto"/>
        <w:ind w:firstLine="709"/>
        <w:jc w:val="both"/>
        <w:rPr>
          <w:rFonts w:ascii="Times New Roman" w:hAnsi="Times New Roman"/>
          <w:sz w:val="28"/>
          <w:szCs w:val="28"/>
        </w:rPr>
      </w:pPr>
      <w:r w:rsidRPr="00E03C26">
        <w:rPr>
          <w:rFonts w:ascii="Times New Roman" w:eastAsia="TimesNewRoman" w:hAnsi="Times New Roman"/>
          <w:sz w:val="28"/>
          <w:szCs w:val="28"/>
        </w:rPr>
        <w:t xml:space="preserve">В основном рост биржевой торговли деривативами во II кв. </w:t>
      </w:r>
      <w:smartTag w:uri="urn:schemas-microsoft-com:office:smarttags" w:element="metricconverter">
        <w:smartTagPr>
          <w:attr w:name="ProductID" w:val="2003 г"/>
        </w:smartTagPr>
        <w:r w:rsidRPr="00E03C26">
          <w:rPr>
            <w:rFonts w:ascii="Times New Roman" w:eastAsia="TimesNewRoman" w:hAnsi="Times New Roman"/>
            <w:sz w:val="28"/>
            <w:szCs w:val="28"/>
          </w:rPr>
          <w:t>2003 г</w:t>
        </w:r>
      </w:smartTag>
      <w:r w:rsidRPr="00E03C26">
        <w:rPr>
          <w:rFonts w:ascii="Times New Roman" w:eastAsia="TimesNewRoman" w:hAnsi="Times New Roman"/>
          <w:sz w:val="28"/>
          <w:szCs w:val="28"/>
        </w:rPr>
        <w:t>. Происходил за счет краткосрочных контрактов на процентные ставки. Усиленная активность на биржах США была связана со страхованием относительно будущих действий в области денежно-кредитной политики, а также страхованием по обеспеченным ипотекой ценным бумагам.</w:t>
      </w:r>
    </w:p>
    <w:p w:rsidR="00096D5B" w:rsidRPr="00E03C26" w:rsidRDefault="00096D5B" w:rsidP="00E03C26">
      <w:pPr>
        <w:widowControl w:val="0"/>
        <w:spacing w:after="0" w:line="360" w:lineRule="auto"/>
        <w:ind w:firstLine="709"/>
        <w:jc w:val="both"/>
        <w:rPr>
          <w:rFonts w:ascii="Times New Roman" w:hAnsi="Times New Roman"/>
          <w:sz w:val="28"/>
          <w:szCs w:val="28"/>
        </w:rPr>
      </w:pPr>
      <w:bookmarkStart w:id="4" w:name="_Toc274051001"/>
    </w:p>
    <w:p w:rsidR="007A4B6E" w:rsidRPr="00E03C26" w:rsidRDefault="007A4B6E" w:rsidP="00E03C26">
      <w:pPr>
        <w:pStyle w:val="1"/>
        <w:keepNext w:val="0"/>
        <w:widowControl w:val="0"/>
        <w:spacing w:before="0" w:after="0" w:line="360" w:lineRule="auto"/>
        <w:ind w:firstLine="709"/>
        <w:jc w:val="both"/>
        <w:rPr>
          <w:rFonts w:ascii="Times New Roman" w:hAnsi="Times New Roman"/>
          <w:sz w:val="28"/>
          <w:szCs w:val="28"/>
        </w:rPr>
      </w:pPr>
      <w:r w:rsidRPr="00E03C26">
        <w:rPr>
          <w:rFonts w:ascii="Times New Roman" w:hAnsi="Times New Roman"/>
          <w:sz w:val="28"/>
          <w:szCs w:val="28"/>
        </w:rPr>
        <w:t>Глава 3. Международные ценные бумаги</w:t>
      </w:r>
      <w:bookmarkEnd w:id="4"/>
    </w:p>
    <w:p w:rsidR="00E03C26" w:rsidRDefault="00E03C26" w:rsidP="00E03C26">
      <w:pPr>
        <w:widowControl w:val="0"/>
        <w:spacing w:after="0" w:line="360" w:lineRule="auto"/>
        <w:ind w:firstLine="709"/>
        <w:jc w:val="both"/>
        <w:rPr>
          <w:rFonts w:ascii="Times New Roman" w:hAnsi="Times New Roman"/>
          <w:sz w:val="28"/>
          <w:szCs w:val="28"/>
        </w:rPr>
      </w:pPr>
    </w:p>
    <w:p w:rsidR="00E90E99" w:rsidRPr="00E03C26" w:rsidRDefault="00BE1CAF"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Полная отмена в 70х гг. 20в. </w:t>
      </w:r>
      <w:r w:rsidR="00696127" w:rsidRPr="00E03C26">
        <w:rPr>
          <w:rFonts w:ascii="Times New Roman" w:hAnsi="Times New Roman"/>
          <w:sz w:val="28"/>
          <w:szCs w:val="28"/>
        </w:rPr>
        <w:t>о</w:t>
      </w:r>
      <w:r w:rsidRPr="00E03C26">
        <w:rPr>
          <w:rFonts w:ascii="Times New Roman" w:hAnsi="Times New Roman"/>
          <w:sz w:val="28"/>
          <w:szCs w:val="28"/>
        </w:rPr>
        <w:t xml:space="preserve">граничений на перемещение капитала в развитых странах создала условия для образования </w:t>
      </w:r>
      <w:r w:rsidR="001A3ECA" w:rsidRPr="00E03C26">
        <w:rPr>
          <w:rFonts w:ascii="Times New Roman" w:hAnsi="Times New Roman"/>
          <w:sz w:val="28"/>
          <w:szCs w:val="28"/>
        </w:rPr>
        <w:t xml:space="preserve">международного рынка ценных бумаг. Только за 10 лет (1980-1990 гг.) доля международных операций с ценными бумагами в ВВП США возросла с 9 до 93%, в Германии с 8 до 58, в Японии – с 7 до 119%. В общем объеме наибольшая часть приходится на облигации (в </w:t>
      </w:r>
      <w:smartTag w:uri="urn:schemas-microsoft-com:office:smarttags" w:element="metricconverter">
        <w:smartTagPr>
          <w:attr w:name="ProductID" w:val="1994 г"/>
        </w:smartTagPr>
        <w:r w:rsidR="001A3ECA" w:rsidRPr="00E03C26">
          <w:rPr>
            <w:rFonts w:ascii="Times New Roman" w:hAnsi="Times New Roman"/>
            <w:sz w:val="28"/>
            <w:szCs w:val="28"/>
          </w:rPr>
          <w:t>1994 г</w:t>
        </w:r>
      </w:smartTag>
      <w:r w:rsidR="001A3ECA" w:rsidRPr="00E03C26">
        <w:rPr>
          <w:rFonts w:ascii="Times New Roman" w:hAnsi="Times New Roman"/>
          <w:sz w:val="28"/>
          <w:szCs w:val="28"/>
        </w:rPr>
        <w:t>. – более 60%). Почти 40% мирового рынка ценных бумаг приходится на США, на Японию – свыше 20%.</w:t>
      </w:r>
      <w:r w:rsidR="00E90E99" w:rsidRPr="00E03C26">
        <w:rPr>
          <w:rFonts w:ascii="Times New Roman" w:hAnsi="Times New Roman"/>
          <w:sz w:val="28"/>
          <w:szCs w:val="28"/>
        </w:rPr>
        <w:t xml:space="preserve"> </w:t>
      </w:r>
    </w:p>
    <w:p w:rsidR="005174C5" w:rsidRPr="00E03C26" w:rsidRDefault="00E90E9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Отличительной чертой международного рынка является торговля ценными бумагами между резидентами разных стран, а также фондовыми ценностями с номиналами, выраженными в иных, чем национальная, валютах. Экспорт капитала - характерная черта и объективная необходимость развитой рыночной экономики. Формирование международного рынка ценных бумаг было ускорено:</w:t>
      </w:r>
      <w:r w:rsidR="00236CDC" w:rsidRPr="00E03C26">
        <w:rPr>
          <w:rFonts w:ascii="Times New Roman" w:hAnsi="Times New Roman"/>
          <w:sz w:val="28"/>
          <w:szCs w:val="28"/>
        </w:rPr>
        <w:t xml:space="preserve"> </w:t>
      </w:r>
      <w:r w:rsidRPr="00E03C26">
        <w:rPr>
          <w:rFonts w:ascii="Times New Roman" w:hAnsi="Times New Roman"/>
          <w:sz w:val="28"/>
          <w:szCs w:val="28"/>
        </w:rPr>
        <w:t>современной научно-технической революцией;</w:t>
      </w:r>
      <w:r w:rsidR="00236CDC" w:rsidRPr="00E03C26">
        <w:rPr>
          <w:rFonts w:ascii="Times New Roman" w:hAnsi="Times New Roman"/>
          <w:sz w:val="28"/>
          <w:szCs w:val="28"/>
        </w:rPr>
        <w:t xml:space="preserve"> </w:t>
      </w:r>
      <w:r w:rsidRPr="00E03C26">
        <w:rPr>
          <w:rFonts w:ascii="Times New Roman" w:hAnsi="Times New Roman"/>
          <w:sz w:val="28"/>
          <w:szCs w:val="28"/>
        </w:rPr>
        <w:t>развитием интеграционных процессов;</w:t>
      </w:r>
      <w:r w:rsidR="00236CDC" w:rsidRPr="00E03C26">
        <w:rPr>
          <w:rFonts w:ascii="Times New Roman" w:hAnsi="Times New Roman"/>
          <w:sz w:val="28"/>
          <w:szCs w:val="28"/>
        </w:rPr>
        <w:t xml:space="preserve"> </w:t>
      </w:r>
      <w:r w:rsidRPr="00E03C26">
        <w:rPr>
          <w:rFonts w:ascii="Times New Roman" w:hAnsi="Times New Roman"/>
          <w:sz w:val="28"/>
          <w:szCs w:val="28"/>
        </w:rPr>
        <w:t>определенной устойчивостью валютных курсов;</w:t>
      </w:r>
      <w:r w:rsidR="00236CDC" w:rsidRPr="00E03C26">
        <w:rPr>
          <w:rFonts w:ascii="Times New Roman" w:hAnsi="Times New Roman"/>
          <w:sz w:val="28"/>
          <w:szCs w:val="28"/>
        </w:rPr>
        <w:t xml:space="preserve"> </w:t>
      </w:r>
      <w:r w:rsidRPr="00E03C26">
        <w:rPr>
          <w:rFonts w:ascii="Times New Roman" w:hAnsi="Times New Roman"/>
          <w:sz w:val="28"/>
          <w:szCs w:val="28"/>
        </w:rPr>
        <w:t>введением общих многонациональных валют;</w:t>
      </w:r>
      <w:r w:rsidR="00236CDC" w:rsidRPr="00E03C26">
        <w:rPr>
          <w:rFonts w:ascii="Times New Roman" w:hAnsi="Times New Roman"/>
          <w:sz w:val="28"/>
          <w:szCs w:val="28"/>
        </w:rPr>
        <w:t xml:space="preserve"> </w:t>
      </w:r>
      <w:r w:rsidRPr="00E03C26">
        <w:rPr>
          <w:rFonts w:ascii="Times New Roman" w:hAnsi="Times New Roman"/>
          <w:sz w:val="28"/>
          <w:szCs w:val="28"/>
        </w:rPr>
        <w:t>успехами в развитии банковского и биржевого дела;</w:t>
      </w:r>
      <w:r w:rsidR="00236CDC" w:rsidRPr="00E03C26">
        <w:rPr>
          <w:rFonts w:ascii="Times New Roman" w:hAnsi="Times New Roman"/>
          <w:sz w:val="28"/>
          <w:szCs w:val="28"/>
        </w:rPr>
        <w:t xml:space="preserve"> </w:t>
      </w:r>
      <w:r w:rsidRPr="00E03C26">
        <w:rPr>
          <w:rFonts w:ascii="Times New Roman" w:hAnsi="Times New Roman"/>
          <w:sz w:val="28"/>
          <w:szCs w:val="28"/>
        </w:rPr>
        <w:t>усилением деятельности транснациональных корпораций и кредитно-финансовых учреждений.</w:t>
      </w:r>
    </w:p>
    <w:p w:rsidR="005174C5" w:rsidRPr="00E03C26" w:rsidRDefault="005174C5"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 Международные ценные бумаги как термин появился для того, чтоб обозначить интернациональные ценные бумаги, которые обращаются во многих странах в одно и то же время. К международным ценным бумагам относятся так называемые евробумаги и международные депозитарные расписки (предыдущая глава).</w:t>
      </w:r>
      <w:r w:rsidR="00E03C26">
        <w:rPr>
          <w:rFonts w:ascii="Times New Roman" w:hAnsi="Times New Roman"/>
          <w:sz w:val="28"/>
          <w:szCs w:val="28"/>
        </w:rPr>
        <w:t xml:space="preserve"> </w:t>
      </w:r>
    </w:p>
    <w:p w:rsidR="00BE1CAF" w:rsidRPr="00E03C26" w:rsidRDefault="005174C5"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Рынок евробумаг является одним из самых объемных рынков международных ценных бумаг. Именно на него приходится более 75% от общего объема всего рынка ценных бумаг</w:t>
      </w:r>
      <w:r w:rsidR="00E90E99" w:rsidRPr="00E03C26">
        <w:rPr>
          <w:rStyle w:val="a5"/>
          <w:rFonts w:ascii="Times New Roman" w:hAnsi="Times New Roman"/>
          <w:sz w:val="28"/>
          <w:szCs w:val="28"/>
        </w:rPr>
        <w:footnoteReference w:id="8"/>
      </w:r>
      <w:r w:rsidRPr="00E03C26">
        <w:rPr>
          <w:rFonts w:ascii="Times New Roman" w:hAnsi="Times New Roman"/>
          <w:sz w:val="28"/>
          <w:szCs w:val="28"/>
        </w:rPr>
        <w:t>.</w:t>
      </w:r>
    </w:p>
    <w:p w:rsidR="007A4B6E" w:rsidRPr="00E03C26" w:rsidRDefault="007A4B6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Евробумаги:</w:t>
      </w:r>
      <w:r w:rsidRPr="00E03C26">
        <w:rPr>
          <w:rFonts w:ascii="Times New Roman" w:hAnsi="Times New Roman"/>
          <w:sz w:val="28"/>
          <w:szCs w:val="28"/>
        </w:rPr>
        <w:t xml:space="preserve"> евроноты, еврооблигации и евроакции. Они эмитируются в какой</w:t>
      </w:r>
      <w:r w:rsidR="001A3ECA" w:rsidRPr="00E03C26">
        <w:rPr>
          <w:rFonts w:ascii="Times New Roman" w:hAnsi="Times New Roman"/>
          <w:sz w:val="28"/>
          <w:szCs w:val="28"/>
        </w:rPr>
        <w:t>-</w:t>
      </w:r>
      <w:r w:rsidRPr="00E03C26">
        <w:rPr>
          <w:rFonts w:ascii="Times New Roman" w:hAnsi="Times New Roman"/>
          <w:sz w:val="28"/>
          <w:szCs w:val="28"/>
        </w:rPr>
        <w:t>либо стране, номинируются в иностранной валюте и предназначаются для размещения за пределами этой страны</w:t>
      </w:r>
      <w:r w:rsidR="00236CDC" w:rsidRPr="00E03C26">
        <w:rPr>
          <w:rStyle w:val="a5"/>
          <w:rFonts w:ascii="Times New Roman" w:hAnsi="Times New Roman"/>
          <w:sz w:val="28"/>
          <w:szCs w:val="28"/>
        </w:rPr>
        <w:footnoteReference w:id="9"/>
      </w:r>
      <w:r w:rsidRPr="00E03C26">
        <w:rPr>
          <w:rFonts w:ascii="Times New Roman" w:hAnsi="Times New Roman"/>
          <w:sz w:val="28"/>
          <w:szCs w:val="28"/>
        </w:rPr>
        <w:t xml:space="preserve">. </w:t>
      </w:r>
    </w:p>
    <w:p w:rsidR="00312FF6" w:rsidRPr="00E03C26" w:rsidRDefault="00312FF6"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Существует официальное определение евробумаг, которое даётся в Директиве Комиссии европей</w:t>
      </w:r>
      <w:r w:rsidR="005174C5" w:rsidRPr="00E03C26">
        <w:rPr>
          <w:rFonts w:ascii="Times New Roman" w:hAnsi="Times New Roman"/>
          <w:sz w:val="28"/>
          <w:szCs w:val="28"/>
        </w:rPr>
        <w:t>ских сообществ от 17 марта 1989</w:t>
      </w:r>
      <w:r w:rsidRPr="00E03C26">
        <w:rPr>
          <w:rFonts w:ascii="Times New Roman" w:hAnsi="Times New Roman"/>
          <w:sz w:val="28"/>
          <w:szCs w:val="28"/>
        </w:rPr>
        <w:t xml:space="preserve">г., регламентирующей порядок предложения новых эмиссий на европейском рынке. </w:t>
      </w:r>
    </w:p>
    <w:p w:rsidR="00312FF6" w:rsidRPr="00E03C26" w:rsidRDefault="00312FF6"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В соответствии с этой Директивой евробумаги - это торгуемые ценные бумаги, со следующими характерными чертами, а именно: </w:t>
      </w:r>
    </w:p>
    <w:p w:rsidR="00312FF6" w:rsidRPr="00E03C26" w:rsidRDefault="00312FF6"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Проходят андеррайтинг и размещаются посредством синдиката, минимум два участника которого зарегистрированы в разных государствах; </w:t>
      </w:r>
    </w:p>
    <w:p w:rsidR="00312FF6" w:rsidRPr="00E03C26" w:rsidRDefault="00312FF6"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Предлагаются в значительных объёмах в одном и более государствах, кроме страны регистрации эмитента; </w:t>
      </w:r>
    </w:p>
    <w:p w:rsidR="00312FF6" w:rsidRPr="00E03C26" w:rsidRDefault="00312FF6"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Могут быть первоначально приобретены только при посредничестве кредитной организации или другого финансового института</w:t>
      </w:r>
      <w:r w:rsidRPr="00E03C26">
        <w:rPr>
          <w:rStyle w:val="a5"/>
          <w:rFonts w:ascii="Times New Roman" w:hAnsi="Times New Roman"/>
          <w:sz w:val="28"/>
          <w:szCs w:val="28"/>
        </w:rPr>
        <w:footnoteReference w:id="10"/>
      </w:r>
      <w:r w:rsidRPr="00E03C26">
        <w:rPr>
          <w:rFonts w:ascii="Times New Roman" w:hAnsi="Times New Roman"/>
          <w:sz w:val="28"/>
          <w:szCs w:val="28"/>
        </w:rPr>
        <w:t>.</w:t>
      </w:r>
    </w:p>
    <w:p w:rsidR="007A4B6E" w:rsidRPr="00E03C26" w:rsidRDefault="007A4B6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Евроноты</w:t>
      </w:r>
      <w:r w:rsidRPr="00E03C26">
        <w:rPr>
          <w:rFonts w:ascii="Times New Roman" w:hAnsi="Times New Roman"/>
          <w:sz w:val="28"/>
          <w:szCs w:val="28"/>
        </w:rPr>
        <w:t xml:space="preserve"> </w:t>
      </w:r>
      <w:r w:rsidR="00312FF6" w:rsidRPr="00E03C26">
        <w:rPr>
          <w:rFonts w:ascii="Times New Roman" w:hAnsi="Times New Roman"/>
          <w:sz w:val="28"/>
          <w:szCs w:val="28"/>
        </w:rPr>
        <w:t>- среднесрочные именные облигации, которые обычно выпускаются под конкретного инвестора. Главное преимущество евронот - возможность организовать их эмиссию за несколько дней или даже часов. В</w:t>
      </w:r>
      <w:r w:rsidRPr="00E03C26">
        <w:rPr>
          <w:rFonts w:ascii="Times New Roman" w:hAnsi="Times New Roman"/>
          <w:sz w:val="28"/>
          <w:szCs w:val="28"/>
        </w:rPr>
        <w:t xml:space="preserve">ыпускаются международными корпорациями на срок от 3 до 6 месяцев. Они приносят изменяющийся процентный доход, ориентированный на ставку ЛИБОР - ставку предложения на Лондонском международном денежном рынке. Эти бумаги выступают одновременно как форма банковского кредита и вид облигационного займа. Рынок евронот начал развиваться с конца 70-х годов </w:t>
      </w:r>
      <w:r w:rsidRPr="00E03C26">
        <w:rPr>
          <w:rFonts w:ascii="Times New Roman" w:hAnsi="Times New Roman"/>
          <w:sz w:val="28"/>
          <w:szCs w:val="28"/>
          <w:lang w:val="en-US"/>
        </w:rPr>
        <w:t>XX</w:t>
      </w:r>
      <w:r w:rsidRPr="00E03C26">
        <w:rPr>
          <w:rFonts w:ascii="Times New Roman" w:hAnsi="Times New Roman"/>
          <w:sz w:val="28"/>
          <w:szCs w:val="28"/>
        </w:rPr>
        <w:t xml:space="preserve"> века. </w:t>
      </w:r>
    </w:p>
    <w:p w:rsidR="00312FF6" w:rsidRPr="00E03C26" w:rsidRDefault="00312FF6"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Евровекселя</w:t>
      </w:r>
      <w:r w:rsidRPr="00E03C26">
        <w:rPr>
          <w:rFonts w:ascii="Times New Roman" w:hAnsi="Times New Roman"/>
          <w:sz w:val="28"/>
          <w:szCs w:val="28"/>
        </w:rPr>
        <w:t xml:space="preserve"> - необеспеченные обязательства, которые не предназначены для публичного размещения и не обращаются на вторичном рынке. Как правило, евровекселя выпускаются на срок от одного года до пяти лет компаниями, платежеспособность которых не вызывает сомнений</w:t>
      </w:r>
      <w:r w:rsidR="00254C0A" w:rsidRPr="00E03C26">
        <w:rPr>
          <w:rFonts w:ascii="Times New Roman" w:hAnsi="Times New Roman"/>
          <w:sz w:val="28"/>
          <w:szCs w:val="28"/>
        </w:rPr>
        <w:t>.</w:t>
      </w:r>
      <w:r w:rsidR="00254C0A" w:rsidRPr="00E03C26">
        <w:rPr>
          <w:rStyle w:val="a5"/>
          <w:rFonts w:ascii="Times New Roman" w:hAnsi="Times New Roman"/>
          <w:sz w:val="28"/>
          <w:szCs w:val="28"/>
        </w:rPr>
        <w:footnoteReference w:id="11"/>
      </w:r>
      <w:r w:rsidRPr="00E03C26">
        <w:rPr>
          <w:rFonts w:ascii="Times New Roman" w:hAnsi="Times New Roman"/>
          <w:sz w:val="28"/>
          <w:szCs w:val="28"/>
        </w:rPr>
        <w:t xml:space="preserve"> </w:t>
      </w:r>
    </w:p>
    <w:p w:rsidR="007A4B6E" w:rsidRPr="00E03C26" w:rsidRDefault="007A4B6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Еврооблигации</w:t>
      </w:r>
      <w:r w:rsidRPr="00E03C26">
        <w:rPr>
          <w:rFonts w:ascii="Times New Roman" w:hAnsi="Times New Roman"/>
          <w:sz w:val="28"/>
          <w:szCs w:val="28"/>
        </w:rPr>
        <w:t xml:space="preserve"> существуют со второй половины 60-х годов. С их появлением стали функционировать параллельно два рынка: рынок традиционных иностранных займов, размещаемых нерезидентами на одном из национальных рынков, и рынок еврооблигаций, размещаемых одновременно на нескольких международных рынках. Номинальная и рыночная цена еврооблигаций выражается в иностранной валюте. Они являются долгосрочными бумагами, т.к. период обращения разных их выпусков лежит в пределах от 7 до 40 лет. Основными эмитентами выступают международные корпорации, в частности кредитно-финансовые учреждения,</w:t>
      </w:r>
      <w:r w:rsidR="00E03C26">
        <w:rPr>
          <w:rFonts w:ascii="Times New Roman" w:hAnsi="Times New Roman"/>
          <w:sz w:val="28"/>
          <w:szCs w:val="28"/>
        </w:rPr>
        <w:t xml:space="preserve"> </w:t>
      </w:r>
      <w:r w:rsidRPr="00E03C26">
        <w:rPr>
          <w:rFonts w:ascii="Times New Roman" w:hAnsi="Times New Roman"/>
          <w:sz w:val="28"/>
          <w:szCs w:val="28"/>
        </w:rPr>
        <w:t>правительства стран, а также местные органы власти.</w:t>
      </w:r>
    </w:p>
    <w:p w:rsidR="007A4B6E" w:rsidRPr="00E03C26" w:rsidRDefault="007A4B6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Посреднические услуги при размещении новых выпусков еврооблигаций оказывают инвестиционные и коммерческие банки, а также банкирские дома. С этой целью, как правило, создаётся банковский консорциум, подписывающий</w:t>
      </w:r>
      <w:r w:rsidR="00E03C26">
        <w:rPr>
          <w:rFonts w:ascii="Times New Roman" w:hAnsi="Times New Roman"/>
          <w:sz w:val="28"/>
          <w:szCs w:val="28"/>
        </w:rPr>
        <w:t xml:space="preserve"> </w:t>
      </w:r>
      <w:r w:rsidRPr="00E03C26">
        <w:rPr>
          <w:rFonts w:ascii="Times New Roman" w:hAnsi="Times New Roman"/>
          <w:sz w:val="28"/>
          <w:szCs w:val="28"/>
        </w:rPr>
        <w:t>соглашение с эмитентом, называемое "андеррайтингом".</w:t>
      </w:r>
      <w:r w:rsidR="00E03C26">
        <w:rPr>
          <w:rFonts w:ascii="Times New Roman" w:hAnsi="Times New Roman"/>
          <w:sz w:val="28"/>
          <w:szCs w:val="28"/>
        </w:rPr>
        <w:t xml:space="preserve"> </w:t>
      </w:r>
    </w:p>
    <w:p w:rsidR="007A4B6E" w:rsidRPr="00E03C26" w:rsidRDefault="007A4B6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В развитых странах выделяют несколько типов еврооблигаций, а именно: </w:t>
      </w:r>
      <w:r w:rsidRPr="00E03C26">
        <w:rPr>
          <w:rFonts w:ascii="Times New Roman" w:hAnsi="Times New Roman"/>
          <w:i/>
          <w:sz w:val="28"/>
          <w:szCs w:val="28"/>
        </w:rPr>
        <w:t>обычные</w:t>
      </w:r>
      <w:r w:rsidRPr="00E03C26">
        <w:rPr>
          <w:rFonts w:ascii="Times New Roman" w:hAnsi="Times New Roman"/>
          <w:sz w:val="28"/>
          <w:szCs w:val="28"/>
        </w:rPr>
        <w:t xml:space="preserve"> или </w:t>
      </w:r>
      <w:r w:rsidRPr="00E03C26">
        <w:rPr>
          <w:rFonts w:ascii="Times New Roman" w:hAnsi="Times New Roman"/>
          <w:i/>
          <w:sz w:val="28"/>
          <w:szCs w:val="28"/>
        </w:rPr>
        <w:t>прямые</w:t>
      </w:r>
      <w:r w:rsidRPr="00E03C26">
        <w:rPr>
          <w:rFonts w:ascii="Times New Roman" w:hAnsi="Times New Roman"/>
          <w:sz w:val="28"/>
          <w:szCs w:val="28"/>
        </w:rPr>
        <w:t xml:space="preserve">, </w:t>
      </w:r>
      <w:r w:rsidRPr="00E03C26">
        <w:rPr>
          <w:rFonts w:ascii="Times New Roman" w:hAnsi="Times New Roman"/>
          <w:i/>
          <w:sz w:val="28"/>
          <w:szCs w:val="28"/>
        </w:rPr>
        <w:t>с плавающей процентной ставкой</w:t>
      </w:r>
      <w:r w:rsidRPr="00E03C26">
        <w:rPr>
          <w:rFonts w:ascii="Times New Roman" w:hAnsi="Times New Roman"/>
          <w:sz w:val="28"/>
          <w:szCs w:val="28"/>
        </w:rPr>
        <w:t xml:space="preserve">, </w:t>
      </w:r>
      <w:r w:rsidRPr="00E03C26">
        <w:rPr>
          <w:rFonts w:ascii="Times New Roman" w:hAnsi="Times New Roman"/>
          <w:i/>
          <w:sz w:val="28"/>
          <w:szCs w:val="28"/>
        </w:rPr>
        <w:t>с нулевым купоном</w:t>
      </w:r>
      <w:r w:rsidRPr="00E03C26">
        <w:rPr>
          <w:rFonts w:ascii="Times New Roman" w:hAnsi="Times New Roman"/>
          <w:sz w:val="28"/>
          <w:szCs w:val="28"/>
        </w:rPr>
        <w:t xml:space="preserve">, </w:t>
      </w:r>
      <w:r w:rsidRPr="00E03C26">
        <w:rPr>
          <w:rFonts w:ascii="Times New Roman" w:hAnsi="Times New Roman"/>
          <w:i/>
          <w:sz w:val="28"/>
          <w:szCs w:val="28"/>
        </w:rPr>
        <w:t>с индексируемым процентом</w:t>
      </w:r>
      <w:r w:rsidRPr="00E03C26">
        <w:rPr>
          <w:rFonts w:ascii="Times New Roman" w:hAnsi="Times New Roman"/>
          <w:sz w:val="28"/>
          <w:szCs w:val="28"/>
        </w:rPr>
        <w:t xml:space="preserve">, </w:t>
      </w:r>
      <w:r w:rsidRPr="00E03C26">
        <w:rPr>
          <w:rFonts w:ascii="Times New Roman" w:hAnsi="Times New Roman"/>
          <w:i/>
          <w:sz w:val="28"/>
          <w:szCs w:val="28"/>
        </w:rPr>
        <w:t>конвертируемые</w:t>
      </w:r>
      <w:r w:rsidRPr="00E03C26">
        <w:rPr>
          <w:rFonts w:ascii="Times New Roman" w:hAnsi="Times New Roman"/>
          <w:sz w:val="28"/>
          <w:szCs w:val="28"/>
        </w:rPr>
        <w:t xml:space="preserve">, </w:t>
      </w:r>
      <w:r w:rsidRPr="00E03C26">
        <w:rPr>
          <w:rFonts w:ascii="Times New Roman" w:hAnsi="Times New Roman"/>
          <w:i/>
          <w:sz w:val="28"/>
          <w:szCs w:val="28"/>
        </w:rPr>
        <w:t>с опционом</w:t>
      </w:r>
      <w:r w:rsidRPr="00E03C26">
        <w:rPr>
          <w:rFonts w:ascii="Times New Roman" w:hAnsi="Times New Roman"/>
          <w:sz w:val="28"/>
          <w:szCs w:val="28"/>
        </w:rPr>
        <w:t xml:space="preserve">. </w:t>
      </w:r>
    </w:p>
    <w:p w:rsidR="007A4B6E" w:rsidRPr="00E03C26" w:rsidRDefault="007A4B6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Наиболее распространены </w:t>
      </w:r>
      <w:r w:rsidRPr="00E03C26">
        <w:rPr>
          <w:rFonts w:ascii="Times New Roman" w:hAnsi="Times New Roman"/>
          <w:b/>
          <w:sz w:val="28"/>
          <w:szCs w:val="28"/>
        </w:rPr>
        <w:t>обычные</w:t>
      </w:r>
      <w:r w:rsidRPr="00E03C26">
        <w:rPr>
          <w:rFonts w:ascii="Times New Roman" w:hAnsi="Times New Roman"/>
          <w:sz w:val="28"/>
          <w:szCs w:val="28"/>
        </w:rPr>
        <w:t xml:space="preserve"> или </w:t>
      </w:r>
      <w:r w:rsidRPr="00E03C26">
        <w:rPr>
          <w:rFonts w:ascii="Times New Roman" w:hAnsi="Times New Roman"/>
          <w:b/>
          <w:sz w:val="28"/>
          <w:szCs w:val="28"/>
        </w:rPr>
        <w:t>прямые</w:t>
      </w:r>
      <w:r w:rsidRPr="00E03C26">
        <w:rPr>
          <w:rFonts w:ascii="Times New Roman" w:hAnsi="Times New Roman"/>
          <w:sz w:val="28"/>
          <w:szCs w:val="28"/>
        </w:rPr>
        <w:t xml:space="preserve"> облигации. По ним выплачивается фиксированный процент. Их курс может меняться в связи с изменениями банковских процентных ставок.</w:t>
      </w:r>
    </w:p>
    <w:p w:rsidR="007A4B6E" w:rsidRPr="00E03C26" w:rsidRDefault="007A4B6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Курс облигаций </w:t>
      </w:r>
      <w:r w:rsidRPr="00E03C26">
        <w:rPr>
          <w:rFonts w:ascii="Times New Roman" w:hAnsi="Times New Roman"/>
          <w:b/>
          <w:sz w:val="28"/>
          <w:szCs w:val="28"/>
        </w:rPr>
        <w:t>с плавающей процентной ставкой</w:t>
      </w:r>
      <w:r w:rsidRPr="00E03C26">
        <w:rPr>
          <w:rFonts w:ascii="Times New Roman" w:hAnsi="Times New Roman"/>
          <w:sz w:val="28"/>
          <w:szCs w:val="28"/>
        </w:rPr>
        <w:t xml:space="preserve"> сильно зависит от колебаний рыночного процента. При его росте, как правило, увеличивается и объём эмиссии облигаций, при снижении - наоборот. Плавающий процент облигаций привязывается к ставке Лондонского рынка ссудного капитала с надбавкой, называемой "СПРЕДО". </w:t>
      </w:r>
    </w:p>
    <w:p w:rsidR="007A4B6E" w:rsidRPr="00E03C26" w:rsidRDefault="007A4B6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Облигации </w:t>
      </w:r>
      <w:r w:rsidRPr="00E03C26">
        <w:rPr>
          <w:rFonts w:ascii="Times New Roman" w:hAnsi="Times New Roman"/>
          <w:b/>
          <w:sz w:val="28"/>
          <w:szCs w:val="28"/>
        </w:rPr>
        <w:t>с нулевым купоном</w:t>
      </w:r>
      <w:r w:rsidRPr="00E03C26">
        <w:rPr>
          <w:rFonts w:ascii="Times New Roman" w:hAnsi="Times New Roman"/>
          <w:sz w:val="28"/>
          <w:szCs w:val="28"/>
        </w:rPr>
        <w:t xml:space="preserve"> позволяют получить доход только при их погашении за счёт разницы эмиссионной и номинальной цен. Этот доход, как правило, не облагается налогами. </w:t>
      </w:r>
    </w:p>
    <w:p w:rsidR="007A4B6E" w:rsidRPr="00E03C26" w:rsidRDefault="007A4B6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Ставка по облигациям </w:t>
      </w:r>
      <w:r w:rsidRPr="00E03C26">
        <w:rPr>
          <w:rFonts w:ascii="Times New Roman" w:hAnsi="Times New Roman"/>
          <w:b/>
          <w:sz w:val="28"/>
          <w:szCs w:val="28"/>
        </w:rPr>
        <w:t>с индексируемым процентом</w:t>
      </w:r>
      <w:r w:rsidRPr="00E03C26">
        <w:rPr>
          <w:rFonts w:ascii="Times New Roman" w:hAnsi="Times New Roman"/>
          <w:sz w:val="28"/>
          <w:szCs w:val="28"/>
        </w:rPr>
        <w:t xml:space="preserve"> привязывается</w:t>
      </w:r>
      <w:r w:rsidR="00E03C26">
        <w:rPr>
          <w:rFonts w:ascii="Times New Roman" w:hAnsi="Times New Roman"/>
          <w:sz w:val="28"/>
          <w:szCs w:val="28"/>
        </w:rPr>
        <w:t xml:space="preserve"> </w:t>
      </w:r>
      <w:r w:rsidRPr="00E03C26">
        <w:rPr>
          <w:rFonts w:ascii="Times New Roman" w:hAnsi="Times New Roman"/>
          <w:sz w:val="28"/>
          <w:szCs w:val="28"/>
        </w:rPr>
        <w:t xml:space="preserve">к индексу цен на определённые группы стратегических товаров, в частности нефть, золото и др. </w:t>
      </w:r>
    </w:p>
    <w:p w:rsidR="007A4B6E" w:rsidRPr="00E03C26" w:rsidRDefault="007A4B6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Конвертируемые</w:t>
      </w:r>
      <w:r w:rsidRPr="00E03C26">
        <w:rPr>
          <w:rFonts w:ascii="Times New Roman" w:hAnsi="Times New Roman"/>
          <w:sz w:val="28"/>
          <w:szCs w:val="28"/>
        </w:rPr>
        <w:t xml:space="preserve"> облигации приносят меньший доход по сравнению с другими, но предоставляют владельцу право обменивать их на акции. Такое происходит в случае, когда дивиденды по акциям существенно превышают купонный процент. </w:t>
      </w:r>
    </w:p>
    <w:p w:rsidR="007A4B6E" w:rsidRPr="00E03C26" w:rsidRDefault="007A4B6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Облигации </w:t>
      </w:r>
      <w:r w:rsidRPr="00E03C26">
        <w:rPr>
          <w:rFonts w:ascii="Times New Roman" w:hAnsi="Times New Roman"/>
          <w:b/>
          <w:sz w:val="28"/>
          <w:szCs w:val="28"/>
        </w:rPr>
        <w:t xml:space="preserve">с опционом </w:t>
      </w:r>
      <w:r w:rsidRPr="00E03C26">
        <w:rPr>
          <w:rFonts w:ascii="Times New Roman" w:hAnsi="Times New Roman"/>
          <w:sz w:val="28"/>
          <w:szCs w:val="28"/>
        </w:rPr>
        <w:t>позволяют владельцу выбирать различные варианты инвестиционной сделки. Они могут быть обменены на акции, облигации с плавающим и фиксированным процентом и др.</w:t>
      </w:r>
    </w:p>
    <w:p w:rsidR="00E90E99" w:rsidRPr="00E03C26" w:rsidRDefault="00E90E9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Необходимо отличать еврооблигации и облигации, которые выпускаются на национальных рынках капитала (внутренние выпуски). Это разные вещи. Внутренний выпуск облигаций осуществляет инвестор, который является резидентом страны выпуска. Такой выпуск облигаций проводится в валюте этой страны и размещается в стране выпуска. Он может быть и размещен в иностранном государстве, но в валюте страны эмитента, кроме того, большая часть будет размещена все же</w:t>
      </w:r>
      <w:r w:rsidR="00E03C26">
        <w:rPr>
          <w:rFonts w:ascii="Times New Roman" w:hAnsi="Times New Roman"/>
          <w:sz w:val="28"/>
          <w:szCs w:val="28"/>
        </w:rPr>
        <w:t xml:space="preserve"> </w:t>
      </w:r>
      <w:r w:rsidRPr="00E03C26">
        <w:rPr>
          <w:rFonts w:ascii="Times New Roman" w:hAnsi="Times New Roman"/>
          <w:sz w:val="28"/>
          <w:szCs w:val="28"/>
        </w:rPr>
        <w:t>в стране эмитента.</w:t>
      </w:r>
    </w:p>
    <w:p w:rsidR="007A4B6E" w:rsidRPr="00E03C26" w:rsidRDefault="007A4B6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Российские еврооблигации</w:t>
      </w:r>
      <w:r w:rsidRPr="00E03C26">
        <w:rPr>
          <w:rFonts w:ascii="Times New Roman" w:hAnsi="Times New Roman"/>
          <w:sz w:val="28"/>
          <w:szCs w:val="28"/>
        </w:rPr>
        <w:t xml:space="preserve"> (евробонды) начали выпускаться с </w:t>
      </w:r>
      <w:smartTag w:uri="urn:schemas-microsoft-com:office:smarttags" w:element="metricconverter">
        <w:smartTagPr>
          <w:attr w:name="ProductID" w:val="1996 г"/>
        </w:smartTagPr>
        <w:r w:rsidRPr="00E03C26">
          <w:rPr>
            <w:rFonts w:ascii="Times New Roman" w:hAnsi="Times New Roman"/>
            <w:sz w:val="28"/>
            <w:szCs w:val="28"/>
          </w:rPr>
          <w:t>1996 г</w:t>
        </w:r>
      </w:smartTag>
      <w:r w:rsidRPr="00E03C26">
        <w:rPr>
          <w:rFonts w:ascii="Times New Roman" w:hAnsi="Times New Roman"/>
          <w:sz w:val="28"/>
          <w:szCs w:val="28"/>
        </w:rPr>
        <w:t>.</w:t>
      </w:r>
      <w:r w:rsidR="00E03C26">
        <w:rPr>
          <w:rFonts w:ascii="Times New Roman" w:hAnsi="Times New Roman"/>
          <w:sz w:val="28"/>
          <w:szCs w:val="28"/>
        </w:rPr>
        <w:t xml:space="preserve"> </w:t>
      </w:r>
      <w:r w:rsidRPr="00E03C26">
        <w:rPr>
          <w:rFonts w:ascii="Times New Roman" w:hAnsi="Times New Roman"/>
          <w:sz w:val="28"/>
          <w:szCs w:val="28"/>
        </w:rPr>
        <w:t>Они номинировались в долларах США, немецких марках и приносили относительно высокие доходы (9 - 10% годовых), поскольку были недостаточно надёжными по оценкам "западных" инвесторов. Сроки обращения первых эмиссий составляли 5 - 10 лет. Они размещались с невысоким успехом на рынках стран</w:t>
      </w:r>
      <w:r w:rsidR="00E03C26">
        <w:rPr>
          <w:rFonts w:ascii="Times New Roman" w:hAnsi="Times New Roman"/>
          <w:sz w:val="28"/>
          <w:szCs w:val="28"/>
        </w:rPr>
        <w:t xml:space="preserve"> </w:t>
      </w:r>
      <w:r w:rsidRPr="00E03C26">
        <w:rPr>
          <w:rFonts w:ascii="Times New Roman" w:hAnsi="Times New Roman"/>
          <w:sz w:val="28"/>
          <w:szCs w:val="28"/>
        </w:rPr>
        <w:t>Азии, Европы и Америки. Эмиссию еврооблигаций в стране осуществляли также отдельные субъекты Федерации и муниципальные образования, в частности крупные города.</w:t>
      </w:r>
    </w:p>
    <w:p w:rsidR="007A4B6E" w:rsidRPr="00E03C26" w:rsidRDefault="007A4B6E"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Евроакции</w:t>
      </w:r>
      <w:r w:rsidRPr="00E03C26">
        <w:rPr>
          <w:rFonts w:ascii="Times New Roman" w:hAnsi="Times New Roman"/>
          <w:sz w:val="28"/>
          <w:szCs w:val="28"/>
        </w:rPr>
        <w:t xml:space="preserve"> по объёму эмиссии существенно уступают еврооблигациям. Это объясняется рядом факторов, главными из которых являются: ограниченность института международной фондовой биржи и большее предпочтение инвесторов к хорошо известным им акциям национальных компаний. Эмитентами евроакций выступают преимущественно международные корпорации. Перепродажа этих бумаг происходит и на национальных фондовых биржах, однако далеко не все страны допускают туда иностранные ценные бумаги.</w:t>
      </w:r>
    </w:p>
    <w:p w:rsidR="00067BE6" w:rsidRPr="00E03C26" w:rsidRDefault="00B65153"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Структуру</w:t>
      </w:r>
      <w:r w:rsidR="008B0963" w:rsidRPr="00E03C26">
        <w:rPr>
          <w:rFonts w:ascii="Times New Roman" w:hAnsi="Times New Roman"/>
          <w:sz w:val="28"/>
          <w:szCs w:val="28"/>
        </w:rPr>
        <w:t xml:space="preserve"> и динамик</w:t>
      </w:r>
      <w:r w:rsidRPr="00E03C26">
        <w:rPr>
          <w:rFonts w:ascii="Times New Roman" w:hAnsi="Times New Roman"/>
          <w:sz w:val="28"/>
          <w:szCs w:val="28"/>
        </w:rPr>
        <w:t>у</w:t>
      </w:r>
      <w:r w:rsidR="008B0963" w:rsidRPr="00E03C26">
        <w:rPr>
          <w:rFonts w:ascii="Times New Roman" w:hAnsi="Times New Roman"/>
          <w:sz w:val="28"/>
          <w:szCs w:val="28"/>
        </w:rPr>
        <w:t xml:space="preserve"> </w:t>
      </w:r>
      <w:r w:rsidRPr="00E03C26">
        <w:rPr>
          <w:rFonts w:ascii="Times New Roman" w:hAnsi="Times New Roman"/>
          <w:sz w:val="28"/>
          <w:szCs w:val="28"/>
        </w:rPr>
        <w:t xml:space="preserve">развития мирового рынка ценных бумаг можно рассмотреть с помощью таблицы </w:t>
      </w:r>
      <w:r w:rsidR="00640943" w:rsidRPr="00E03C26">
        <w:rPr>
          <w:rFonts w:ascii="Times New Roman" w:hAnsi="Times New Roman"/>
          <w:sz w:val="28"/>
          <w:szCs w:val="28"/>
        </w:rPr>
        <w:t>3</w:t>
      </w:r>
      <w:r w:rsidRPr="00E03C26">
        <w:rPr>
          <w:rFonts w:ascii="Times New Roman" w:hAnsi="Times New Roman"/>
          <w:sz w:val="28"/>
          <w:szCs w:val="28"/>
        </w:rPr>
        <w:t xml:space="preserve">. </w:t>
      </w:r>
    </w:p>
    <w:p w:rsidR="007A4B6E" w:rsidRPr="00E03C26" w:rsidRDefault="00067BE6"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Почти половина - 46% долговых бумаг и акций приходится на США, 15% сосредоточено в Японии, по 6% - в Германии и Великобритании, 4% - во Франции, ну и, наконец, 4% приходится на все остальные страны. Таким образом, сразу становится виден бесспорный лидер – Соединенные</w:t>
      </w:r>
      <w:r w:rsidR="00E03C26">
        <w:rPr>
          <w:rFonts w:ascii="Times New Roman" w:hAnsi="Times New Roman"/>
          <w:sz w:val="28"/>
          <w:szCs w:val="28"/>
        </w:rPr>
        <w:t xml:space="preserve"> </w:t>
      </w:r>
      <w:r w:rsidRPr="00E03C26">
        <w:rPr>
          <w:rFonts w:ascii="Times New Roman" w:hAnsi="Times New Roman"/>
          <w:sz w:val="28"/>
          <w:szCs w:val="28"/>
        </w:rPr>
        <w:t>Штаты Америки. Динамика развития рынка положительная: на январь 1999 года по всему миру приходилось долговых бумаг и акций на 52,3 трлн.дол., а уже на январь 2001 года – 72 трлн.дол.</w:t>
      </w:r>
    </w:p>
    <w:p w:rsidR="00E03C26" w:rsidRDefault="00E03C26" w:rsidP="00E03C26">
      <w:pPr>
        <w:widowControl w:val="0"/>
        <w:spacing w:after="0" w:line="360" w:lineRule="auto"/>
        <w:ind w:firstLine="709"/>
        <w:jc w:val="both"/>
        <w:rPr>
          <w:rFonts w:ascii="Times New Roman" w:hAnsi="Times New Roman"/>
          <w:sz w:val="28"/>
          <w:szCs w:val="28"/>
        </w:rPr>
      </w:pPr>
    </w:p>
    <w:p w:rsidR="00236279" w:rsidRPr="00E03C26" w:rsidRDefault="0023627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Таблица </w:t>
      </w:r>
      <w:r w:rsidR="00640943" w:rsidRPr="00E03C26">
        <w:rPr>
          <w:rFonts w:ascii="Times New Roman" w:hAnsi="Times New Roman"/>
          <w:sz w:val="28"/>
          <w:szCs w:val="28"/>
        </w:rPr>
        <w:t>3</w:t>
      </w:r>
      <w:r w:rsidRPr="00E03C26">
        <w:rPr>
          <w:rFonts w:ascii="Times New Roman" w:hAnsi="Times New Roman"/>
          <w:sz w:val="28"/>
          <w:szCs w:val="28"/>
        </w:rPr>
        <w:t>. Структура мирового рынка долговых ценных бумаг и акций</w:t>
      </w:r>
      <w:r w:rsidRPr="00E03C26">
        <w:rPr>
          <w:rStyle w:val="a5"/>
          <w:rFonts w:ascii="Times New Roman" w:hAnsi="Times New Roman"/>
          <w:sz w:val="28"/>
          <w:szCs w:val="28"/>
        </w:rPr>
        <w:footnoteReference w:id="1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853"/>
        <w:gridCol w:w="853"/>
        <w:gridCol w:w="854"/>
        <w:gridCol w:w="854"/>
        <w:gridCol w:w="854"/>
        <w:gridCol w:w="817"/>
        <w:gridCol w:w="40"/>
        <w:gridCol w:w="854"/>
        <w:gridCol w:w="854"/>
        <w:gridCol w:w="839"/>
        <w:gridCol w:w="19"/>
        <w:gridCol w:w="854"/>
      </w:tblGrid>
      <w:tr w:rsidR="008B0963" w:rsidRPr="00E03C26" w:rsidTr="00E03C26">
        <w:tc>
          <w:tcPr>
            <w:tcW w:w="499" w:type="pct"/>
            <w:vMerge w:val="restar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Страна</w:t>
            </w:r>
          </w:p>
        </w:tc>
        <w:tc>
          <w:tcPr>
            <w:tcW w:w="1330" w:type="pct"/>
            <w:gridSpan w:val="3"/>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Долговые бумаги</w:t>
            </w:r>
          </w:p>
        </w:tc>
        <w:tc>
          <w:tcPr>
            <w:tcW w:w="1330" w:type="pct"/>
            <w:gridSpan w:val="3"/>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Акции</w:t>
            </w:r>
          </w:p>
        </w:tc>
        <w:tc>
          <w:tcPr>
            <w:tcW w:w="1425" w:type="pct"/>
            <w:gridSpan w:val="4"/>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Всего</w:t>
            </w:r>
          </w:p>
        </w:tc>
        <w:tc>
          <w:tcPr>
            <w:tcW w:w="416" w:type="pct"/>
            <w:gridSpan w:val="2"/>
            <w:vAlign w:val="center"/>
          </w:tcPr>
          <w:p w:rsidR="008B0963" w:rsidRPr="00E03C26" w:rsidRDefault="008B0963" w:rsidP="00E03C26">
            <w:pPr>
              <w:widowControl w:val="0"/>
              <w:spacing w:after="0" w:line="360" w:lineRule="auto"/>
              <w:rPr>
                <w:rFonts w:ascii="Times New Roman" w:hAnsi="Times New Roman"/>
                <w:sz w:val="20"/>
                <w:szCs w:val="20"/>
              </w:rPr>
            </w:pPr>
          </w:p>
        </w:tc>
      </w:tr>
      <w:tr w:rsidR="008B0963" w:rsidRPr="00E03C26" w:rsidTr="00E03C26">
        <w:tc>
          <w:tcPr>
            <w:tcW w:w="499" w:type="pct"/>
            <w:vMerge/>
            <w:vAlign w:val="center"/>
          </w:tcPr>
          <w:p w:rsidR="008B0963" w:rsidRPr="00E03C26" w:rsidRDefault="008B0963" w:rsidP="00E03C26">
            <w:pPr>
              <w:widowControl w:val="0"/>
              <w:spacing w:after="0" w:line="360" w:lineRule="auto"/>
              <w:rPr>
                <w:rFonts w:ascii="Times New Roman" w:hAnsi="Times New Roman"/>
                <w:sz w:val="20"/>
                <w:szCs w:val="20"/>
              </w:rPr>
            </w:pPr>
          </w:p>
        </w:tc>
        <w:tc>
          <w:tcPr>
            <w:tcW w:w="467" w:type="pc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01.1999</w:t>
            </w:r>
          </w:p>
        </w:tc>
        <w:tc>
          <w:tcPr>
            <w:tcW w:w="447" w:type="pc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01.2000</w:t>
            </w:r>
          </w:p>
        </w:tc>
        <w:tc>
          <w:tcPr>
            <w:tcW w:w="416" w:type="pc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01.2001</w:t>
            </w:r>
          </w:p>
        </w:tc>
        <w:tc>
          <w:tcPr>
            <w:tcW w:w="416" w:type="pc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01.1999</w:t>
            </w:r>
          </w:p>
        </w:tc>
        <w:tc>
          <w:tcPr>
            <w:tcW w:w="467" w:type="pc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01.2000</w:t>
            </w:r>
          </w:p>
        </w:tc>
        <w:tc>
          <w:tcPr>
            <w:tcW w:w="467" w:type="pct"/>
            <w:gridSpan w:val="2"/>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01.2001</w:t>
            </w:r>
          </w:p>
        </w:tc>
        <w:tc>
          <w:tcPr>
            <w:tcW w:w="479" w:type="pc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01.1999</w:t>
            </w:r>
          </w:p>
        </w:tc>
        <w:tc>
          <w:tcPr>
            <w:tcW w:w="467" w:type="pc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01.2000</w:t>
            </w:r>
          </w:p>
        </w:tc>
        <w:tc>
          <w:tcPr>
            <w:tcW w:w="467" w:type="pct"/>
            <w:gridSpan w:val="2"/>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01.2001</w:t>
            </w:r>
          </w:p>
        </w:tc>
        <w:tc>
          <w:tcPr>
            <w:tcW w:w="407" w:type="pc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01.2001</w:t>
            </w:r>
          </w:p>
        </w:tc>
      </w:tr>
      <w:tr w:rsidR="008B0963" w:rsidRPr="00E03C26" w:rsidTr="00E03C26">
        <w:tc>
          <w:tcPr>
            <w:tcW w:w="499" w:type="pct"/>
            <w:vMerge/>
            <w:vAlign w:val="center"/>
          </w:tcPr>
          <w:p w:rsidR="008B0963" w:rsidRPr="00E03C26" w:rsidRDefault="008B0963" w:rsidP="00E03C26">
            <w:pPr>
              <w:widowControl w:val="0"/>
              <w:spacing w:after="0" w:line="360" w:lineRule="auto"/>
              <w:rPr>
                <w:rFonts w:ascii="Times New Roman" w:hAnsi="Times New Roman"/>
                <w:sz w:val="20"/>
                <w:szCs w:val="20"/>
              </w:rPr>
            </w:pPr>
          </w:p>
        </w:tc>
        <w:tc>
          <w:tcPr>
            <w:tcW w:w="467" w:type="pc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млрд. дол.</w:t>
            </w:r>
          </w:p>
        </w:tc>
        <w:tc>
          <w:tcPr>
            <w:tcW w:w="447" w:type="pc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млрд. дол.</w:t>
            </w:r>
          </w:p>
        </w:tc>
        <w:tc>
          <w:tcPr>
            <w:tcW w:w="416" w:type="pc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млрд. дол.</w:t>
            </w:r>
          </w:p>
        </w:tc>
        <w:tc>
          <w:tcPr>
            <w:tcW w:w="416" w:type="pc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млрд. дол.</w:t>
            </w:r>
          </w:p>
        </w:tc>
        <w:tc>
          <w:tcPr>
            <w:tcW w:w="467" w:type="pc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млрд. дол.</w:t>
            </w:r>
          </w:p>
        </w:tc>
        <w:tc>
          <w:tcPr>
            <w:tcW w:w="467" w:type="pct"/>
            <w:gridSpan w:val="2"/>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млрд. дол.</w:t>
            </w:r>
          </w:p>
        </w:tc>
        <w:tc>
          <w:tcPr>
            <w:tcW w:w="479" w:type="pc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млрд. дол.</w:t>
            </w:r>
          </w:p>
        </w:tc>
        <w:tc>
          <w:tcPr>
            <w:tcW w:w="467" w:type="pc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млрд. дол.</w:t>
            </w:r>
          </w:p>
        </w:tc>
        <w:tc>
          <w:tcPr>
            <w:tcW w:w="467" w:type="pct"/>
            <w:gridSpan w:val="2"/>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млрд. дол.</w:t>
            </w:r>
          </w:p>
        </w:tc>
        <w:tc>
          <w:tcPr>
            <w:tcW w:w="407" w:type="pct"/>
            <w:vAlign w:val="center"/>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w:t>
            </w:r>
          </w:p>
        </w:tc>
      </w:tr>
      <w:tr w:rsidR="008B0963" w:rsidRPr="00E03C26" w:rsidTr="00E03C26">
        <w:tc>
          <w:tcPr>
            <w:tcW w:w="499"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Весь мир</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29274</w:t>
            </w:r>
          </w:p>
        </w:tc>
        <w:tc>
          <w:tcPr>
            <w:tcW w:w="44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33062</w:t>
            </w:r>
          </w:p>
        </w:tc>
        <w:tc>
          <w:tcPr>
            <w:tcW w:w="416"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36312</w:t>
            </w:r>
          </w:p>
        </w:tc>
        <w:tc>
          <w:tcPr>
            <w:tcW w:w="416"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23107</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26874</w:t>
            </w:r>
          </w:p>
        </w:tc>
        <w:tc>
          <w:tcPr>
            <w:tcW w:w="467" w:type="pct"/>
            <w:gridSpan w:val="2"/>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35735</w:t>
            </w:r>
          </w:p>
        </w:tc>
        <w:tc>
          <w:tcPr>
            <w:tcW w:w="479"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52381</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59936</w:t>
            </w:r>
          </w:p>
        </w:tc>
        <w:tc>
          <w:tcPr>
            <w:tcW w:w="467" w:type="pct"/>
            <w:gridSpan w:val="2"/>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72047</w:t>
            </w:r>
          </w:p>
        </w:tc>
        <w:tc>
          <w:tcPr>
            <w:tcW w:w="40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100,0</w:t>
            </w:r>
          </w:p>
        </w:tc>
      </w:tr>
      <w:tr w:rsidR="008B0963" w:rsidRPr="00E03C26" w:rsidTr="00E03C26">
        <w:tc>
          <w:tcPr>
            <w:tcW w:w="499"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США</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12970</w:t>
            </w:r>
          </w:p>
        </w:tc>
        <w:tc>
          <w:tcPr>
            <w:tcW w:w="44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14598</w:t>
            </w:r>
          </w:p>
        </w:tc>
        <w:tc>
          <w:tcPr>
            <w:tcW w:w="416"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16696</w:t>
            </w:r>
          </w:p>
        </w:tc>
        <w:tc>
          <w:tcPr>
            <w:tcW w:w="416"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11309</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13451</w:t>
            </w:r>
          </w:p>
        </w:tc>
        <w:tc>
          <w:tcPr>
            <w:tcW w:w="467" w:type="pct"/>
            <w:gridSpan w:val="2"/>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16773</w:t>
            </w:r>
          </w:p>
        </w:tc>
        <w:tc>
          <w:tcPr>
            <w:tcW w:w="479"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24279</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28049</w:t>
            </w:r>
          </w:p>
        </w:tc>
        <w:tc>
          <w:tcPr>
            <w:tcW w:w="467" w:type="pct"/>
            <w:gridSpan w:val="2"/>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33469</w:t>
            </w:r>
          </w:p>
        </w:tc>
        <w:tc>
          <w:tcPr>
            <w:tcW w:w="40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46,0</w:t>
            </w:r>
          </w:p>
        </w:tc>
      </w:tr>
      <w:tr w:rsidR="008B0963" w:rsidRPr="00E03C26" w:rsidTr="00E03C26">
        <w:tc>
          <w:tcPr>
            <w:tcW w:w="499"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Япония</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4</w:t>
            </w:r>
            <w:r w:rsidR="00E03C26" w:rsidRPr="00E03C26">
              <w:rPr>
                <w:rFonts w:ascii="Times New Roman" w:hAnsi="Times New Roman"/>
                <w:sz w:val="20"/>
                <w:szCs w:val="20"/>
              </w:rPr>
              <w:t xml:space="preserve"> </w:t>
            </w:r>
            <w:r w:rsidRPr="00E03C26">
              <w:rPr>
                <w:rFonts w:ascii="Times New Roman" w:hAnsi="Times New Roman"/>
                <w:sz w:val="20"/>
                <w:szCs w:val="20"/>
              </w:rPr>
              <w:t>754</w:t>
            </w:r>
          </w:p>
        </w:tc>
        <w:tc>
          <w:tcPr>
            <w:tcW w:w="44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5</w:t>
            </w:r>
            <w:r w:rsidR="00E03C26" w:rsidRPr="00E03C26">
              <w:rPr>
                <w:rFonts w:ascii="Times New Roman" w:hAnsi="Times New Roman"/>
                <w:sz w:val="20"/>
                <w:szCs w:val="20"/>
              </w:rPr>
              <w:t xml:space="preserve"> </w:t>
            </w:r>
            <w:r w:rsidRPr="00E03C26">
              <w:rPr>
                <w:rFonts w:ascii="Times New Roman" w:hAnsi="Times New Roman"/>
                <w:sz w:val="20"/>
                <w:szCs w:val="20"/>
              </w:rPr>
              <w:t>198</w:t>
            </w:r>
          </w:p>
        </w:tc>
        <w:tc>
          <w:tcPr>
            <w:tcW w:w="416"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6</w:t>
            </w:r>
            <w:r w:rsidR="00E03C26" w:rsidRPr="00E03C26">
              <w:rPr>
                <w:rFonts w:ascii="Times New Roman" w:hAnsi="Times New Roman"/>
                <w:sz w:val="20"/>
                <w:szCs w:val="20"/>
              </w:rPr>
              <w:t xml:space="preserve"> </w:t>
            </w:r>
            <w:r w:rsidRPr="00E03C26">
              <w:rPr>
                <w:rFonts w:ascii="Times New Roman" w:hAnsi="Times New Roman"/>
                <w:sz w:val="20"/>
                <w:szCs w:val="20"/>
              </w:rPr>
              <w:t>664</w:t>
            </w:r>
          </w:p>
        </w:tc>
        <w:tc>
          <w:tcPr>
            <w:tcW w:w="416"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2</w:t>
            </w:r>
            <w:r w:rsidR="00E03C26" w:rsidRPr="00E03C26">
              <w:rPr>
                <w:rFonts w:ascii="Times New Roman" w:hAnsi="Times New Roman"/>
                <w:sz w:val="20"/>
                <w:szCs w:val="20"/>
              </w:rPr>
              <w:t xml:space="preserve"> </w:t>
            </w:r>
            <w:r w:rsidRPr="00E03C26">
              <w:rPr>
                <w:rFonts w:ascii="Times New Roman" w:hAnsi="Times New Roman"/>
                <w:sz w:val="20"/>
                <w:szCs w:val="20"/>
              </w:rPr>
              <w:t>217</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2</w:t>
            </w:r>
            <w:r w:rsidR="00E03C26" w:rsidRPr="00E03C26">
              <w:rPr>
                <w:rFonts w:ascii="Times New Roman" w:hAnsi="Times New Roman"/>
                <w:sz w:val="20"/>
                <w:szCs w:val="20"/>
              </w:rPr>
              <w:t xml:space="preserve"> </w:t>
            </w:r>
            <w:r w:rsidRPr="00E03C26">
              <w:rPr>
                <w:rFonts w:ascii="Times New Roman" w:hAnsi="Times New Roman"/>
                <w:sz w:val="20"/>
                <w:szCs w:val="20"/>
              </w:rPr>
              <w:t>496</w:t>
            </w:r>
          </w:p>
        </w:tc>
        <w:tc>
          <w:tcPr>
            <w:tcW w:w="467" w:type="pct"/>
            <w:gridSpan w:val="2"/>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4</w:t>
            </w:r>
            <w:r w:rsidR="00E03C26" w:rsidRPr="00E03C26">
              <w:rPr>
                <w:rFonts w:ascii="Times New Roman" w:hAnsi="Times New Roman"/>
                <w:sz w:val="20"/>
                <w:szCs w:val="20"/>
              </w:rPr>
              <w:t xml:space="preserve"> </w:t>
            </w:r>
            <w:r w:rsidRPr="00E03C26">
              <w:rPr>
                <w:rFonts w:ascii="Times New Roman" w:hAnsi="Times New Roman"/>
                <w:sz w:val="20"/>
                <w:szCs w:val="20"/>
              </w:rPr>
              <w:t>455</w:t>
            </w:r>
          </w:p>
        </w:tc>
        <w:tc>
          <w:tcPr>
            <w:tcW w:w="479"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6</w:t>
            </w:r>
            <w:r w:rsidR="00E03C26" w:rsidRPr="00E03C26">
              <w:rPr>
                <w:rFonts w:ascii="Times New Roman" w:hAnsi="Times New Roman"/>
                <w:sz w:val="20"/>
                <w:szCs w:val="20"/>
              </w:rPr>
              <w:t xml:space="preserve"> </w:t>
            </w:r>
            <w:r w:rsidRPr="00E03C26">
              <w:rPr>
                <w:rFonts w:ascii="Times New Roman" w:hAnsi="Times New Roman"/>
                <w:sz w:val="20"/>
                <w:szCs w:val="20"/>
              </w:rPr>
              <w:t>971</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7</w:t>
            </w:r>
            <w:r w:rsidR="00E03C26" w:rsidRPr="00E03C26">
              <w:rPr>
                <w:rFonts w:ascii="Times New Roman" w:hAnsi="Times New Roman"/>
                <w:sz w:val="20"/>
                <w:szCs w:val="20"/>
              </w:rPr>
              <w:t xml:space="preserve"> </w:t>
            </w:r>
            <w:r w:rsidRPr="00E03C26">
              <w:rPr>
                <w:rFonts w:ascii="Times New Roman" w:hAnsi="Times New Roman"/>
                <w:sz w:val="20"/>
                <w:szCs w:val="20"/>
              </w:rPr>
              <w:t>694</w:t>
            </w:r>
          </w:p>
        </w:tc>
        <w:tc>
          <w:tcPr>
            <w:tcW w:w="467" w:type="pct"/>
            <w:gridSpan w:val="2"/>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11</w:t>
            </w:r>
            <w:r w:rsidR="00E03C26" w:rsidRPr="00E03C26">
              <w:rPr>
                <w:rFonts w:ascii="Times New Roman" w:hAnsi="Times New Roman"/>
                <w:sz w:val="20"/>
                <w:szCs w:val="20"/>
              </w:rPr>
              <w:t xml:space="preserve"> </w:t>
            </w:r>
            <w:r w:rsidRPr="00E03C26">
              <w:rPr>
                <w:rFonts w:ascii="Times New Roman" w:hAnsi="Times New Roman"/>
                <w:sz w:val="20"/>
                <w:szCs w:val="20"/>
              </w:rPr>
              <w:t>119</w:t>
            </w:r>
          </w:p>
        </w:tc>
        <w:tc>
          <w:tcPr>
            <w:tcW w:w="40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15,0</w:t>
            </w:r>
          </w:p>
        </w:tc>
      </w:tr>
      <w:tr w:rsidR="008B0963" w:rsidRPr="00E03C26" w:rsidTr="00E03C26">
        <w:tc>
          <w:tcPr>
            <w:tcW w:w="499"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Германия</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2124</w:t>
            </w:r>
          </w:p>
        </w:tc>
        <w:tc>
          <w:tcPr>
            <w:tcW w:w="44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2514</w:t>
            </w:r>
          </w:p>
        </w:tc>
        <w:tc>
          <w:tcPr>
            <w:tcW w:w="416"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2511</w:t>
            </w:r>
          </w:p>
        </w:tc>
        <w:tc>
          <w:tcPr>
            <w:tcW w:w="416"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825</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1094</w:t>
            </w:r>
          </w:p>
        </w:tc>
        <w:tc>
          <w:tcPr>
            <w:tcW w:w="467" w:type="pct"/>
            <w:gridSpan w:val="2"/>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1432</w:t>
            </w:r>
          </w:p>
        </w:tc>
        <w:tc>
          <w:tcPr>
            <w:tcW w:w="479"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2949</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3608</w:t>
            </w:r>
          </w:p>
        </w:tc>
        <w:tc>
          <w:tcPr>
            <w:tcW w:w="467" w:type="pct"/>
            <w:gridSpan w:val="2"/>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3943</w:t>
            </w:r>
          </w:p>
        </w:tc>
        <w:tc>
          <w:tcPr>
            <w:tcW w:w="40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6,0</w:t>
            </w:r>
          </w:p>
        </w:tc>
      </w:tr>
      <w:tr w:rsidR="008B0963" w:rsidRPr="00E03C26" w:rsidTr="00E03C26">
        <w:tc>
          <w:tcPr>
            <w:tcW w:w="499"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Велико-британия</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1074</w:t>
            </w:r>
          </w:p>
        </w:tc>
        <w:tc>
          <w:tcPr>
            <w:tcW w:w="44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1219</w:t>
            </w:r>
          </w:p>
        </w:tc>
        <w:tc>
          <w:tcPr>
            <w:tcW w:w="416"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1393</w:t>
            </w:r>
          </w:p>
        </w:tc>
        <w:tc>
          <w:tcPr>
            <w:tcW w:w="416"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1996</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2373</w:t>
            </w:r>
          </w:p>
        </w:tc>
        <w:tc>
          <w:tcPr>
            <w:tcW w:w="467" w:type="pct"/>
            <w:gridSpan w:val="2"/>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2955</w:t>
            </w:r>
          </w:p>
        </w:tc>
        <w:tc>
          <w:tcPr>
            <w:tcW w:w="479"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3070</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3592</w:t>
            </w:r>
          </w:p>
        </w:tc>
        <w:tc>
          <w:tcPr>
            <w:tcW w:w="467" w:type="pct"/>
            <w:gridSpan w:val="2"/>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4348</w:t>
            </w:r>
          </w:p>
        </w:tc>
        <w:tc>
          <w:tcPr>
            <w:tcW w:w="40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6,0</w:t>
            </w:r>
          </w:p>
        </w:tc>
      </w:tr>
      <w:tr w:rsidR="008B0963" w:rsidRPr="00E03C26" w:rsidTr="00E03C26">
        <w:tc>
          <w:tcPr>
            <w:tcW w:w="499"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Франция</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1333</w:t>
            </w:r>
          </w:p>
        </w:tc>
        <w:tc>
          <w:tcPr>
            <w:tcW w:w="44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1493</w:t>
            </w:r>
          </w:p>
        </w:tc>
        <w:tc>
          <w:tcPr>
            <w:tcW w:w="416"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1416</w:t>
            </w:r>
          </w:p>
        </w:tc>
        <w:tc>
          <w:tcPr>
            <w:tcW w:w="416"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674</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991</w:t>
            </w:r>
          </w:p>
        </w:tc>
        <w:tc>
          <w:tcPr>
            <w:tcW w:w="467" w:type="pct"/>
            <w:gridSpan w:val="2"/>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1503</w:t>
            </w:r>
          </w:p>
        </w:tc>
        <w:tc>
          <w:tcPr>
            <w:tcW w:w="479"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2007</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2484</w:t>
            </w:r>
          </w:p>
        </w:tc>
        <w:tc>
          <w:tcPr>
            <w:tcW w:w="467" w:type="pct"/>
            <w:gridSpan w:val="2"/>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2919</w:t>
            </w:r>
          </w:p>
        </w:tc>
        <w:tc>
          <w:tcPr>
            <w:tcW w:w="40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4,0</w:t>
            </w:r>
          </w:p>
        </w:tc>
      </w:tr>
      <w:tr w:rsidR="008B0963" w:rsidRPr="00E03C26" w:rsidTr="00E03C26">
        <w:tc>
          <w:tcPr>
            <w:tcW w:w="499"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Прочие</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7019</w:t>
            </w:r>
          </w:p>
        </w:tc>
        <w:tc>
          <w:tcPr>
            <w:tcW w:w="44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8040</w:t>
            </w:r>
          </w:p>
        </w:tc>
        <w:tc>
          <w:tcPr>
            <w:tcW w:w="416"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7632</w:t>
            </w:r>
          </w:p>
        </w:tc>
        <w:tc>
          <w:tcPr>
            <w:tcW w:w="416"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6086</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6469</w:t>
            </w:r>
          </w:p>
        </w:tc>
        <w:tc>
          <w:tcPr>
            <w:tcW w:w="467" w:type="pct"/>
            <w:gridSpan w:val="2"/>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8617</w:t>
            </w:r>
          </w:p>
        </w:tc>
        <w:tc>
          <w:tcPr>
            <w:tcW w:w="479"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13105</w:t>
            </w:r>
          </w:p>
        </w:tc>
        <w:tc>
          <w:tcPr>
            <w:tcW w:w="46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14509</w:t>
            </w:r>
          </w:p>
        </w:tc>
        <w:tc>
          <w:tcPr>
            <w:tcW w:w="467" w:type="pct"/>
            <w:gridSpan w:val="2"/>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16249</w:t>
            </w:r>
          </w:p>
        </w:tc>
        <w:tc>
          <w:tcPr>
            <w:tcW w:w="407" w:type="pct"/>
          </w:tcPr>
          <w:p w:rsidR="008B0963" w:rsidRPr="00E03C26" w:rsidRDefault="008B0963" w:rsidP="00E03C26">
            <w:pPr>
              <w:widowControl w:val="0"/>
              <w:spacing w:after="0" w:line="360" w:lineRule="auto"/>
              <w:rPr>
                <w:rFonts w:ascii="Times New Roman" w:hAnsi="Times New Roman"/>
                <w:sz w:val="20"/>
                <w:szCs w:val="20"/>
              </w:rPr>
            </w:pPr>
            <w:r w:rsidRPr="00E03C26">
              <w:rPr>
                <w:rFonts w:ascii="Times New Roman" w:hAnsi="Times New Roman"/>
                <w:sz w:val="20"/>
                <w:szCs w:val="20"/>
              </w:rPr>
              <w:t>4,0</w:t>
            </w:r>
          </w:p>
        </w:tc>
      </w:tr>
    </w:tbl>
    <w:p w:rsidR="00E03C26" w:rsidRDefault="00E03C26" w:rsidP="00E03C26">
      <w:pPr>
        <w:pStyle w:val="1"/>
        <w:keepNext w:val="0"/>
        <w:widowControl w:val="0"/>
        <w:spacing w:before="0" w:after="0" w:line="360" w:lineRule="auto"/>
        <w:ind w:firstLine="709"/>
        <w:jc w:val="both"/>
        <w:rPr>
          <w:rFonts w:ascii="Times New Roman" w:hAnsi="Times New Roman"/>
          <w:sz w:val="28"/>
          <w:szCs w:val="28"/>
        </w:rPr>
      </w:pPr>
      <w:bookmarkStart w:id="5" w:name="_Toc274051002"/>
    </w:p>
    <w:p w:rsidR="00920CF4" w:rsidRPr="00E03C26" w:rsidRDefault="00E03C26" w:rsidP="00E03C26">
      <w:pPr>
        <w:pStyle w:val="1"/>
        <w:keepNext w:val="0"/>
        <w:widowControl w:val="0"/>
        <w:spacing w:before="0" w:after="0" w:line="360" w:lineRule="auto"/>
        <w:ind w:firstLine="709"/>
        <w:jc w:val="both"/>
        <w:rPr>
          <w:rFonts w:ascii="Times New Roman" w:hAnsi="Times New Roman"/>
          <w:sz w:val="28"/>
          <w:szCs w:val="28"/>
        </w:rPr>
      </w:pPr>
      <w:r>
        <w:rPr>
          <w:rFonts w:ascii="Times New Roman" w:hAnsi="Times New Roman"/>
          <w:sz w:val="28"/>
          <w:szCs w:val="28"/>
        </w:rPr>
        <w:br w:type="page"/>
      </w:r>
      <w:r w:rsidR="00920CF4" w:rsidRPr="00E03C26">
        <w:rPr>
          <w:rFonts w:ascii="Times New Roman" w:hAnsi="Times New Roman"/>
          <w:sz w:val="28"/>
          <w:szCs w:val="28"/>
        </w:rPr>
        <w:t>Заключение</w:t>
      </w:r>
      <w:bookmarkEnd w:id="5"/>
    </w:p>
    <w:p w:rsidR="00E03C26" w:rsidRDefault="00E03C26" w:rsidP="00E03C26">
      <w:pPr>
        <w:widowControl w:val="0"/>
        <w:autoSpaceDE w:val="0"/>
        <w:autoSpaceDN w:val="0"/>
        <w:adjustRightInd w:val="0"/>
        <w:spacing w:after="0" w:line="360" w:lineRule="auto"/>
        <w:ind w:firstLine="709"/>
        <w:jc w:val="both"/>
        <w:rPr>
          <w:rFonts w:ascii="Times New Roman" w:eastAsia="TimesNewRoman" w:hAnsi="Times New Roman"/>
          <w:sz w:val="28"/>
          <w:szCs w:val="28"/>
        </w:rPr>
      </w:pPr>
    </w:p>
    <w:p w:rsidR="00344461" w:rsidRPr="00E03C26" w:rsidRDefault="00CC609E" w:rsidP="00E03C26">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E03C26">
        <w:rPr>
          <w:rFonts w:ascii="Times New Roman" w:eastAsia="TimesNewRoman" w:hAnsi="Times New Roman"/>
          <w:sz w:val="28"/>
          <w:szCs w:val="28"/>
        </w:rPr>
        <w:t xml:space="preserve">Оценка роли деривативов </w:t>
      </w:r>
      <w:r w:rsidR="00344461" w:rsidRPr="00E03C26">
        <w:rPr>
          <w:rFonts w:ascii="Times New Roman" w:eastAsia="TimesNewRoman" w:hAnsi="Times New Roman"/>
          <w:sz w:val="28"/>
          <w:szCs w:val="28"/>
        </w:rPr>
        <w:t>отнюдь</w:t>
      </w:r>
      <w:r w:rsidRPr="00E03C26">
        <w:rPr>
          <w:rFonts w:ascii="Times New Roman" w:eastAsia="TimesNewRoman" w:hAnsi="Times New Roman"/>
          <w:sz w:val="28"/>
          <w:szCs w:val="28"/>
        </w:rPr>
        <w:t xml:space="preserve"> не</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однозначна. С одной стороны, они позволяют перераспределять риск и</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способствуют интеграции разных сегментов финансовых рынков, снижая издержки</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финансового посредничества. Например, рынок кредитных деривативов тесно</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связал мировые рынки кредитов и акций. С другой –</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несут и значительные угрозы.</w:t>
      </w:r>
      <w:r w:rsidR="00344461" w:rsidRPr="00E03C26">
        <w:rPr>
          <w:rFonts w:ascii="Times New Roman" w:eastAsia="TimesNewRoman" w:hAnsi="Times New Roman"/>
          <w:sz w:val="28"/>
          <w:szCs w:val="28"/>
        </w:rPr>
        <w:t xml:space="preserve"> </w:t>
      </w:r>
    </w:p>
    <w:p w:rsidR="00CC609E" w:rsidRPr="00E03C26" w:rsidRDefault="00CC609E" w:rsidP="00E03C26">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E03C26">
        <w:rPr>
          <w:rFonts w:ascii="Times New Roman" w:eastAsia="TimesNewRoman" w:hAnsi="Times New Roman"/>
          <w:sz w:val="28"/>
          <w:szCs w:val="28"/>
        </w:rPr>
        <w:t>Во-первых, при внимательном рассмотрении не так несомненно преимущество,</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связанное с перераспределением рисков или так называемой хеджевой</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деятельностью. Небольшой объем вложенного капитала за счет большого «рычага»</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может принести как значительную прибыль, так и значительные убытки.</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Соответственно инвесторы фактически принимают на себя бόльшие риски. Кроме</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того, совокупный риск никуда не исчезает, он просто переносится с одной группы</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инвесторов на другую. Проблема риска на финансовом рынке имеет свою</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специфику: из-за сильной взаимозависимости участников банкротство одного из</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них может повлечь за собой «эффект домино» и тем самым угрожать стабильности</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системы в целом. Поэтому</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существование деривативов создает серьезные проблемы на</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 xml:space="preserve">макроуровне. </w:t>
      </w:r>
    </w:p>
    <w:p w:rsidR="00344461" w:rsidRPr="00E03C26" w:rsidRDefault="00344461" w:rsidP="00E03C26">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E03C26">
        <w:rPr>
          <w:rFonts w:ascii="Times New Roman" w:eastAsia="TimesNewRoman" w:hAnsi="Times New Roman"/>
          <w:sz w:val="28"/>
          <w:szCs w:val="28"/>
        </w:rPr>
        <w:t xml:space="preserve">Во-вторых, </w:t>
      </w:r>
      <w:r w:rsidR="00CC609E" w:rsidRPr="00E03C26">
        <w:rPr>
          <w:rFonts w:ascii="Times New Roman" w:eastAsia="TimesNewRoman" w:hAnsi="Times New Roman"/>
          <w:sz w:val="28"/>
          <w:szCs w:val="28"/>
        </w:rPr>
        <w:t>рынок</w:t>
      </w:r>
      <w:r w:rsidRPr="00E03C26">
        <w:rPr>
          <w:rFonts w:ascii="Times New Roman" w:eastAsia="TimesNewRoman" w:hAnsi="Times New Roman"/>
          <w:sz w:val="28"/>
          <w:szCs w:val="28"/>
        </w:rPr>
        <w:t xml:space="preserve"> </w:t>
      </w:r>
      <w:r w:rsidR="00CC609E" w:rsidRPr="00E03C26">
        <w:rPr>
          <w:rFonts w:ascii="Times New Roman" w:eastAsia="TimesNewRoman" w:hAnsi="Times New Roman"/>
          <w:sz w:val="28"/>
          <w:szCs w:val="28"/>
        </w:rPr>
        <w:t xml:space="preserve">производных </w:t>
      </w:r>
      <w:r w:rsidRPr="00E03C26">
        <w:rPr>
          <w:rFonts w:ascii="Times New Roman" w:eastAsia="TimesNewRoman" w:hAnsi="Times New Roman"/>
          <w:sz w:val="28"/>
          <w:szCs w:val="28"/>
        </w:rPr>
        <w:t>ценных бумаг</w:t>
      </w:r>
      <w:r w:rsidR="00CC609E" w:rsidRPr="00E03C26">
        <w:rPr>
          <w:rFonts w:ascii="Times New Roman" w:eastAsia="TimesNewRoman" w:hAnsi="Times New Roman"/>
          <w:sz w:val="28"/>
          <w:szCs w:val="28"/>
        </w:rPr>
        <w:t xml:space="preserve"> отличается непрозрачностью, поскольку</w:t>
      </w:r>
      <w:r w:rsidRPr="00E03C26">
        <w:rPr>
          <w:rFonts w:ascii="Times New Roman" w:eastAsia="TimesNewRoman" w:hAnsi="Times New Roman"/>
          <w:sz w:val="28"/>
          <w:szCs w:val="28"/>
        </w:rPr>
        <w:t xml:space="preserve"> </w:t>
      </w:r>
      <w:r w:rsidR="00CC609E" w:rsidRPr="00E03C26">
        <w:rPr>
          <w:rFonts w:ascii="Times New Roman" w:eastAsia="TimesNewRoman" w:hAnsi="Times New Roman"/>
          <w:sz w:val="28"/>
          <w:szCs w:val="28"/>
        </w:rPr>
        <w:t>участвующие в сделке две стороны легко могут договориться, кроме того, мировой</w:t>
      </w:r>
      <w:r w:rsidRPr="00E03C26">
        <w:rPr>
          <w:rFonts w:ascii="Times New Roman" w:eastAsia="TimesNewRoman" w:hAnsi="Times New Roman"/>
          <w:sz w:val="28"/>
          <w:szCs w:val="28"/>
        </w:rPr>
        <w:t xml:space="preserve"> </w:t>
      </w:r>
      <w:r w:rsidR="00CC609E" w:rsidRPr="00E03C26">
        <w:rPr>
          <w:rFonts w:ascii="Times New Roman" w:eastAsia="TimesNewRoman" w:hAnsi="Times New Roman"/>
          <w:sz w:val="28"/>
          <w:szCs w:val="28"/>
        </w:rPr>
        <w:t>рынок контролируется несколькими крупнейшими дилерами. Непрозрачность и</w:t>
      </w:r>
      <w:r w:rsidRPr="00E03C26">
        <w:rPr>
          <w:rFonts w:ascii="Times New Roman" w:eastAsia="TimesNewRoman" w:hAnsi="Times New Roman"/>
          <w:sz w:val="28"/>
          <w:szCs w:val="28"/>
        </w:rPr>
        <w:t xml:space="preserve"> </w:t>
      </w:r>
      <w:r w:rsidR="00CC609E" w:rsidRPr="00E03C26">
        <w:rPr>
          <w:rFonts w:ascii="Times New Roman" w:eastAsia="TimesNewRoman" w:hAnsi="Times New Roman"/>
          <w:sz w:val="28"/>
          <w:szCs w:val="28"/>
        </w:rPr>
        <w:t>асимметрия информации резко повышают риск мошенничества на этом сегменте</w:t>
      </w:r>
      <w:r w:rsidRPr="00E03C26">
        <w:rPr>
          <w:rFonts w:ascii="Times New Roman" w:eastAsia="TimesNewRoman" w:hAnsi="Times New Roman"/>
          <w:sz w:val="28"/>
          <w:szCs w:val="28"/>
        </w:rPr>
        <w:t xml:space="preserve"> </w:t>
      </w:r>
      <w:r w:rsidR="00CC609E" w:rsidRPr="00E03C26">
        <w:rPr>
          <w:rFonts w:ascii="Times New Roman" w:eastAsia="TimesNewRoman" w:hAnsi="Times New Roman"/>
          <w:sz w:val="28"/>
          <w:szCs w:val="28"/>
        </w:rPr>
        <w:t>рынка. Непрозрачность рынка препятствует его эффективному управлению со стороны</w:t>
      </w:r>
      <w:r w:rsidRPr="00E03C26">
        <w:rPr>
          <w:rFonts w:ascii="Times New Roman" w:eastAsia="TimesNewRoman" w:hAnsi="Times New Roman"/>
          <w:sz w:val="28"/>
          <w:szCs w:val="28"/>
        </w:rPr>
        <w:t xml:space="preserve"> </w:t>
      </w:r>
      <w:r w:rsidR="00CC609E" w:rsidRPr="00E03C26">
        <w:rPr>
          <w:rFonts w:ascii="Times New Roman" w:eastAsia="TimesNewRoman" w:hAnsi="Times New Roman"/>
          <w:sz w:val="28"/>
          <w:szCs w:val="28"/>
        </w:rPr>
        <w:t>государства</w:t>
      </w:r>
      <w:r w:rsidRPr="00E03C26">
        <w:rPr>
          <w:rFonts w:ascii="Times New Roman" w:eastAsia="TimesNewRoman" w:hAnsi="Times New Roman"/>
          <w:sz w:val="28"/>
          <w:szCs w:val="28"/>
        </w:rPr>
        <w:t>.</w:t>
      </w:r>
      <w:r w:rsidR="00CC609E" w:rsidRPr="00E03C26">
        <w:rPr>
          <w:rFonts w:ascii="Times New Roman" w:eastAsia="TimesNewRoman" w:hAnsi="Times New Roman"/>
          <w:sz w:val="28"/>
          <w:szCs w:val="28"/>
        </w:rPr>
        <w:t xml:space="preserve"> </w:t>
      </w:r>
    </w:p>
    <w:p w:rsidR="00CC609E" w:rsidRPr="00E03C26" w:rsidRDefault="00CC609E" w:rsidP="00E03C26">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E03C26">
        <w:rPr>
          <w:rFonts w:ascii="Times New Roman" w:eastAsia="TimesNewRoman" w:hAnsi="Times New Roman"/>
          <w:sz w:val="28"/>
          <w:szCs w:val="28"/>
        </w:rPr>
        <w:t>Кроме того, деривативы использовали для ухода от налогообложения и</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переноса финансовых результатов из одного квартала в другой, а также их</w:t>
      </w:r>
      <w:r w:rsidR="00344461" w:rsidRPr="00E03C26">
        <w:rPr>
          <w:rFonts w:ascii="Times New Roman" w:eastAsia="TimesNewRoman" w:hAnsi="Times New Roman"/>
          <w:sz w:val="28"/>
          <w:szCs w:val="28"/>
        </w:rPr>
        <w:t xml:space="preserve"> </w:t>
      </w:r>
      <w:r w:rsidRPr="00E03C26">
        <w:rPr>
          <w:rFonts w:ascii="Times New Roman" w:eastAsia="TimesNewRoman" w:hAnsi="Times New Roman"/>
          <w:sz w:val="28"/>
          <w:szCs w:val="28"/>
        </w:rPr>
        <w:t>сокрытия.</w:t>
      </w:r>
    </w:p>
    <w:p w:rsidR="00920CF4" w:rsidRPr="00E03C26" w:rsidRDefault="00920CF4" w:rsidP="00E03C26">
      <w:pPr>
        <w:widowControl w:val="0"/>
        <w:spacing w:after="0" w:line="360" w:lineRule="auto"/>
        <w:ind w:firstLine="709"/>
        <w:jc w:val="both"/>
        <w:rPr>
          <w:rFonts w:ascii="Times New Roman" w:hAnsi="Times New Roman"/>
          <w:sz w:val="28"/>
          <w:szCs w:val="28"/>
        </w:rPr>
      </w:pPr>
    </w:p>
    <w:p w:rsidR="0020158A" w:rsidRPr="00E03C26" w:rsidRDefault="00E03C26" w:rsidP="00E03C26">
      <w:pPr>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bookmarkStart w:id="6" w:name="_Toc274051003"/>
      <w:r w:rsidR="00FD600F" w:rsidRPr="00E03C26">
        <w:rPr>
          <w:rFonts w:ascii="Times New Roman" w:hAnsi="Times New Roman"/>
          <w:b/>
          <w:sz w:val="28"/>
          <w:szCs w:val="28"/>
        </w:rPr>
        <w:t>Задача</w:t>
      </w:r>
      <w:bookmarkEnd w:id="6"/>
    </w:p>
    <w:p w:rsidR="00E03C26" w:rsidRDefault="00E03C26" w:rsidP="00E03C26">
      <w:pPr>
        <w:widowControl w:val="0"/>
        <w:spacing w:after="0" w:line="360" w:lineRule="auto"/>
        <w:ind w:firstLine="709"/>
        <w:jc w:val="both"/>
        <w:rPr>
          <w:rFonts w:ascii="Times New Roman" w:hAnsi="Times New Roman"/>
          <w:sz w:val="28"/>
          <w:szCs w:val="28"/>
        </w:rPr>
      </w:pPr>
    </w:p>
    <w:p w:rsidR="00FD600F" w:rsidRPr="00E03C26" w:rsidRDefault="00FD600F"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Определить доход и доходность инвестированных средств, если инвестор купил 2500 акций номиналом в 1000 руб. по курсу 235 руб. и по ней выплачивается дивиденд 35% годовых.</w:t>
      </w:r>
    </w:p>
    <w:p w:rsidR="00920CF4" w:rsidRPr="00E03C26" w:rsidRDefault="00D02AC2"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Кол</w:t>
      </w:r>
      <w:r w:rsidR="00096D5B" w:rsidRPr="00E03C26">
        <w:rPr>
          <w:rFonts w:ascii="Times New Roman" w:hAnsi="Times New Roman"/>
          <w:sz w:val="28"/>
          <w:szCs w:val="28"/>
        </w:rPr>
        <w:t>ичест</w:t>
      </w:r>
      <w:r w:rsidRPr="00E03C26">
        <w:rPr>
          <w:rFonts w:ascii="Times New Roman" w:hAnsi="Times New Roman"/>
          <w:sz w:val="28"/>
          <w:szCs w:val="28"/>
        </w:rPr>
        <w:t xml:space="preserve">во акций </w:t>
      </w:r>
      <w:r w:rsidR="00013329" w:rsidRPr="00E03C26">
        <w:rPr>
          <w:rFonts w:ascii="Times New Roman" w:hAnsi="Times New Roman"/>
          <w:sz w:val="28"/>
          <w:szCs w:val="28"/>
        </w:rPr>
        <w:t>-</w:t>
      </w:r>
      <w:r w:rsidRPr="00E03C26">
        <w:rPr>
          <w:rFonts w:ascii="Times New Roman" w:hAnsi="Times New Roman"/>
          <w:sz w:val="28"/>
          <w:szCs w:val="28"/>
        </w:rPr>
        <w:t xml:space="preserve"> 2500 шт.</w:t>
      </w:r>
    </w:p>
    <w:p w:rsidR="00D02AC2" w:rsidRPr="00E03C26" w:rsidRDefault="00D02AC2"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Номинал = 1000 руб.</w:t>
      </w:r>
    </w:p>
    <w:p w:rsidR="00D02AC2" w:rsidRPr="00E03C26" w:rsidRDefault="0001332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Рыночная цена приобретения акции</w:t>
      </w:r>
      <w:r w:rsidR="00D02AC2" w:rsidRPr="00E03C26">
        <w:rPr>
          <w:rFonts w:ascii="Times New Roman" w:hAnsi="Times New Roman"/>
          <w:sz w:val="28"/>
          <w:szCs w:val="28"/>
        </w:rPr>
        <w:t xml:space="preserve"> = 235 руб.</w:t>
      </w:r>
    </w:p>
    <w:p w:rsidR="00D02AC2" w:rsidRPr="00E03C26" w:rsidRDefault="00D02AC2"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Див</w:t>
      </w:r>
      <w:r w:rsidR="00013329" w:rsidRPr="00E03C26">
        <w:rPr>
          <w:rFonts w:ascii="Times New Roman" w:hAnsi="Times New Roman"/>
          <w:sz w:val="28"/>
          <w:szCs w:val="28"/>
        </w:rPr>
        <w:t>иден</w:t>
      </w:r>
      <w:r w:rsidRPr="00E03C26">
        <w:rPr>
          <w:rFonts w:ascii="Times New Roman" w:hAnsi="Times New Roman"/>
          <w:sz w:val="28"/>
          <w:szCs w:val="28"/>
        </w:rPr>
        <w:t>д = 35% годовых</w:t>
      </w:r>
    </w:p>
    <w:p w:rsidR="00D02AC2" w:rsidRPr="00E03C26" w:rsidRDefault="00D02AC2"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Доход - ?</w:t>
      </w:r>
    </w:p>
    <w:p w:rsidR="00D02AC2" w:rsidRPr="00E03C26" w:rsidRDefault="00D02AC2"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Доходность - ?</w:t>
      </w:r>
    </w:p>
    <w:p w:rsidR="00B812C0" w:rsidRPr="00E03C26" w:rsidRDefault="00013329" w:rsidP="00E03C26">
      <w:pPr>
        <w:widowControl w:val="0"/>
        <w:spacing w:after="0" w:line="360" w:lineRule="auto"/>
        <w:ind w:firstLine="709"/>
        <w:jc w:val="both"/>
        <w:rPr>
          <w:rFonts w:ascii="Times New Roman" w:hAnsi="Times New Roman"/>
          <w:b/>
          <w:sz w:val="28"/>
          <w:szCs w:val="28"/>
        </w:rPr>
      </w:pPr>
      <w:r w:rsidRPr="00E03C26">
        <w:rPr>
          <w:rFonts w:ascii="Times New Roman" w:hAnsi="Times New Roman"/>
          <w:b/>
          <w:sz w:val="28"/>
          <w:szCs w:val="28"/>
        </w:rPr>
        <w:t>Решение:</w:t>
      </w:r>
    </w:p>
    <w:p w:rsidR="00B812C0" w:rsidRPr="00E03C26" w:rsidRDefault="00B812C0"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Див</w:t>
      </w:r>
      <w:r w:rsidR="00CC609E" w:rsidRPr="00E03C26">
        <w:rPr>
          <w:rFonts w:ascii="Times New Roman" w:hAnsi="Times New Roman"/>
          <w:sz w:val="28"/>
          <w:szCs w:val="28"/>
        </w:rPr>
        <w:t>иден</w:t>
      </w:r>
      <w:r w:rsidRPr="00E03C26">
        <w:rPr>
          <w:rFonts w:ascii="Times New Roman" w:hAnsi="Times New Roman"/>
          <w:sz w:val="28"/>
          <w:szCs w:val="28"/>
        </w:rPr>
        <w:t xml:space="preserve">д = </w:t>
      </w:r>
      <w:r w:rsidR="00CC609E" w:rsidRPr="00E03C26">
        <w:rPr>
          <w:rFonts w:ascii="Times New Roman" w:hAnsi="Times New Roman"/>
          <w:sz w:val="28"/>
          <w:szCs w:val="28"/>
        </w:rPr>
        <w:t xml:space="preserve">35% = </w:t>
      </w:r>
      <w:r w:rsidRPr="00E03C26">
        <w:rPr>
          <w:rFonts w:ascii="Times New Roman" w:hAnsi="Times New Roman"/>
          <w:sz w:val="28"/>
          <w:szCs w:val="28"/>
        </w:rPr>
        <w:t>1000*0,35=350 руб.</w:t>
      </w:r>
      <w:r w:rsidR="00E03C26">
        <w:rPr>
          <w:rFonts w:ascii="Times New Roman" w:hAnsi="Times New Roman"/>
          <w:sz w:val="28"/>
          <w:szCs w:val="28"/>
        </w:rPr>
        <w:t xml:space="preserve"> </w:t>
      </w:r>
      <w:r w:rsidRPr="00E03C26">
        <w:rPr>
          <w:rFonts w:ascii="Times New Roman" w:hAnsi="Times New Roman"/>
          <w:sz w:val="28"/>
          <w:szCs w:val="28"/>
        </w:rPr>
        <w:t>-</w:t>
      </w:r>
      <w:r w:rsidR="00E03C26">
        <w:rPr>
          <w:rFonts w:ascii="Times New Roman" w:hAnsi="Times New Roman"/>
          <w:sz w:val="28"/>
          <w:szCs w:val="28"/>
        </w:rPr>
        <w:t xml:space="preserve"> </w:t>
      </w:r>
      <w:r w:rsidRPr="00E03C26">
        <w:rPr>
          <w:rFonts w:ascii="Times New Roman" w:hAnsi="Times New Roman"/>
          <w:sz w:val="28"/>
          <w:szCs w:val="28"/>
        </w:rPr>
        <w:t>доход с одной акции в год</w:t>
      </w:r>
      <w:r w:rsidR="00CC609E" w:rsidRPr="00E03C26">
        <w:rPr>
          <w:rFonts w:ascii="Times New Roman" w:hAnsi="Times New Roman"/>
          <w:sz w:val="28"/>
          <w:szCs w:val="28"/>
        </w:rPr>
        <w:t>.</w:t>
      </w:r>
      <w:r w:rsidR="00013329" w:rsidRPr="00E03C26">
        <w:rPr>
          <w:rFonts w:ascii="Times New Roman" w:hAnsi="Times New Roman"/>
          <w:sz w:val="28"/>
          <w:szCs w:val="28"/>
        </w:rPr>
        <w:t xml:space="preserve"> Доход со всех акций будет равен: 2500*350=875000руб.</w:t>
      </w:r>
    </w:p>
    <w:p w:rsidR="00E03C26" w:rsidRDefault="00E03C26" w:rsidP="00E03C26">
      <w:pPr>
        <w:widowControl w:val="0"/>
        <w:spacing w:after="0" w:line="360" w:lineRule="auto"/>
        <w:ind w:firstLine="709"/>
        <w:jc w:val="both"/>
        <w:rPr>
          <w:rFonts w:ascii="Times New Roman" w:hAnsi="Times New Roman"/>
          <w:b/>
          <w:sz w:val="28"/>
          <w:szCs w:val="28"/>
        </w:rPr>
      </w:pPr>
    </w:p>
    <w:p w:rsidR="00E03C26" w:rsidRDefault="0001332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Да = (Пг/Цр)*100</w:t>
      </w:r>
      <w:r w:rsidRPr="00E03C26">
        <w:rPr>
          <w:rFonts w:ascii="Times New Roman" w:hAnsi="Times New Roman"/>
          <w:sz w:val="28"/>
          <w:szCs w:val="28"/>
        </w:rPr>
        <w:t xml:space="preserve">, </w:t>
      </w:r>
    </w:p>
    <w:p w:rsidR="00E03C26" w:rsidRDefault="00E03C26" w:rsidP="00E03C26">
      <w:pPr>
        <w:widowControl w:val="0"/>
        <w:spacing w:after="0" w:line="360" w:lineRule="auto"/>
        <w:ind w:firstLine="709"/>
        <w:jc w:val="both"/>
        <w:rPr>
          <w:rFonts w:ascii="Times New Roman" w:hAnsi="Times New Roman"/>
          <w:sz w:val="28"/>
          <w:szCs w:val="28"/>
        </w:rPr>
      </w:pPr>
    </w:p>
    <w:p w:rsidR="00013329" w:rsidRPr="00E03C26" w:rsidRDefault="0001332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где Да – текущая доходность акции, Пг – сумма выплачиваемых за год процентов, Цр – рыночная цена приобретения акции.</w:t>
      </w:r>
    </w:p>
    <w:p w:rsidR="00C9079F" w:rsidRPr="00E03C26" w:rsidRDefault="00B812C0"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Да текущая = 350 \ 235 *100=148,94%</w:t>
      </w:r>
      <w:r w:rsidR="00013329" w:rsidRPr="00E03C26">
        <w:rPr>
          <w:rFonts w:ascii="Times New Roman" w:hAnsi="Times New Roman"/>
          <w:sz w:val="28"/>
          <w:szCs w:val="28"/>
        </w:rPr>
        <w:t xml:space="preserve"> - п</w:t>
      </w:r>
      <w:r w:rsidR="00C9079F" w:rsidRPr="00E03C26">
        <w:rPr>
          <w:rFonts w:ascii="Times New Roman" w:hAnsi="Times New Roman"/>
          <w:sz w:val="28"/>
          <w:szCs w:val="28"/>
        </w:rPr>
        <w:t>оказатель текущей доходности</w:t>
      </w:r>
      <w:r w:rsidR="00E03C26">
        <w:rPr>
          <w:rFonts w:ascii="Times New Roman" w:hAnsi="Times New Roman"/>
          <w:sz w:val="28"/>
          <w:szCs w:val="28"/>
        </w:rPr>
        <w:t xml:space="preserve"> </w:t>
      </w:r>
      <w:r w:rsidR="00013329" w:rsidRPr="00E03C26">
        <w:rPr>
          <w:rFonts w:ascii="Times New Roman" w:hAnsi="Times New Roman"/>
          <w:sz w:val="28"/>
          <w:szCs w:val="28"/>
        </w:rPr>
        <w:t xml:space="preserve">- </w:t>
      </w:r>
      <w:r w:rsidR="00C9079F" w:rsidRPr="00E03C26">
        <w:rPr>
          <w:rFonts w:ascii="Times New Roman" w:hAnsi="Times New Roman"/>
          <w:sz w:val="28"/>
          <w:szCs w:val="28"/>
        </w:rPr>
        <w:t xml:space="preserve">характеризует размер поступлений дохода по </w:t>
      </w:r>
      <w:r w:rsidRPr="00E03C26">
        <w:rPr>
          <w:rFonts w:ascii="Times New Roman" w:hAnsi="Times New Roman"/>
          <w:sz w:val="28"/>
          <w:szCs w:val="28"/>
        </w:rPr>
        <w:t>ак</w:t>
      </w:r>
      <w:r w:rsidR="00C9079F" w:rsidRPr="00E03C26">
        <w:rPr>
          <w:rFonts w:ascii="Times New Roman" w:hAnsi="Times New Roman"/>
          <w:sz w:val="28"/>
          <w:szCs w:val="28"/>
        </w:rPr>
        <w:t>ции за те</w:t>
      </w:r>
      <w:r w:rsidR="00013329" w:rsidRPr="00E03C26">
        <w:rPr>
          <w:rFonts w:ascii="Times New Roman" w:hAnsi="Times New Roman"/>
          <w:sz w:val="28"/>
          <w:szCs w:val="28"/>
        </w:rPr>
        <w:t>кущий период времени.</w:t>
      </w:r>
    </w:p>
    <w:p w:rsidR="00920CF4" w:rsidRPr="00E03C26" w:rsidRDefault="00920CF4" w:rsidP="00E03C26">
      <w:pPr>
        <w:widowControl w:val="0"/>
        <w:spacing w:after="0" w:line="360" w:lineRule="auto"/>
        <w:ind w:firstLine="709"/>
        <w:jc w:val="both"/>
        <w:rPr>
          <w:rFonts w:ascii="Times New Roman" w:hAnsi="Times New Roman"/>
          <w:sz w:val="28"/>
          <w:szCs w:val="28"/>
        </w:rPr>
      </w:pPr>
    </w:p>
    <w:p w:rsidR="00FD600F" w:rsidRPr="00E03C26" w:rsidRDefault="00E03C26" w:rsidP="00E03C26">
      <w:pPr>
        <w:pStyle w:val="1"/>
        <w:keepNext w:val="0"/>
        <w:widowControl w:val="0"/>
        <w:spacing w:before="0" w:after="0" w:line="360" w:lineRule="auto"/>
        <w:rPr>
          <w:rFonts w:ascii="Times New Roman" w:hAnsi="Times New Roman"/>
          <w:sz w:val="28"/>
          <w:szCs w:val="28"/>
        </w:rPr>
      </w:pPr>
      <w:bookmarkStart w:id="7" w:name="_Toc274051004"/>
      <w:r>
        <w:rPr>
          <w:rFonts w:ascii="Times New Roman" w:hAnsi="Times New Roman"/>
          <w:sz w:val="28"/>
          <w:szCs w:val="28"/>
        </w:rPr>
        <w:br w:type="page"/>
      </w:r>
      <w:r w:rsidR="00FD600F" w:rsidRPr="00E03C26">
        <w:rPr>
          <w:rFonts w:ascii="Times New Roman" w:hAnsi="Times New Roman"/>
          <w:sz w:val="28"/>
          <w:szCs w:val="28"/>
        </w:rPr>
        <w:t>Список литературы</w:t>
      </w:r>
      <w:bookmarkEnd w:id="7"/>
    </w:p>
    <w:p w:rsidR="00E03C26" w:rsidRDefault="00E03C26" w:rsidP="00E03C26">
      <w:pPr>
        <w:widowControl w:val="0"/>
        <w:spacing w:after="0" w:line="360" w:lineRule="auto"/>
        <w:rPr>
          <w:rFonts w:ascii="Times New Roman" w:hAnsi="Times New Roman"/>
          <w:i/>
          <w:sz w:val="28"/>
          <w:szCs w:val="28"/>
        </w:rPr>
      </w:pPr>
    </w:p>
    <w:p w:rsidR="00FD600F" w:rsidRPr="00E03C26" w:rsidRDefault="00603744" w:rsidP="00E03C26">
      <w:pPr>
        <w:widowControl w:val="0"/>
        <w:spacing w:after="0" w:line="360" w:lineRule="auto"/>
        <w:rPr>
          <w:rFonts w:ascii="Times New Roman" w:hAnsi="Times New Roman"/>
          <w:i/>
          <w:sz w:val="28"/>
          <w:szCs w:val="28"/>
        </w:rPr>
      </w:pPr>
      <w:r w:rsidRPr="00E03C26">
        <w:rPr>
          <w:rFonts w:ascii="Times New Roman" w:hAnsi="Times New Roman"/>
          <w:i/>
          <w:sz w:val="28"/>
          <w:szCs w:val="28"/>
        </w:rPr>
        <w:t>Монографии</w:t>
      </w:r>
      <w:r w:rsidR="00013329" w:rsidRPr="00E03C26">
        <w:rPr>
          <w:rFonts w:ascii="Times New Roman" w:hAnsi="Times New Roman"/>
          <w:i/>
          <w:sz w:val="28"/>
          <w:szCs w:val="28"/>
        </w:rPr>
        <w:t xml:space="preserve"> и статьи</w:t>
      </w:r>
    </w:p>
    <w:p w:rsidR="00A4689B" w:rsidRPr="00E03C26" w:rsidRDefault="00A4689B" w:rsidP="00E03C26">
      <w:pPr>
        <w:widowControl w:val="0"/>
        <w:numPr>
          <w:ilvl w:val="0"/>
          <w:numId w:val="4"/>
        </w:numPr>
        <w:tabs>
          <w:tab w:val="clear" w:pos="720"/>
          <w:tab w:val="num" w:pos="0"/>
          <w:tab w:val="left" w:pos="360"/>
        </w:tabs>
        <w:spacing w:after="0" w:line="360" w:lineRule="auto"/>
        <w:ind w:left="0" w:firstLine="0"/>
        <w:rPr>
          <w:rFonts w:ascii="Times New Roman" w:hAnsi="Times New Roman"/>
          <w:sz w:val="28"/>
          <w:szCs w:val="28"/>
        </w:rPr>
      </w:pPr>
      <w:r w:rsidRPr="00E03C26">
        <w:rPr>
          <w:rFonts w:ascii="Times New Roman" w:hAnsi="Times New Roman"/>
          <w:sz w:val="28"/>
          <w:szCs w:val="28"/>
        </w:rPr>
        <w:t>Базовый курс по рынку ценных бумаг. Под ред.</w:t>
      </w:r>
      <w:r w:rsidR="004B0491" w:rsidRPr="00E03C26">
        <w:rPr>
          <w:rFonts w:ascii="Times New Roman" w:hAnsi="Times New Roman"/>
          <w:sz w:val="28"/>
          <w:szCs w:val="28"/>
        </w:rPr>
        <w:t xml:space="preserve"> </w:t>
      </w:r>
      <w:r w:rsidRPr="00E03C26">
        <w:rPr>
          <w:rFonts w:ascii="Times New Roman" w:hAnsi="Times New Roman"/>
          <w:sz w:val="28"/>
          <w:szCs w:val="28"/>
        </w:rPr>
        <w:t>Кокорева Р.А. М., 2008, - 352 с.</w:t>
      </w:r>
    </w:p>
    <w:p w:rsidR="002C53FB" w:rsidRPr="00E03C26" w:rsidRDefault="002C53FB" w:rsidP="00E03C26">
      <w:pPr>
        <w:widowControl w:val="0"/>
        <w:numPr>
          <w:ilvl w:val="0"/>
          <w:numId w:val="4"/>
        </w:numPr>
        <w:tabs>
          <w:tab w:val="clear" w:pos="720"/>
          <w:tab w:val="num" w:pos="0"/>
          <w:tab w:val="left" w:pos="360"/>
        </w:tabs>
        <w:spacing w:after="0" w:line="360" w:lineRule="auto"/>
        <w:ind w:left="0" w:firstLine="0"/>
        <w:rPr>
          <w:rFonts w:ascii="Times New Roman" w:hAnsi="Times New Roman"/>
          <w:sz w:val="28"/>
          <w:szCs w:val="28"/>
        </w:rPr>
      </w:pPr>
      <w:r w:rsidRPr="00E03C26">
        <w:rPr>
          <w:rFonts w:ascii="Times New Roman" w:hAnsi="Times New Roman"/>
          <w:sz w:val="28"/>
          <w:szCs w:val="28"/>
        </w:rPr>
        <w:t>Лебедев, А. Е. Производные ценные бумаги: их роль в финансовой глобализации и значение для России/ А. Е. Лебедев // Проблемы прогнозирования. - 2004. - N 2. - С. 16-24.</w:t>
      </w:r>
    </w:p>
    <w:p w:rsidR="00FD600F" w:rsidRPr="00E03C26" w:rsidRDefault="00FD600F" w:rsidP="00E03C26">
      <w:pPr>
        <w:widowControl w:val="0"/>
        <w:numPr>
          <w:ilvl w:val="0"/>
          <w:numId w:val="4"/>
        </w:numPr>
        <w:tabs>
          <w:tab w:val="clear" w:pos="720"/>
          <w:tab w:val="num" w:pos="0"/>
          <w:tab w:val="left" w:pos="360"/>
        </w:tabs>
        <w:spacing w:after="0" w:line="360" w:lineRule="auto"/>
        <w:ind w:left="0" w:firstLine="0"/>
        <w:rPr>
          <w:rFonts w:ascii="Times New Roman" w:hAnsi="Times New Roman"/>
          <w:sz w:val="28"/>
          <w:szCs w:val="28"/>
        </w:rPr>
      </w:pPr>
      <w:r w:rsidRPr="00E03C26">
        <w:rPr>
          <w:rFonts w:ascii="Times New Roman" w:hAnsi="Times New Roman"/>
          <w:sz w:val="28"/>
          <w:szCs w:val="28"/>
        </w:rPr>
        <w:t>Рынок ценных бумаг: Учеб. пособие для вузов</w:t>
      </w:r>
      <w:r w:rsidR="004B0491" w:rsidRPr="00E03C26">
        <w:rPr>
          <w:rFonts w:ascii="Times New Roman" w:hAnsi="Times New Roman"/>
          <w:sz w:val="28"/>
          <w:szCs w:val="28"/>
        </w:rPr>
        <w:t xml:space="preserve"> </w:t>
      </w:r>
      <w:r w:rsidRPr="00E03C26">
        <w:rPr>
          <w:rFonts w:ascii="Times New Roman" w:hAnsi="Times New Roman"/>
          <w:sz w:val="28"/>
          <w:szCs w:val="28"/>
        </w:rPr>
        <w:t>/</w:t>
      </w:r>
      <w:r w:rsidR="004B0491" w:rsidRPr="00E03C26">
        <w:rPr>
          <w:rFonts w:ascii="Times New Roman" w:hAnsi="Times New Roman"/>
          <w:sz w:val="28"/>
          <w:szCs w:val="28"/>
        </w:rPr>
        <w:t xml:space="preserve"> </w:t>
      </w:r>
      <w:r w:rsidRPr="00E03C26">
        <w:rPr>
          <w:rFonts w:ascii="Times New Roman" w:hAnsi="Times New Roman"/>
          <w:sz w:val="28"/>
          <w:szCs w:val="28"/>
        </w:rPr>
        <w:t>Под ред. проф. Е.Ф.Жукова. – М.:ЮНИТИ-ДАНА, 2003. – 399 с.</w:t>
      </w:r>
    </w:p>
    <w:p w:rsidR="00236CDC" w:rsidRPr="00E03C26" w:rsidRDefault="00236CDC" w:rsidP="00E03C26">
      <w:pPr>
        <w:widowControl w:val="0"/>
        <w:numPr>
          <w:ilvl w:val="0"/>
          <w:numId w:val="4"/>
        </w:numPr>
        <w:tabs>
          <w:tab w:val="clear" w:pos="720"/>
          <w:tab w:val="num" w:pos="0"/>
          <w:tab w:val="left" w:pos="360"/>
        </w:tabs>
        <w:spacing w:after="0" w:line="360" w:lineRule="auto"/>
        <w:ind w:left="0" w:firstLine="0"/>
        <w:rPr>
          <w:rFonts w:ascii="Times New Roman" w:hAnsi="Times New Roman"/>
          <w:sz w:val="28"/>
          <w:szCs w:val="28"/>
        </w:rPr>
      </w:pPr>
      <w:r w:rsidRPr="00E03C26">
        <w:rPr>
          <w:rFonts w:ascii="Times New Roman" w:hAnsi="Times New Roman"/>
          <w:sz w:val="28"/>
          <w:szCs w:val="28"/>
        </w:rPr>
        <w:t>Рынок ценных бумаг и биржевое дело: Учебник для вузов /</w:t>
      </w:r>
      <w:r w:rsidR="004B0491" w:rsidRPr="00E03C26">
        <w:rPr>
          <w:rFonts w:ascii="Times New Roman" w:hAnsi="Times New Roman"/>
          <w:sz w:val="28"/>
          <w:szCs w:val="28"/>
        </w:rPr>
        <w:t xml:space="preserve"> </w:t>
      </w:r>
      <w:r w:rsidRPr="00E03C26">
        <w:rPr>
          <w:rFonts w:ascii="Times New Roman" w:hAnsi="Times New Roman"/>
          <w:sz w:val="28"/>
          <w:szCs w:val="28"/>
        </w:rPr>
        <w:t>Под ред. проф. О.И. Дегтяревой, проф. Н.М. Коршунова, проф. Е.Ф. Жукова. - М.: ЮНИТИ-ДАНА, 2004. - 501 с.</w:t>
      </w:r>
    </w:p>
    <w:p w:rsidR="00FD600F" w:rsidRPr="00E03C26" w:rsidRDefault="00FD600F" w:rsidP="00E03C26">
      <w:pPr>
        <w:widowControl w:val="0"/>
        <w:spacing w:after="0" w:line="360" w:lineRule="auto"/>
        <w:rPr>
          <w:rFonts w:ascii="Times New Roman" w:hAnsi="Times New Roman"/>
          <w:i/>
          <w:sz w:val="28"/>
          <w:szCs w:val="28"/>
        </w:rPr>
      </w:pPr>
      <w:r w:rsidRPr="00E03C26">
        <w:rPr>
          <w:rFonts w:ascii="Times New Roman" w:hAnsi="Times New Roman"/>
          <w:i/>
          <w:sz w:val="28"/>
          <w:szCs w:val="28"/>
        </w:rPr>
        <w:t>Интернет-ресурсы</w:t>
      </w:r>
      <w:r w:rsidR="00E03C26">
        <w:rPr>
          <w:rFonts w:ascii="Times New Roman" w:hAnsi="Times New Roman"/>
          <w:i/>
          <w:sz w:val="28"/>
          <w:szCs w:val="28"/>
        </w:rPr>
        <w:t xml:space="preserve"> </w:t>
      </w:r>
      <w:r w:rsidR="00603744" w:rsidRPr="00E03C26">
        <w:rPr>
          <w:rFonts w:ascii="Times New Roman" w:hAnsi="Times New Roman"/>
          <w:i/>
          <w:sz w:val="28"/>
          <w:szCs w:val="28"/>
        </w:rPr>
        <w:t>и лекции</w:t>
      </w:r>
    </w:p>
    <w:p w:rsidR="00094852" w:rsidRPr="00E03C26" w:rsidRDefault="00E90E99" w:rsidP="00E03C26">
      <w:pPr>
        <w:widowControl w:val="0"/>
        <w:numPr>
          <w:ilvl w:val="0"/>
          <w:numId w:val="5"/>
        </w:numPr>
        <w:tabs>
          <w:tab w:val="clear" w:pos="720"/>
          <w:tab w:val="num" w:pos="0"/>
          <w:tab w:val="left" w:pos="360"/>
        </w:tabs>
        <w:spacing w:after="0" w:line="360" w:lineRule="auto"/>
        <w:ind w:left="0" w:firstLine="0"/>
        <w:rPr>
          <w:rFonts w:ascii="Times New Roman" w:hAnsi="Times New Roman"/>
          <w:sz w:val="28"/>
          <w:szCs w:val="28"/>
        </w:rPr>
      </w:pPr>
      <w:r w:rsidRPr="00E03C26">
        <w:rPr>
          <w:rFonts w:ascii="Times New Roman" w:hAnsi="Times New Roman"/>
          <w:sz w:val="28"/>
          <w:szCs w:val="28"/>
        </w:rPr>
        <w:t xml:space="preserve">http://www.mzb.ru/rubric5/ </w:t>
      </w:r>
      <w:r w:rsidR="00094852" w:rsidRPr="00E03C26">
        <w:rPr>
          <w:rFonts w:ascii="Times New Roman" w:hAnsi="Times New Roman"/>
          <w:sz w:val="28"/>
          <w:szCs w:val="28"/>
        </w:rPr>
        <w:t>- Московский займовый банк</w:t>
      </w:r>
      <w:r w:rsidR="004448F4" w:rsidRPr="00E03C26">
        <w:rPr>
          <w:rFonts w:ascii="Times New Roman" w:hAnsi="Times New Roman"/>
          <w:sz w:val="28"/>
          <w:szCs w:val="28"/>
        </w:rPr>
        <w:t>.</w:t>
      </w:r>
    </w:p>
    <w:p w:rsidR="00555077" w:rsidRPr="00E03C26" w:rsidRDefault="004448F4" w:rsidP="00E03C26">
      <w:pPr>
        <w:widowControl w:val="0"/>
        <w:numPr>
          <w:ilvl w:val="0"/>
          <w:numId w:val="5"/>
        </w:numPr>
        <w:tabs>
          <w:tab w:val="clear" w:pos="720"/>
          <w:tab w:val="num" w:pos="0"/>
          <w:tab w:val="left" w:pos="360"/>
        </w:tabs>
        <w:spacing w:after="0" w:line="360" w:lineRule="auto"/>
        <w:ind w:left="0" w:firstLine="0"/>
        <w:rPr>
          <w:rFonts w:ascii="Times New Roman" w:hAnsi="Times New Roman"/>
          <w:sz w:val="28"/>
          <w:szCs w:val="28"/>
        </w:rPr>
      </w:pPr>
      <w:r w:rsidRPr="00E03C26">
        <w:rPr>
          <w:rFonts w:ascii="Times New Roman" w:hAnsi="Times New Roman"/>
          <w:sz w:val="28"/>
          <w:szCs w:val="28"/>
        </w:rPr>
        <w:t>http://www.tisbi.ru/Resource/Lib/literat/pcb.htm</w:t>
      </w:r>
      <w:r w:rsidR="00E03C26" w:rsidRPr="00E03C26">
        <w:rPr>
          <w:rFonts w:ascii="Times New Roman" w:hAnsi="Times New Roman"/>
          <w:sz w:val="28"/>
          <w:szCs w:val="28"/>
        </w:rPr>
        <w:t xml:space="preserve"> </w:t>
      </w:r>
      <w:r w:rsidRPr="00E03C26">
        <w:rPr>
          <w:rFonts w:ascii="Times New Roman" w:hAnsi="Times New Roman"/>
          <w:sz w:val="28"/>
          <w:szCs w:val="28"/>
        </w:rPr>
        <w:t>- Аюпов А.А. - Краткий курс лекций – Производные ценные бумаги (2009 год).</w:t>
      </w:r>
    </w:p>
    <w:p w:rsidR="00751674" w:rsidRPr="00E03C26" w:rsidRDefault="00603744" w:rsidP="00E03C26">
      <w:pPr>
        <w:widowControl w:val="0"/>
        <w:numPr>
          <w:ilvl w:val="0"/>
          <w:numId w:val="5"/>
        </w:numPr>
        <w:tabs>
          <w:tab w:val="clear" w:pos="720"/>
          <w:tab w:val="num" w:pos="0"/>
          <w:tab w:val="left" w:pos="360"/>
        </w:tabs>
        <w:spacing w:after="0" w:line="360" w:lineRule="auto"/>
        <w:ind w:left="0" w:firstLine="0"/>
        <w:rPr>
          <w:rFonts w:ascii="Times New Roman" w:hAnsi="Times New Roman"/>
          <w:sz w:val="28"/>
          <w:szCs w:val="28"/>
        </w:rPr>
      </w:pPr>
      <w:r w:rsidRPr="00E03C26">
        <w:rPr>
          <w:rFonts w:ascii="Times New Roman" w:hAnsi="Times New Roman"/>
          <w:sz w:val="28"/>
          <w:szCs w:val="28"/>
        </w:rPr>
        <w:t>http://www.fortsmarket.ru/2010/хеджирование-опционами/ - ФОФ: Фьючерсы-Опционы-Форварды – Хеджирование опционами.</w:t>
      </w:r>
    </w:p>
    <w:p w:rsidR="004922E4" w:rsidRPr="00E03C26" w:rsidRDefault="004922E4" w:rsidP="00E03C26">
      <w:pPr>
        <w:widowControl w:val="0"/>
        <w:numPr>
          <w:ilvl w:val="0"/>
          <w:numId w:val="5"/>
        </w:numPr>
        <w:tabs>
          <w:tab w:val="clear" w:pos="720"/>
          <w:tab w:val="num" w:pos="0"/>
          <w:tab w:val="left" w:pos="360"/>
        </w:tabs>
        <w:spacing w:after="0" w:line="360" w:lineRule="auto"/>
        <w:ind w:left="0" w:firstLine="0"/>
        <w:rPr>
          <w:rFonts w:ascii="Times New Roman" w:hAnsi="Times New Roman"/>
          <w:sz w:val="28"/>
          <w:szCs w:val="28"/>
        </w:rPr>
      </w:pPr>
      <w:r w:rsidRPr="00E03C26">
        <w:rPr>
          <w:rFonts w:ascii="Times New Roman" w:hAnsi="Times New Roman"/>
          <w:sz w:val="28"/>
          <w:szCs w:val="28"/>
        </w:rPr>
        <w:t xml:space="preserve">http://biglibrary.ru/category45/book134/part23/ - Большая библиотека - Жуков Евгений Федорович «Рынок ценных бумаг (2009)» </w:t>
      </w:r>
    </w:p>
    <w:p w:rsidR="008B0963" w:rsidRPr="00E03C26" w:rsidRDefault="008B0963" w:rsidP="00E03C26">
      <w:pPr>
        <w:widowControl w:val="0"/>
        <w:numPr>
          <w:ilvl w:val="0"/>
          <w:numId w:val="5"/>
        </w:numPr>
        <w:tabs>
          <w:tab w:val="clear" w:pos="720"/>
          <w:tab w:val="num" w:pos="0"/>
          <w:tab w:val="left" w:pos="360"/>
        </w:tabs>
        <w:spacing w:after="0" w:line="360" w:lineRule="auto"/>
        <w:ind w:left="0" w:firstLine="0"/>
        <w:rPr>
          <w:rFonts w:ascii="Times New Roman" w:hAnsi="Times New Roman"/>
          <w:sz w:val="28"/>
          <w:szCs w:val="28"/>
        </w:rPr>
      </w:pPr>
      <w:r w:rsidRPr="00E03C26">
        <w:rPr>
          <w:rFonts w:ascii="Times New Roman" w:hAnsi="Times New Roman"/>
          <w:sz w:val="28"/>
          <w:szCs w:val="28"/>
        </w:rPr>
        <w:t>http://www.globfin.ru/articles/shares/japan.htm</w:t>
      </w:r>
      <w:r w:rsidR="00E03C26">
        <w:rPr>
          <w:rFonts w:ascii="Times New Roman" w:hAnsi="Times New Roman"/>
          <w:sz w:val="28"/>
          <w:szCs w:val="28"/>
        </w:rPr>
        <w:t xml:space="preserve"> </w:t>
      </w:r>
      <w:r w:rsidRPr="00E03C26">
        <w:rPr>
          <w:rFonts w:ascii="Times New Roman" w:hAnsi="Times New Roman"/>
          <w:sz w:val="28"/>
          <w:szCs w:val="28"/>
        </w:rPr>
        <w:t>- Мировая экономика - Финансы и инвестиции</w:t>
      </w:r>
      <w:r w:rsidR="00A4689B" w:rsidRPr="00E03C26">
        <w:rPr>
          <w:rFonts w:ascii="Times New Roman" w:hAnsi="Times New Roman"/>
          <w:sz w:val="28"/>
          <w:szCs w:val="28"/>
        </w:rPr>
        <w:t>.</w:t>
      </w:r>
    </w:p>
    <w:p w:rsidR="00751674" w:rsidRPr="00E03C26" w:rsidRDefault="00603744" w:rsidP="00E03C26">
      <w:pPr>
        <w:widowControl w:val="0"/>
        <w:numPr>
          <w:ilvl w:val="0"/>
          <w:numId w:val="5"/>
        </w:numPr>
        <w:tabs>
          <w:tab w:val="clear" w:pos="720"/>
          <w:tab w:val="num" w:pos="0"/>
          <w:tab w:val="left" w:pos="360"/>
        </w:tabs>
        <w:spacing w:after="0" w:line="360" w:lineRule="auto"/>
        <w:ind w:left="0" w:firstLine="0"/>
        <w:rPr>
          <w:rFonts w:ascii="Times New Roman" w:hAnsi="Times New Roman"/>
          <w:sz w:val="28"/>
          <w:szCs w:val="28"/>
        </w:rPr>
      </w:pPr>
      <w:r w:rsidRPr="00E03C26">
        <w:rPr>
          <w:rFonts w:ascii="Times New Roman" w:hAnsi="Times New Roman"/>
          <w:sz w:val="28"/>
          <w:szCs w:val="28"/>
        </w:rPr>
        <w:t>Рынок ценных бумаг - Кафедральный конспект лекций</w:t>
      </w:r>
      <w:r w:rsidR="00E03C26">
        <w:rPr>
          <w:rFonts w:ascii="Times New Roman" w:hAnsi="Times New Roman"/>
          <w:sz w:val="28"/>
          <w:szCs w:val="28"/>
        </w:rPr>
        <w:t xml:space="preserve"> </w:t>
      </w:r>
      <w:r w:rsidRPr="00E03C26">
        <w:rPr>
          <w:rFonts w:ascii="Times New Roman" w:hAnsi="Times New Roman"/>
          <w:sz w:val="28"/>
          <w:szCs w:val="28"/>
        </w:rPr>
        <w:t xml:space="preserve">- </w:t>
      </w:r>
      <w:r w:rsidR="00751674" w:rsidRPr="00E03C26">
        <w:rPr>
          <w:rFonts w:ascii="Times New Roman" w:hAnsi="Times New Roman"/>
          <w:sz w:val="28"/>
          <w:szCs w:val="28"/>
        </w:rPr>
        <w:t>подг</w:t>
      </w:r>
      <w:r w:rsidRPr="00E03C26">
        <w:rPr>
          <w:rFonts w:ascii="Times New Roman" w:hAnsi="Times New Roman"/>
          <w:sz w:val="28"/>
          <w:szCs w:val="28"/>
        </w:rPr>
        <w:t>отовлен доцентом Н.П. Нишатовым.</w:t>
      </w:r>
    </w:p>
    <w:p w:rsidR="00751674" w:rsidRPr="00E03C26" w:rsidRDefault="00751674" w:rsidP="00E03C26">
      <w:pPr>
        <w:widowControl w:val="0"/>
        <w:spacing w:after="0" w:line="360" w:lineRule="auto"/>
        <w:rPr>
          <w:rFonts w:ascii="Times New Roman" w:hAnsi="Times New Roman"/>
          <w:b/>
          <w:sz w:val="28"/>
          <w:szCs w:val="28"/>
        </w:rPr>
      </w:pPr>
    </w:p>
    <w:p w:rsidR="00013639" w:rsidRPr="00E03C26" w:rsidRDefault="00E03C26" w:rsidP="00E03C26">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013639" w:rsidRPr="00E03C26">
        <w:rPr>
          <w:rFonts w:ascii="Times New Roman" w:hAnsi="Times New Roman"/>
          <w:b/>
          <w:sz w:val="28"/>
          <w:szCs w:val="28"/>
        </w:rPr>
        <w:t>Глобальные и российские депозитарные расписки</w:t>
      </w:r>
    </w:p>
    <w:p w:rsidR="00E03C26" w:rsidRDefault="00E03C26" w:rsidP="00E03C26">
      <w:pPr>
        <w:widowControl w:val="0"/>
        <w:spacing w:after="0" w:line="360" w:lineRule="auto"/>
        <w:ind w:firstLine="709"/>
        <w:jc w:val="both"/>
        <w:rPr>
          <w:rFonts w:ascii="Times New Roman" w:hAnsi="Times New Roman"/>
          <w:b/>
          <w:sz w:val="28"/>
          <w:szCs w:val="28"/>
        </w:rPr>
      </w:pP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Глобальная депозитарная расписка</w:t>
      </w:r>
      <w:r w:rsidRPr="00E03C26">
        <w:rPr>
          <w:rFonts w:ascii="Times New Roman" w:hAnsi="Times New Roman"/>
          <w:sz w:val="28"/>
          <w:szCs w:val="28"/>
        </w:rPr>
        <w:t xml:space="preserve"> (англ. </w:t>
      </w:r>
      <w:r w:rsidRPr="00E03C26">
        <w:rPr>
          <w:rFonts w:ascii="Times New Roman" w:hAnsi="Times New Roman"/>
          <w:sz w:val="28"/>
          <w:szCs w:val="28"/>
          <w:lang w:val="en-US"/>
        </w:rPr>
        <w:t xml:space="preserve">Global Depositary Receipt), </w:t>
      </w:r>
      <w:r w:rsidRPr="00E03C26">
        <w:rPr>
          <w:rFonts w:ascii="Times New Roman" w:hAnsi="Times New Roman"/>
          <w:sz w:val="28"/>
          <w:szCs w:val="28"/>
        </w:rPr>
        <w:t>ГДР</w:t>
      </w:r>
      <w:r w:rsidRPr="00E03C26">
        <w:rPr>
          <w:rFonts w:ascii="Times New Roman" w:hAnsi="Times New Roman"/>
          <w:sz w:val="28"/>
          <w:szCs w:val="28"/>
          <w:lang w:val="en-US"/>
        </w:rPr>
        <w:t xml:space="preserve"> (</w:t>
      </w:r>
      <w:r w:rsidRPr="00E03C26">
        <w:rPr>
          <w:rFonts w:ascii="Times New Roman" w:hAnsi="Times New Roman"/>
          <w:sz w:val="28"/>
          <w:szCs w:val="28"/>
        </w:rPr>
        <w:t>англ</w:t>
      </w:r>
      <w:r w:rsidRPr="00E03C26">
        <w:rPr>
          <w:rFonts w:ascii="Times New Roman" w:hAnsi="Times New Roman"/>
          <w:sz w:val="28"/>
          <w:szCs w:val="28"/>
          <w:lang w:val="en-US"/>
        </w:rPr>
        <w:t xml:space="preserve">. </w:t>
      </w:r>
      <w:r w:rsidRPr="00E03C26">
        <w:rPr>
          <w:rFonts w:ascii="Times New Roman" w:hAnsi="Times New Roman"/>
          <w:sz w:val="28"/>
          <w:szCs w:val="28"/>
        </w:rPr>
        <w:t xml:space="preserve">GDR) — депозитарная расписка, которая, как правило, обращается в нескольких странах, обычно странах Европы. ГДР представляет собой сертификат, выпущенный банком-депозитарием и удостоверяющий право его владельца пользоваться выгодами от депонированных в этом банке ценных бумаг иностранного эмитента. Одна ГДР может быть эквивалентна одной акции, части акции, или нескольким акциям иностранной компании-эмитента. Это достаточно молодой инструмент рынка ценных бумаг, так как он появился на фондовом рынке США в 1990 году. </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ГДР выпускаются аналогично АДР с некоторыми дополнительными требованиями (например, требованием предоставлять отчётности в контролирующие органы стран, где они будут обращаться). Стоимость их размещения несколько дороже, явного преимущества не наблюдается. Поэтому ГДР выпускаются реже, чем АДР.</w:t>
      </w:r>
    </w:p>
    <w:p w:rsidR="00013639" w:rsidRPr="00E03C26" w:rsidRDefault="00013639" w:rsidP="00E03C26">
      <w:pPr>
        <w:widowControl w:val="0"/>
        <w:autoSpaceDE w:val="0"/>
        <w:autoSpaceDN w:val="0"/>
        <w:adjustRightInd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Работа над концепцией </w:t>
      </w:r>
      <w:r w:rsidRPr="00E03C26">
        <w:rPr>
          <w:rFonts w:ascii="Times New Roman" w:hAnsi="Times New Roman"/>
          <w:b/>
          <w:sz w:val="28"/>
          <w:szCs w:val="28"/>
        </w:rPr>
        <w:t>российской депозитарной расписки</w:t>
      </w:r>
      <w:r w:rsidRPr="00E03C26">
        <w:rPr>
          <w:rFonts w:ascii="Times New Roman" w:hAnsi="Times New Roman"/>
          <w:sz w:val="28"/>
          <w:szCs w:val="28"/>
        </w:rPr>
        <w:t xml:space="preserve"> (РДР) была начата в </w:t>
      </w:r>
      <w:smartTag w:uri="urn:schemas-microsoft-com:office:smarttags" w:element="metricconverter">
        <w:smartTagPr>
          <w:attr w:name="ProductID" w:val="1998 г"/>
        </w:smartTagPr>
        <w:r w:rsidRPr="00E03C26">
          <w:rPr>
            <w:rFonts w:ascii="Times New Roman" w:hAnsi="Times New Roman"/>
            <w:sz w:val="28"/>
            <w:szCs w:val="28"/>
          </w:rPr>
          <w:t>1998 г</w:t>
        </w:r>
      </w:smartTag>
      <w:r w:rsidRPr="00E03C26">
        <w:rPr>
          <w:rFonts w:ascii="Times New Roman" w:hAnsi="Times New Roman"/>
          <w:sz w:val="28"/>
          <w:szCs w:val="28"/>
        </w:rPr>
        <w:t xml:space="preserve">. с написания научных работ и ряда статей. Идея зеркально отразить АДР и предложение ввести в российскую систему права ее аналог пришла после детального анализа режимов ценной бумаги в российской и американской правовых системах. Понятие </w:t>
      </w:r>
      <w:r w:rsidRPr="00E03C26">
        <w:rPr>
          <w:rFonts w:ascii="Times New Roman" w:hAnsi="Times New Roman"/>
          <w:b/>
          <w:i/>
          <w:sz w:val="28"/>
          <w:szCs w:val="28"/>
        </w:rPr>
        <w:t>«российская депозитарная расписка»</w:t>
      </w:r>
      <w:r w:rsidRPr="00E03C26">
        <w:rPr>
          <w:rFonts w:ascii="Times New Roman" w:hAnsi="Times New Roman"/>
          <w:sz w:val="28"/>
          <w:szCs w:val="28"/>
        </w:rPr>
        <w:t xml:space="preserve"> (РДР) появилось в российском законодательстве в 2007 году. В соответствии с ФЗ «О рынке ценных бумаг», РДР — именная эмиссионная ценная бумага, не имеющая номинальной стоимости, удостоверяющая право собственности на определенное количество акций или облигаций иностранного эмитента и закрепляющая право ее владельца требовать от эмитента РДР получения взамен РДР соответствующего количества представляемых ценных бумаг и оказания услуг, связанных с осуществлением владельцем РДР прав, закрепленных представляемыми ценными бумагами. В случае если эмитент представляемых ценных бумаг принимает на себя обязательства перед владельцами РДР, указанная ценная бумага удостоверяет также право ее владельца требовать надлежащего выполнения этих обязанностей.</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Первыми РДР, начавшими торговаться 24 декабря 2010г. и прошедшими листинг на площадках ФБ ММВБ и РТС 16 декабря 2010г., являются РДР на торгующиеся на Гонконгской фондовой бирже обыкновенные акции объединённой компании "Русал", которая зарегистрирована на острове Джерси (юрисдикция Великобритании).</w:t>
      </w:r>
    </w:p>
    <w:p w:rsidR="00013639" w:rsidRPr="00E03C26" w:rsidRDefault="00013639" w:rsidP="00E03C26">
      <w:pPr>
        <w:widowControl w:val="0"/>
        <w:spacing w:after="0" w:line="360" w:lineRule="auto"/>
        <w:ind w:firstLine="709"/>
        <w:jc w:val="both"/>
        <w:rPr>
          <w:rFonts w:ascii="Times New Roman" w:hAnsi="Times New Roman"/>
          <w:b/>
          <w:sz w:val="28"/>
          <w:szCs w:val="28"/>
        </w:rPr>
      </w:pPr>
    </w:p>
    <w:p w:rsidR="00013639" w:rsidRPr="00E03C26" w:rsidRDefault="00013639" w:rsidP="00E03C26">
      <w:pPr>
        <w:widowControl w:val="0"/>
        <w:spacing w:after="0" w:line="360" w:lineRule="auto"/>
        <w:ind w:firstLine="709"/>
        <w:jc w:val="both"/>
        <w:rPr>
          <w:rFonts w:ascii="Times New Roman" w:hAnsi="Times New Roman"/>
          <w:b/>
          <w:sz w:val="28"/>
          <w:szCs w:val="28"/>
        </w:rPr>
      </w:pPr>
      <w:r w:rsidRPr="00E03C26">
        <w:rPr>
          <w:rFonts w:ascii="Times New Roman" w:hAnsi="Times New Roman"/>
          <w:b/>
          <w:sz w:val="28"/>
          <w:szCs w:val="28"/>
        </w:rPr>
        <w:t>Опцион эмитента</w:t>
      </w:r>
    </w:p>
    <w:p w:rsidR="00E03C26" w:rsidRDefault="00E03C26" w:rsidP="00E03C26">
      <w:pPr>
        <w:widowControl w:val="0"/>
        <w:spacing w:after="0" w:line="360" w:lineRule="auto"/>
        <w:ind w:firstLine="709"/>
        <w:jc w:val="both"/>
        <w:rPr>
          <w:rFonts w:ascii="Times New Roman" w:hAnsi="Times New Roman"/>
          <w:b/>
          <w:sz w:val="28"/>
          <w:szCs w:val="28"/>
        </w:rPr>
      </w:pP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sz w:val="28"/>
          <w:szCs w:val="28"/>
        </w:rPr>
        <w:t>Опцион эмитента</w:t>
      </w:r>
      <w:r w:rsidRPr="00E03C26">
        <w:rPr>
          <w:rFonts w:ascii="Times New Roman" w:hAnsi="Times New Roman"/>
          <w:sz w:val="28"/>
          <w:szCs w:val="28"/>
        </w:rPr>
        <w:t xml:space="preserve"> — именная эмиссионная ценная бумага, закрепляющая право владельца на покупку в предусмотренный срок и/или при наступлении указанных в ней обстоятельств определенного количества акций эмитента такого опциона по цене реализации, определенной в опционном контракте.</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Эмитент не вправе размещать опцион эмитента, если количество объявленных акций эмитента меньше количества акций, право на приобретение которых представляют такие опционы. Размещение опциона эмитента возможно только после полной оплаты уставного капитала акционерного общества.</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Следует отметить, что опцион эмитента несколько отличается от классического опциона. Так, опцион эмитента может быть только одного типа — “колл” (call option), т.е. дает право владельцу купить акции. А также может предусматривать, кроме конкретного срока, обстоятельства, при наступлении которых владелец опциона эмитента имеет право на покупку определенного количества акций эмитента такого опциона.</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Использование опционов для стимулирования эффективной работы менеджмента компании стало широко распространённым явлением на Западе. Суть метода проста: работник компании (чаще всего менеджер какого-либо звена) часть своего жалованья получает опционом “колл” на акции своей компании. Это означает, что он приобретает право в течение определённого срока (как правило, это несколько лет) купить акции компании по заранее оговорённой в опционе цене – обычно она близка к рыночной цене этих акций на момент выдачи опциона. Таким образом, если акции в течение означенного срока вырастут в цене, скажем, со 100 до 200 рублей, то работник получит неплохую прибавку к зарплате: он сможет тогда реализовать свой опцион, то есть купить акции по цене 100 рублей – и тут же продать их на рынке по 200. </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На сегодняшний день в Российской Федерации отсутствует практика выпуска опционов эмитента в понимании Стандартов эмиссии и Федерального закона “О рынке ценных бумаг” от 22 апреля </w:t>
      </w:r>
      <w:smartTag w:uri="urn:schemas-microsoft-com:office:smarttags" w:element="metricconverter">
        <w:smartTagPr>
          <w:attr w:name="ProductID" w:val="1996 г"/>
        </w:smartTagPr>
        <w:r w:rsidRPr="00E03C26">
          <w:rPr>
            <w:rFonts w:ascii="Times New Roman" w:hAnsi="Times New Roman"/>
            <w:sz w:val="28"/>
            <w:szCs w:val="28"/>
          </w:rPr>
          <w:t>1996 г</w:t>
        </w:r>
      </w:smartTag>
      <w:r w:rsidRPr="00E03C26">
        <w:rPr>
          <w:rFonts w:ascii="Times New Roman" w:hAnsi="Times New Roman"/>
          <w:sz w:val="28"/>
          <w:szCs w:val="28"/>
        </w:rPr>
        <w:t xml:space="preserve">. № 39-ФЗ. </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Организаторы торговли на рынке ценных бумаг используют лишь расчетные схемы обращения опционов, т.е. без поставки актива (исполнения опциона). </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Подобная же схема используется большинством компаний, заключающих с менеджментом опционные контракты на покупку акций компании в будущем по определенной цене. Когда же наступает момент исполнения опциона, компанией производятся расчеты, т.е. в случае, если цена на акции на рынке оказалась выше цены исполнения в контракте, менеджеру выплачивается разница, составляющая его вознаграждение.</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Опцион эмитента представляется наиболее защищенной схемой для потенциальных владельцев, поскольку эмитент осуществляет государственную регистрацию эмиссии. Кроме того, опцион эмитента, в отличие от описанных выше расчетных схем, предоставляет владельцу право на покупку реального актива — акций эмитента. Таким образом, опцион эмитента может являться привлекательным инструментом как для потенциальных инвесторов, так и для эмитента, который получает возможность привлечь на определенный период дополнительные средства без процентных выплат, а также без размытия доли имеющихся акционеров.</w:t>
      </w:r>
    </w:p>
    <w:p w:rsidR="00013639" w:rsidRPr="00E03C26" w:rsidRDefault="00E03C26" w:rsidP="00E03C26">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013639" w:rsidRPr="00E03C26">
        <w:rPr>
          <w:rFonts w:ascii="Times New Roman" w:hAnsi="Times New Roman"/>
          <w:b/>
          <w:sz w:val="28"/>
          <w:szCs w:val="28"/>
        </w:rPr>
        <w:t>Российские эмитенты еврооблигаций</w:t>
      </w:r>
    </w:p>
    <w:p w:rsidR="00E03C26" w:rsidRDefault="00E03C26" w:rsidP="00E03C26">
      <w:pPr>
        <w:widowControl w:val="0"/>
        <w:spacing w:after="0" w:line="360" w:lineRule="auto"/>
        <w:ind w:firstLine="709"/>
        <w:jc w:val="both"/>
        <w:rPr>
          <w:rFonts w:ascii="Times New Roman" w:hAnsi="Times New Roman"/>
          <w:sz w:val="28"/>
          <w:szCs w:val="28"/>
        </w:rPr>
      </w:pPr>
    </w:p>
    <w:p w:rsidR="00013639" w:rsidRPr="00E03C26" w:rsidRDefault="00013639" w:rsidP="00E03C26">
      <w:pPr>
        <w:widowControl w:val="0"/>
        <w:spacing w:after="0" w:line="336" w:lineRule="auto"/>
        <w:ind w:firstLine="709"/>
        <w:jc w:val="both"/>
        <w:rPr>
          <w:rFonts w:ascii="Times New Roman" w:hAnsi="Times New Roman"/>
          <w:sz w:val="28"/>
          <w:szCs w:val="28"/>
        </w:rPr>
      </w:pPr>
      <w:r w:rsidRPr="00E03C26">
        <w:rPr>
          <w:rFonts w:ascii="Times New Roman" w:hAnsi="Times New Roman"/>
          <w:sz w:val="28"/>
          <w:szCs w:val="28"/>
        </w:rPr>
        <w:t>Смысл выпуска еврооблигаций состоит в привлечении более дешевого и более длительного финансирования от иностранных инвесторов. В свою очередь, российский заемщик (корпорация или государство), предлагая свои долговые бумаги западным инвесторам, вынужден играть по правилам западного рынка, а именно:</w:t>
      </w:r>
    </w:p>
    <w:p w:rsidR="00013639" w:rsidRPr="00E03C26" w:rsidRDefault="00013639" w:rsidP="00E03C26">
      <w:pPr>
        <w:widowControl w:val="0"/>
        <w:numPr>
          <w:ilvl w:val="0"/>
          <w:numId w:val="6"/>
        </w:numPr>
        <w:tabs>
          <w:tab w:val="clear" w:pos="720"/>
          <w:tab w:val="num" w:pos="0"/>
          <w:tab w:val="left" w:pos="1134"/>
        </w:tabs>
        <w:spacing w:after="0" w:line="336" w:lineRule="auto"/>
        <w:ind w:left="0" w:firstLine="709"/>
        <w:jc w:val="both"/>
        <w:rPr>
          <w:rFonts w:ascii="Times New Roman" w:hAnsi="Times New Roman"/>
          <w:sz w:val="28"/>
          <w:szCs w:val="28"/>
        </w:rPr>
      </w:pPr>
      <w:r w:rsidRPr="00E03C26">
        <w:rPr>
          <w:rFonts w:ascii="Times New Roman" w:hAnsi="Times New Roman"/>
          <w:sz w:val="28"/>
          <w:szCs w:val="28"/>
        </w:rPr>
        <w:t xml:space="preserve">Еврооблигации выпускаются по иностранному праву (как правило – по английскому). </w:t>
      </w:r>
    </w:p>
    <w:p w:rsidR="00013639" w:rsidRPr="00E03C26" w:rsidRDefault="00013639" w:rsidP="00E03C26">
      <w:pPr>
        <w:widowControl w:val="0"/>
        <w:numPr>
          <w:ilvl w:val="0"/>
          <w:numId w:val="6"/>
        </w:numPr>
        <w:tabs>
          <w:tab w:val="clear" w:pos="720"/>
          <w:tab w:val="num" w:pos="0"/>
          <w:tab w:val="left" w:pos="1134"/>
        </w:tabs>
        <w:spacing w:after="0" w:line="336" w:lineRule="auto"/>
        <w:ind w:left="0" w:firstLine="709"/>
        <w:jc w:val="both"/>
        <w:rPr>
          <w:rFonts w:ascii="Times New Roman" w:hAnsi="Times New Roman"/>
          <w:sz w:val="28"/>
          <w:szCs w:val="28"/>
        </w:rPr>
      </w:pPr>
      <w:r w:rsidRPr="00E03C26">
        <w:rPr>
          <w:rFonts w:ascii="Times New Roman" w:hAnsi="Times New Roman"/>
          <w:sz w:val="28"/>
          <w:szCs w:val="28"/>
        </w:rPr>
        <w:t xml:space="preserve">Центральным депозитарием для еврооблигаций служат международные клиринговые системы </w:t>
      </w:r>
      <w:r w:rsidRPr="00E03C26">
        <w:rPr>
          <w:rFonts w:ascii="Times New Roman" w:hAnsi="Times New Roman"/>
          <w:sz w:val="28"/>
          <w:szCs w:val="28"/>
          <w:lang w:val="en-US"/>
        </w:rPr>
        <w:t>Euroclear</w:t>
      </w:r>
      <w:r w:rsidRPr="00E03C26">
        <w:rPr>
          <w:rFonts w:ascii="Times New Roman" w:hAnsi="Times New Roman"/>
          <w:sz w:val="28"/>
          <w:szCs w:val="28"/>
        </w:rPr>
        <w:t xml:space="preserve"> (Брюссель) и </w:t>
      </w:r>
      <w:r w:rsidRPr="00E03C26">
        <w:rPr>
          <w:rFonts w:ascii="Times New Roman" w:hAnsi="Times New Roman"/>
          <w:sz w:val="28"/>
          <w:szCs w:val="28"/>
          <w:lang w:val="en-US"/>
        </w:rPr>
        <w:t>Clearstream</w:t>
      </w:r>
      <w:r w:rsidRPr="00E03C26">
        <w:rPr>
          <w:rFonts w:ascii="Times New Roman" w:hAnsi="Times New Roman"/>
          <w:sz w:val="28"/>
          <w:szCs w:val="28"/>
        </w:rPr>
        <w:t xml:space="preserve"> (Люксембург). </w:t>
      </w:r>
    </w:p>
    <w:p w:rsidR="00013639" w:rsidRPr="00E03C26" w:rsidRDefault="00013639" w:rsidP="00E03C26">
      <w:pPr>
        <w:widowControl w:val="0"/>
        <w:numPr>
          <w:ilvl w:val="0"/>
          <w:numId w:val="6"/>
        </w:numPr>
        <w:tabs>
          <w:tab w:val="clear" w:pos="720"/>
          <w:tab w:val="num" w:pos="0"/>
          <w:tab w:val="left" w:pos="1134"/>
        </w:tabs>
        <w:spacing w:after="0" w:line="336" w:lineRule="auto"/>
        <w:ind w:left="0" w:firstLine="709"/>
        <w:jc w:val="both"/>
        <w:rPr>
          <w:rFonts w:ascii="Times New Roman" w:hAnsi="Times New Roman"/>
          <w:sz w:val="28"/>
          <w:szCs w:val="28"/>
        </w:rPr>
      </w:pPr>
      <w:r w:rsidRPr="00E03C26">
        <w:rPr>
          <w:rFonts w:ascii="Times New Roman" w:hAnsi="Times New Roman"/>
          <w:sz w:val="28"/>
          <w:szCs w:val="28"/>
        </w:rPr>
        <w:t xml:space="preserve">Эмитентом еврооблигаций выступает юридическое лицо-нерезидент, а не российский заемщик. </w:t>
      </w:r>
    </w:p>
    <w:p w:rsidR="00013639" w:rsidRPr="00E03C26" w:rsidRDefault="00013639" w:rsidP="00E03C26">
      <w:pPr>
        <w:widowControl w:val="0"/>
        <w:numPr>
          <w:ilvl w:val="0"/>
          <w:numId w:val="6"/>
        </w:numPr>
        <w:tabs>
          <w:tab w:val="clear" w:pos="720"/>
          <w:tab w:val="num" w:pos="0"/>
          <w:tab w:val="left" w:pos="1134"/>
        </w:tabs>
        <w:spacing w:after="0" w:line="336" w:lineRule="auto"/>
        <w:ind w:left="0" w:firstLine="709"/>
        <w:jc w:val="both"/>
        <w:rPr>
          <w:rFonts w:ascii="Times New Roman" w:hAnsi="Times New Roman"/>
          <w:sz w:val="28"/>
          <w:szCs w:val="28"/>
        </w:rPr>
      </w:pPr>
      <w:r w:rsidRPr="00E03C26">
        <w:rPr>
          <w:rFonts w:ascii="Times New Roman" w:hAnsi="Times New Roman"/>
          <w:sz w:val="28"/>
          <w:szCs w:val="28"/>
        </w:rPr>
        <w:t>Как правило, для выпуска еврооблигаций российский заемщик готовит отчетность в соответствии с международными стандартами.</w:t>
      </w:r>
    </w:p>
    <w:p w:rsidR="00013639" w:rsidRPr="00E03C26" w:rsidRDefault="00013639" w:rsidP="00E03C26">
      <w:pPr>
        <w:widowControl w:val="0"/>
        <w:spacing w:after="0" w:line="336" w:lineRule="auto"/>
        <w:ind w:firstLine="709"/>
        <w:jc w:val="both"/>
        <w:rPr>
          <w:rFonts w:ascii="Times New Roman" w:hAnsi="Times New Roman"/>
          <w:sz w:val="28"/>
          <w:szCs w:val="28"/>
        </w:rPr>
      </w:pPr>
      <w:r w:rsidRPr="00E03C26">
        <w:rPr>
          <w:rFonts w:ascii="Times New Roman" w:hAnsi="Times New Roman"/>
          <w:sz w:val="28"/>
          <w:szCs w:val="28"/>
        </w:rPr>
        <w:t xml:space="preserve">Важная особенность еврооблигаций – реальный заемщик по сделке не совпадает с эмитентом облигаций (т.е. с юридическим лицом, выпускающим ценные бумаги). Эмитент выполняет лишь технические функции, а именно: </w:t>
      </w:r>
    </w:p>
    <w:p w:rsidR="00013639" w:rsidRPr="00E03C26" w:rsidRDefault="00013639" w:rsidP="00E03C26">
      <w:pPr>
        <w:widowControl w:val="0"/>
        <w:spacing w:after="0" w:line="336" w:lineRule="auto"/>
        <w:ind w:firstLine="709"/>
        <w:jc w:val="both"/>
        <w:rPr>
          <w:rFonts w:ascii="Times New Roman" w:hAnsi="Times New Roman"/>
          <w:sz w:val="28"/>
          <w:szCs w:val="28"/>
        </w:rPr>
      </w:pPr>
      <w:r w:rsidRPr="00E03C26">
        <w:rPr>
          <w:rFonts w:ascii="Times New Roman" w:hAnsi="Times New Roman"/>
          <w:sz w:val="28"/>
          <w:szCs w:val="28"/>
        </w:rPr>
        <w:t>- при размещении еврооблигаций он получает деньги от инвесторов за проданные ценные бумаги и далее выдает кредит заемщику;</w:t>
      </w:r>
    </w:p>
    <w:p w:rsidR="00013639" w:rsidRPr="00E03C26" w:rsidRDefault="00013639" w:rsidP="00E03C26">
      <w:pPr>
        <w:widowControl w:val="0"/>
        <w:spacing w:after="0" w:line="336" w:lineRule="auto"/>
        <w:ind w:firstLine="709"/>
        <w:jc w:val="both"/>
        <w:rPr>
          <w:rFonts w:ascii="Times New Roman" w:hAnsi="Times New Roman"/>
          <w:sz w:val="28"/>
          <w:szCs w:val="28"/>
        </w:rPr>
      </w:pPr>
      <w:r w:rsidRPr="00E03C26">
        <w:rPr>
          <w:rFonts w:ascii="Times New Roman" w:hAnsi="Times New Roman"/>
          <w:sz w:val="28"/>
          <w:szCs w:val="28"/>
        </w:rPr>
        <w:t xml:space="preserve">- при осуществлении выплат по ценным бумагам (выплата купонов или погашение бумаги) эмитент получает соответствующую сумму от заемщика и далее переводит ее в </w:t>
      </w:r>
      <w:r w:rsidRPr="00E03C26">
        <w:rPr>
          <w:rFonts w:ascii="Times New Roman" w:hAnsi="Times New Roman"/>
          <w:sz w:val="28"/>
          <w:szCs w:val="28"/>
          <w:lang w:val="en-US"/>
        </w:rPr>
        <w:t>Euroclear</w:t>
      </w:r>
      <w:r w:rsidRPr="00E03C26">
        <w:rPr>
          <w:rFonts w:ascii="Times New Roman" w:hAnsi="Times New Roman"/>
          <w:sz w:val="28"/>
          <w:szCs w:val="28"/>
        </w:rPr>
        <w:t>/</w:t>
      </w:r>
      <w:r w:rsidRPr="00E03C26">
        <w:rPr>
          <w:rFonts w:ascii="Times New Roman" w:hAnsi="Times New Roman"/>
          <w:sz w:val="28"/>
          <w:szCs w:val="28"/>
          <w:lang w:val="en-US"/>
        </w:rPr>
        <w:t>Clearstream</w:t>
      </w:r>
      <w:r w:rsidRPr="00E03C26">
        <w:rPr>
          <w:rFonts w:ascii="Times New Roman" w:hAnsi="Times New Roman"/>
          <w:sz w:val="28"/>
          <w:szCs w:val="28"/>
        </w:rPr>
        <w:t xml:space="preserve"> для последующих выплат держателям еврооблигаций.</w:t>
      </w:r>
    </w:p>
    <w:p w:rsidR="00013639" w:rsidRPr="00E03C26" w:rsidRDefault="00013639" w:rsidP="00E03C26">
      <w:pPr>
        <w:widowControl w:val="0"/>
        <w:spacing w:after="0" w:line="336" w:lineRule="auto"/>
        <w:ind w:firstLine="709"/>
        <w:jc w:val="both"/>
        <w:rPr>
          <w:rFonts w:ascii="Times New Roman" w:hAnsi="Times New Roman"/>
          <w:sz w:val="28"/>
          <w:szCs w:val="28"/>
        </w:rPr>
      </w:pPr>
      <w:r w:rsidRPr="00E03C26">
        <w:rPr>
          <w:rFonts w:ascii="Times New Roman" w:hAnsi="Times New Roman"/>
          <w:sz w:val="28"/>
          <w:szCs w:val="28"/>
        </w:rPr>
        <w:t>В качестве эмитента выступают два типа юрлиц:</w:t>
      </w:r>
    </w:p>
    <w:p w:rsidR="00013639" w:rsidRPr="00E03C26" w:rsidRDefault="00013639" w:rsidP="00E03C26">
      <w:pPr>
        <w:widowControl w:val="0"/>
        <w:spacing w:after="0" w:line="336" w:lineRule="auto"/>
        <w:ind w:firstLine="709"/>
        <w:jc w:val="both"/>
        <w:rPr>
          <w:rFonts w:ascii="Times New Roman" w:hAnsi="Times New Roman"/>
          <w:sz w:val="28"/>
          <w:szCs w:val="28"/>
        </w:rPr>
      </w:pPr>
      <w:r w:rsidRPr="00E03C26">
        <w:rPr>
          <w:rFonts w:ascii="Times New Roman" w:hAnsi="Times New Roman"/>
          <w:sz w:val="28"/>
          <w:szCs w:val="28"/>
        </w:rPr>
        <w:t xml:space="preserve">- Крупные иностранные инвестиционные банки (например, </w:t>
      </w:r>
      <w:r w:rsidRPr="00E03C26">
        <w:rPr>
          <w:rFonts w:ascii="Times New Roman" w:hAnsi="Times New Roman"/>
          <w:sz w:val="28"/>
          <w:szCs w:val="28"/>
          <w:lang w:val="en-US"/>
        </w:rPr>
        <w:t>Dresdner</w:t>
      </w:r>
      <w:r w:rsidRPr="00E03C26">
        <w:rPr>
          <w:rFonts w:ascii="Times New Roman" w:hAnsi="Times New Roman"/>
          <w:sz w:val="28"/>
          <w:szCs w:val="28"/>
        </w:rPr>
        <w:t xml:space="preserve"> </w:t>
      </w:r>
      <w:r w:rsidRPr="00E03C26">
        <w:rPr>
          <w:rFonts w:ascii="Times New Roman" w:hAnsi="Times New Roman"/>
          <w:sz w:val="28"/>
          <w:szCs w:val="28"/>
          <w:lang w:val="en-US"/>
        </w:rPr>
        <w:t>Bank</w:t>
      </w:r>
      <w:r w:rsidRPr="00E03C26">
        <w:rPr>
          <w:rFonts w:ascii="Times New Roman" w:hAnsi="Times New Roman"/>
          <w:sz w:val="28"/>
          <w:szCs w:val="28"/>
        </w:rPr>
        <w:t xml:space="preserve">, </w:t>
      </w:r>
      <w:r w:rsidRPr="00E03C26">
        <w:rPr>
          <w:rFonts w:ascii="Times New Roman" w:hAnsi="Times New Roman"/>
          <w:sz w:val="28"/>
          <w:szCs w:val="28"/>
          <w:lang w:val="en-US"/>
        </w:rPr>
        <w:t>Commerzbank</w:t>
      </w:r>
      <w:r w:rsidRPr="00E03C26">
        <w:rPr>
          <w:rFonts w:ascii="Times New Roman" w:hAnsi="Times New Roman"/>
          <w:sz w:val="28"/>
          <w:szCs w:val="28"/>
        </w:rPr>
        <w:t xml:space="preserve">, </w:t>
      </w:r>
      <w:r w:rsidRPr="00E03C26">
        <w:rPr>
          <w:rFonts w:ascii="Times New Roman" w:hAnsi="Times New Roman"/>
          <w:sz w:val="28"/>
          <w:szCs w:val="28"/>
          <w:lang w:val="en-US"/>
        </w:rPr>
        <w:t>Morgan</w:t>
      </w:r>
      <w:r w:rsidRPr="00E03C26">
        <w:rPr>
          <w:rFonts w:ascii="Times New Roman" w:hAnsi="Times New Roman"/>
          <w:sz w:val="28"/>
          <w:szCs w:val="28"/>
        </w:rPr>
        <w:t xml:space="preserve"> </w:t>
      </w:r>
      <w:r w:rsidRPr="00E03C26">
        <w:rPr>
          <w:rFonts w:ascii="Times New Roman" w:hAnsi="Times New Roman"/>
          <w:sz w:val="28"/>
          <w:szCs w:val="28"/>
          <w:lang w:val="en-US"/>
        </w:rPr>
        <w:t>Stanley</w:t>
      </w:r>
      <w:r w:rsidRPr="00E03C26">
        <w:rPr>
          <w:rFonts w:ascii="Times New Roman" w:hAnsi="Times New Roman"/>
          <w:sz w:val="28"/>
          <w:szCs w:val="28"/>
        </w:rPr>
        <w:t xml:space="preserve"> и др.);</w:t>
      </w:r>
    </w:p>
    <w:p w:rsidR="00013639" w:rsidRPr="00E03C26" w:rsidRDefault="00013639" w:rsidP="00E03C26">
      <w:pPr>
        <w:widowControl w:val="0"/>
        <w:spacing w:after="0" w:line="336" w:lineRule="auto"/>
        <w:ind w:firstLine="709"/>
        <w:jc w:val="both"/>
        <w:rPr>
          <w:rFonts w:ascii="Times New Roman" w:hAnsi="Times New Roman"/>
          <w:sz w:val="28"/>
          <w:szCs w:val="28"/>
        </w:rPr>
      </w:pPr>
      <w:r w:rsidRPr="00E03C26">
        <w:rPr>
          <w:rFonts w:ascii="Times New Roman" w:hAnsi="Times New Roman"/>
          <w:sz w:val="28"/>
          <w:szCs w:val="28"/>
        </w:rPr>
        <w:t>- Специализированные компании, предназначенные для выпуска ценных бумаг и аналогичных финансовых операций (</w:t>
      </w:r>
      <w:r w:rsidRPr="00E03C26">
        <w:rPr>
          <w:rFonts w:ascii="Times New Roman" w:hAnsi="Times New Roman"/>
          <w:sz w:val="28"/>
          <w:szCs w:val="28"/>
          <w:lang w:val="en-US"/>
        </w:rPr>
        <w:t>SPV</w:t>
      </w:r>
      <w:r w:rsidRPr="00E03C26">
        <w:rPr>
          <w:rFonts w:ascii="Times New Roman" w:hAnsi="Times New Roman"/>
          <w:sz w:val="28"/>
          <w:szCs w:val="28"/>
        </w:rPr>
        <w:t xml:space="preserve"> – </w:t>
      </w:r>
      <w:r w:rsidRPr="00E03C26">
        <w:rPr>
          <w:rFonts w:ascii="Times New Roman" w:hAnsi="Times New Roman"/>
          <w:sz w:val="28"/>
          <w:szCs w:val="28"/>
          <w:lang w:val="en-US"/>
        </w:rPr>
        <w:t>special</w:t>
      </w:r>
      <w:r w:rsidRPr="00E03C26">
        <w:rPr>
          <w:rFonts w:ascii="Times New Roman" w:hAnsi="Times New Roman"/>
          <w:sz w:val="28"/>
          <w:szCs w:val="28"/>
        </w:rPr>
        <w:t xml:space="preserve"> </w:t>
      </w:r>
      <w:r w:rsidRPr="00E03C26">
        <w:rPr>
          <w:rFonts w:ascii="Times New Roman" w:hAnsi="Times New Roman"/>
          <w:sz w:val="28"/>
          <w:szCs w:val="28"/>
          <w:lang w:val="en-US"/>
        </w:rPr>
        <w:t>purpose</w:t>
      </w:r>
      <w:r w:rsidRPr="00E03C26">
        <w:rPr>
          <w:rFonts w:ascii="Times New Roman" w:hAnsi="Times New Roman"/>
          <w:sz w:val="28"/>
          <w:szCs w:val="28"/>
        </w:rPr>
        <w:t xml:space="preserve"> </w:t>
      </w:r>
      <w:r w:rsidRPr="00E03C26">
        <w:rPr>
          <w:rFonts w:ascii="Times New Roman" w:hAnsi="Times New Roman"/>
          <w:sz w:val="28"/>
          <w:szCs w:val="28"/>
          <w:lang w:val="en-US"/>
        </w:rPr>
        <w:t>vehicles</w:t>
      </w:r>
      <w:r w:rsidRPr="00E03C26">
        <w:rPr>
          <w:rFonts w:ascii="Times New Roman" w:hAnsi="Times New Roman"/>
          <w:sz w:val="28"/>
          <w:szCs w:val="28"/>
        </w:rPr>
        <w:t>).</w:t>
      </w:r>
    </w:p>
    <w:p w:rsidR="00013639" w:rsidRPr="00E03C26" w:rsidRDefault="00E03C26" w:rsidP="00E03C26">
      <w:pPr>
        <w:widowControl w:val="0"/>
        <w:spacing w:after="0" w:line="360" w:lineRule="auto"/>
        <w:ind w:firstLine="709"/>
        <w:jc w:val="both"/>
        <w:rPr>
          <w:rFonts w:ascii="Times New Roman" w:hAnsi="Times New Roman"/>
          <w:sz w:val="28"/>
          <w:szCs w:val="28"/>
        </w:rPr>
      </w:pPr>
      <w:r>
        <w:rPr>
          <w:rFonts w:ascii="Times New Roman" w:hAnsi="Times New Roman"/>
          <w:b/>
          <w:bCs/>
          <w:sz w:val="28"/>
          <w:szCs w:val="28"/>
        </w:rPr>
        <w:br w:type="page"/>
      </w:r>
      <w:r w:rsidR="00013639" w:rsidRPr="00E03C26">
        <w:rPr>
          <w:rFonts w:ascii="Times New Roman" w:hAnsi="Times New Roman"/>
          <w:b/>
          <w:bCs/>
          <w:sz w:val="28"/>
          <w:szCs w:val="28"/>
        </w:rPr>
        <w:t>Топ-10 организаторов по размещению еврооблигаций российских заемщиков</w:t>
      </w:r>
      <w:r w:rsidR="00013639" w:rsidRPr="00E03C26">
        <w:rPr>
          <w:rStyle w:val="a5"/>
          <w:rFonts w:ascii="Times New Roman" w:hAnsi="Times New Roman"/>
          <w:b/>
          <w:bCs/>
          <w:sz w:val="28"/>
          <w:szCs w:val="28"/>
        </w:rPr>
        <w:footnoteReference w:id="13"/>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2443"/>
        <w:gridCol w:w="1302"/>
        <w:gridCol w:w="2067"/>
        <w:gridCol w:w="829"/>
        <w:gridCol w:w="1242"/>
      </w:tblGrid>
      <w:tr w:rsidR="00013639" w:rsidRPr="00934A49" w:rsidTr="00934A49">
        <w:tc>
          <w:tcPr>
            <w:tcW w:w="881" w:type="pct"/>
            <w:shd w:val="clear" w:color="auto" w:fill="auto"/>
          </w:tcPr>
          <w:p w:rsidR="00013639" w:rsidRPr="00934A49" w:rsidRDefault="00013639" w:rsidP="00934A49">
            <w:pPr>
              <w:widowControl w:val="0"/>
              <w:spacing w:after="0" w:line="360" w:lineRule="auto"/>
              <w:jc w:val="both"/>
              <w:rPr>
                <w:rFonts w:ascii="Times New Roman" w:hAnsi="Times New Roman"/>
                <w:b/>
                <w:bCs/>
                <w:sz w:val="20"/>
                <w:szCs w:val="20"/>
              </w:rPr>
            </w:pPr>
            <w:r w:rsidRPr="00934A49">
              <w:rPr>
                <w:rFonts w:ascii="Times New Roman" w:hAnsi="Times New Roman"/>
                <w:b/>
                <w:bCs/>
                <w:sz w:val="20"/>
                <w:szCs w:val="20"/>
              </w:rPr>
              <w:t>Место</w:t>
            </w:r>
          </w:p>
        </w:tc>
        <w:tc>
          <w:tcPr>
            <w:tcW w:w="1276" w:type="pct"/>
            <w:shd w:val="clear" w:color="auto" w:fill="auto"/>
          </w:tcPr>
          <w:p w:rsidR="00013639" w:rsidRPr="00934A49" w:rsidRDefault="00013639" w:rsidP="00934A49">
            <w:pPr>
              <w:widowControl w:val="0"/>
              <w:spacing w:after="0" w:line="360" w:lineRule="auto"/>
              <w:jc w:val="both"/>
              <w:rPr>
                <w:rFonts w:ascii="Times New Roman" w:hAnsi="Times New Roman"/>
                <w:b/>
                <w:bCs/>
                <w:sz w:val="20"/>
                <w:szCs w:val="20"/>
              </w:rPr>
            </w:pPr>
            <w:r w:rsidRPr="00934A49">
              <w:rPr>
                <w:rFonts w:ascii="Times New Roman" w:hAnsi="Times New Roman"/>
                <w:b/>
                <w:bCs/>
                <w:sz w:val="20"/>
                <w:szCs w:val="20"/>
              </w:rPr>
              <w:t>Банк</w:t>
            </w:r>
          </w:p>
        </w:tc>
        <w:tc>
          <w:tcPr>
            <w:tcW w:w="680" w:type="pct"/>
            <w:shd w:val="clear" w:color="auto" w:fill="auto"/>
          </w:tcPr>
          <w:p w:rsidR="00013639" w:rsidRPr="00934A49" w:rsidRDefault="00013639" w:rsidP="00934A49">
            <w:pPr>
              <w:widowControl w:val="0"/>
              <w:spacing w:after="0" w:line="360" w:lineRule="auto"/>
              <w:jc w:val="both"/>
              <w:rPr>
                <w:rFonts w:ascii="Times New Roman" w:hAnsi="Times New Roman"/>
                <w:b/>
                <w:bCs/>
                <w:sz w:val="20"/>
                <w:szCs w:val="20"/>
              </w:rPr>
            </w:pPr>
            <w:r w:rsidRPr="00934A49">
              <w:rPr>
                <w:rFonts w:ascii="Times New Roman" w:hAnsi="Times New Roman"/>
                <w:b/>
                <w:bCs/>
                <w:sz w:val="20"/>
                <w:szCs w:val="20"/>
              </w:rPr>
              <w:t>Объем ($</w:t>
            </w:r>
            <w:r w:rsidR="00E03C26" w:rsidRPr="00934A49">
              <w:rPr>
                <w:rFonts w:ascii="Times New Roman" w:hAnsi="Times New Roman"/>
                <w:b/>
                <w:bCs/>
                <w:sz w:val="20"/>
                <w:szCs w:val="20"/>
              </w:rPr>
              <w:t xml:space="preserve"> </w:t>
            </w:r>
            <w:r w:rsidRPr="00934A49">
              <w:rPr>
                <w:rFonts w:ascii="Times New Roman" w:hAnsi="Times New Roman"/>
                <w:b/>
                <w:bCs/>
                <w:sz w:val="20"/>
                <w:szCs w:val="20"/>
              </w:rPr>
              <w:t>млрд)</w:t>
            </w:r>
          </w:p>
        </w:tc>
        <w:tc>
          <w:tcPr>
            <w:tcW w:w="1080" w:type="pct"/>
            <w:shd w:val="clear" w:color="auto" w:fill="auto"/>
          </w:tcPr>
          <w:p w:rsidR="00013639" w:rsidRPr="00934A49" w:rsidRDefault="00013639" w:rsidP="00934A49">
            <w:pPr>
              <w:widowControl w:val="0"/>
              <w:spacing w:after="0" w:line="360" w:lineRule="auto"/>
              <w:jc w:val="both"/>
              <w:rPr>
                <w:rFonts w:ascii="Times New Roman" w:hAnsi="Times New Roman"/>
                <w:b/>
                <w:bCs/>
                <w:sz w:val="20"/>
                <w:szCs w:val="20"/>
              </w:rPr>
            </w:pPr>
            <w:r w:rsidRPr="00934A49">
              <w:rPr>
                <w:rFonts w:ascii="Times New Roman" w:hAnsi="Times New Roman"/>
                <w:b/>
                <w:bCs/>
                <w:sz w:val="20"/>
                <w:szCs w:val="20"/>
              </w:rPr>
              <w:t>Изм. за год</w:t>
            </w:r>
            <w:r w:rsidR="00E03C26" w:rsidRPr="00934A49">
              <w:rPr>
                <w:rFonts w:ascii="Times New Roman" w:hAnsi="Times New Roman"/>
                <w:b/>
                <w:bCs/>
                <w:sz w:val="20"/>
                <w:szCs w:val="20"/>
              </w:rPr>
              <w:t xml:space="preserve"> </w:t>
            </w:r>
            <w:r w:rsidRPr="00934A49">
              <w:rPr>
                <w:rFonts w:ascii="Times New Roman" w:hAnsi="Times New Roman"/>
                <w:b/>
                <w:bCs/>
                <w:sz w:val="20"/>
                <w:szCs w:val="20"/>
              </w:rPr>
              <w:t>(%)</w:t>
            </w:r>
          </w:p>
        </w:tc>
        <w:tc>
          <w:tcPr>
            <w:tcW w:w="433" w:type="pct"/>
            <w:shd w:val="clear" w:color="auto" w:fill="auto"/>
          </w:tcPr>
          <w:p w:rsidR="00013639" w:rsidRPr="00934A49" w:rsidRDefault="00013639" w:rsidP="00934A49">
            <w:pPr>
              <w:widowControl w:val="0"/>
              <w:spacing w:after="0" w:line="360" w:lineRule="auto"/>
              <w:jc w:val="both"/>
              <w:rPr>
                <w:rFonts w:ascii="Times New Roman" w:hAnsi="Times New Roman"/>
                <w:b/>
                <w:bCs/>
                <w:sz w:val="20"/>
                <w:szCs w:val="20"/>
              </w:rPr>
            </w:pPr>
            <w:r w:rsidRPr="00934A49">
              <w:rPr>
                <w:rFonts w:ascii="Times New Roman" w:hAnsi="Times New Roman"/>
                <w:b/>
                <w:bCs/>
                <w:sz w:val="20"/>
                <w:szCs w:val="20"/>
              </w:rPr>
              <w:t>Число</w:t>
            </w:r>
            <w:r w:rsidR="00E03C26" w:rsidRPr="00934A49">
              <w:rPr>
                <w:rFonts w:ascii="Times New Roman" w:hAnsi="Times New Roman"/>
                <w:b/>
                <w:bCs/>
                <w:sz w:val="20"/>
                <w:szCs w:val="20"/>
              </w:rPr>
              <w:t xml:space="preserve"> </w:t>
            </w:r>
            <w:r w:rsidRPr="00934A49">
              <w:rPr>
                <w:rFonts w:ascii="Times New Roman" w:hAnsi="Times New Roman"/>
                <w:b/>
                <w:bCs/>
                <w:sz w:val="20"/>
                <w:szCs w:val="20"/>
              </w:rPr>
              <w:t>сделок</w:t>
            </w:r>
          </w:p>
        </w:tc>
        <w:tc>
          <w:tcPr>
            <w:tcW w:w="649" w:type="pct"/>
            <w:shd w:val="clear" w:color="auto" w:fill="auto"/>
          </w:tcPr>
          <w:p w:rsidR="00013639" w:rsidRPr="00934A49" w:rsidRDefault="00013639" w:rsidP="00934A49">
            <w:pPr>
              <w:widowControl w:val="0"/>
              <w:spacing w:after="0" w:line="360" w:lineRule="auto"/>
              <w:jc w:val="both"/>
              <w:rPr>
                <w:rFonts w:ascii="Times New Roman" w:hAnsi="Times New Roman"/>
                <w:b/>
                <w:bCs/>
                <w:sz w:val="20"/>
                <w:szCs w:val="20"/>
              </w:rPr>
            </w:pPr>
            <w:r w:rsidRPr="00934A49">
              <w:rPr>
                <w:rFonts w:ascii="Times New Roman" w:hAnsi="Times New Roman"/>
                <w:b/>
                <w:bCs/>
                <w:sz w:val="20"/>
                <w:szCs w:val="20"/>
              </w:rPr>
              <w:t>Число</w:t>
            </w:r>
            <w:r w:rsidR="00E03C26" w:rsidRPr="00934A49">
              <w:rPr>
                <w:rFonts w:ascii="Times New Roman" w:hAnsi="Times New Roman"/>
                <w:b/>
                <w:bCs/>
                <w:sz w:val="20"/>
                <w:szCs w:val="20"/>
              </w:rPr>
              <w:t xml:space="preserve"> </w:t>
            </w:r>
            <w:r w:rsidRPr="00934A49">
              <w:rPr>
                <w:rFonts w:ascii="Times New Roman" w:hAnsi="Times New Roman"/>
                <w:b/>
                <w:bCs/>
                <w:sz w:val="20"/>
                <w:szCs w:val="20"/>
              </w:rPr>
              <w:t>эмитентов</w:t>
            </w:r>
          </w:p>
        </w:tc>
      </w:tr>
      <w:tr w:rsidR="00013639" w:rsidRPr="00934A49" w:rsidTr="00934A49">
        <w:tc>
          <w:tcPr>
            <w:tcW w:w="881" w:type="pct"/>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1</w:t>
            </w:r>
          </w:p>
        </w:tc>
        <w:tc>
          <w:tcPr>
            <w:tcW w:w="1276" w:type="pct"/>
            <w:shd w:val="clear" w:color="auto" w:fill="auto"/>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ABN AMRO</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3,67</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433,6</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15</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10</w:t>
            </w:r>
          </w:p>
        </w:tc>
      </w:tr>
      <w:tr w:rsidR="00013639" w:rsidRPr="00934A49" w:rsidTr="00934A49">
        <w:tc>
          <w:tcPr>
            <w:tcW w:w="881" w:type="pct"/>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2</w:t>
            </w:r>
          </w:p>
        </w:tc>
        <w:tc>
          <w:tcPr>
            <w:tcW w:w="1276" w:type="pct"/>
            <w:shd w:val="clear" w:color="auto" w:fill="auto"/>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Credit Suisse</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3,55</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38,5</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12</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8</w:t>
            </w:r>
          </w:p>
        </w:tc>
      </w:tr>
      <w:tr w:rsidR="00013639" w:rsidRPr="00934A49" w:rsidTr="00934A49">
        <w:tc>
          <w:tcPr>
            <w:tcW w:w="881" w:type="pct"/>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3</w:t>
            </w:r>
          </w:p>
        </w:tc>
        <w:tc>
          <w:tcPr>
            <w:tcW w:w="1276" w:type="pct"/>
            <w:shd w:val="clear" w:color="auto" w:fill="auto"/>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Citigroup</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3,51</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19,2</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13</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9</w:t>
            </w:r>
          </w:p>
        </w:tc>
      </w:tr>
      <w:tr w:rsidR="00013639" w:rsidRPr="00934A49" w:rsidTr="00934A49">
        <w:tc>
          <w:tcPr>
            <w:tcW w:w="881" w:type="pct"/>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4</w:t>
            </w:r>
          </w:p>
        </w:tc>
        <w:tc>
          <w:tcPr>
            <w:tcW w:w="1276" w:type="pct"/>
            <w:shd w:val="clear" w:color="auto" w:fill="auto"/>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Deutsche Bank</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3,32</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29,7</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15</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13</w:t>
            </w:r>
          </w:p>
        </w:tc>
      </w:tr>
      <w:tr w:rsidR="00013639" w:rsidRPr="00934A49" w:rsidTr="00934A49">
        <w:tc>
          <w:tcPr>
            <w:tcW w:w="881" w:type="pct"/>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5</w:t>
            </w:r>
          </w:p>
        </w:tc>
        <w:tc>
          <w:tcPr>
            <w:tcW w:w="1276" w:type="pct"/>
            <w:shd w:val="clear" w:color="auto" w:fill="auto"/>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UBS</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2,92</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11,4</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5</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2</w:t>
            </w:r>
          </w:p>
        </w:tc>
      </w:tr>
      <w:tr w:rsidR="00013639" w:rsidRPr="00934A49" w:rsidTr="00934A49">
        <w:tc>
          <w:tcPr>
            <w:tcW w:w="881" w:type="pct"/>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6</w:t>
            </w:r>
          </w:p>
        </w:tc>
        <w:tc>
          <w:tcPr>
            <w:tcW w:w="1276" w:type="pct"/>
            <w:shd w:val="clear" w:color="auto" w:fill="auto"/>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Morgan Stanley</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2,70</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556,9</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10</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8</w:t>
            </w:r>
          </w:p>
        </w:tc>
      </w:tr>
      <w:tr w:rsidR="00013639" w:rsidRPr="00934A49" w:rsidTr="00934A49">
        <w:tc>
          <w:tcPr>
            <w:tcW w:w="881" w:type="pct"/>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7</w:t>
            </w:r>
          </w:p>
        </w:tc>
        <w:tc>
          <w:tcPr>
            <w:tcW w:w="1276" w:type="pct"/>
            <w:shd w:val="clear" w:color="auto" w:fill="auto"/>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JP Morgan</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2,20</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-16,3</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9</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5</w:t>
            </w:r>
          </w:p>
        </w:tc>
      </w:tr>
      <w:tr w:rsidR="00013639" w:rsidRPr="00934A49" w:rsidTr="00934A49">
        <w:tc>
          <w:tcPr>
            <w:tcW w:w="881" w:type="pct"/>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8</w:t>
            </w:r>
          </w:p>
        </w:tc>
        <w:tc>
          <w:tcPr>
            <w:tcW w:w="1276" w:type="pct"/>
            <w:shd w:val="clear" w:color="auto" w:fill="auto"/>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Barclays Capital</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1,65</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-40,0</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4</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4</w:t>
            </w:r>
          </w:p>
        </w:tc>
      </w:tr>
      <w:tr w:rsidR="00013639" w:rsidRPr="00934A49" w:rsidTr="00934A49">
        <w:tc>
          <w:tcPr>
            <w:tcW w:w="881" w:type="pct"/>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9</w:t>
            </w:r>
          </w:p>
        </w:tc>
        <w:tc>
          <w:tcPr>
            <w:tcW w:w="1276" w:type="pct"/>
            <w:shd w:val="clear" w:color="auto" w:fill="auto"/>
          </w:tcPr>
          <w:p w:rsidR="00013639" w:rsidRPr="00934A49" w:rsidRDefault="00013639" w:rsidP="00934A49">
            <w:pPr>
              <w:widowControl w:val="0"/>
              <w:spacing w:after="0" w:line="360" w:lineRule="auto"/>
              <w:jc w:val="both"/>
              <w:rPr>
                <w:rFonts w:ascii="Times New Roman" w:hAnsi="Times New Roman"/>
                <w:sz w:val="20"/>
                <w:szCs w:val="20"/>
                <w:lang w:val="en-US"/>
              </w:rPr>
            </w:pPr>
            <w:r w:rsidRPr="00934A49">
              <w:rPr>
                <w:rFonts w:ascii="Times New Roman" w:hAnsi="Times New Roman"/>
                <w:sz w:val="20"/>
                <w:szCs w:val="20"/>
              </w:rPr>
              <w:t>ВТБ</w:t>
            </w:r>
            <w:r w:rsidRPr="00934A49">
              <w:rPr>
                <w:rFonts w:ascii="Times New Roman" w:hAnsi="Times New Roman"/>
                <w:sz w:val="20"/>
                <w:szCs w:val="20"/>
                <w:lang w:val="en-US"/>
              </w:rPr>
              <w:t xml:space="preserve"> (</w:t>
            </w:r>
            <w:r w:rsidRPr="00934A49">
              <w:rPr>
                <w:rFonts w:ascii="Times New Roman" w:hAnsi="Times New Roman"/>
                <w:sz w:val="20"/>
                <w:szCs w:val="20"/>
              </w:rPr>
              <w:t>включая</w:t>
            </w:r>
            <w:r w:rsidRPr="00934A49">
              <w:rPr>
                <w:rFonts w:ascii="Times New Roman" w:hAnsi="Times New Roman"/>
                <w:sz w:val="20"/>
                <w:szCs w:val="20"/>
                <w:lang w:val="en-US"/>
              </w:rPr>
              <w:t xml:space="preserve"> VTB Bank</w:t>
            </w:r>
            <w:r w:rsidR="00E03C26" w:rsidRPr="00934A49">
              <w:rPr>
                <w:rFonts w:ascii="Times New Roman" w:hAnsi="Times New Roman"/>
                <w:sz w:val="20"/>
                <w:szCs w:val="20"/>
                <w:lang w:val="en-US"/>
              </w:rPr>
              <w:t xml:space="preserve"> </w:t>
            </w:r>
            <w:r w:rsidRPr="00934A49">
              <w:rPr>
                <w:rFonts w:ascii="Times New Roman" w:hAnsi="Times New Roman"/>
                <w:sz w:val="20"/>
                <w:szCs w:val="20"/>
                <w:lang w:val="en-US"/>
              </w:rPr>
              <w:t>Europe (MNB))</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1,63</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4</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2</w:t>
            </w:r>
          </w:p>
        </w:tc>
      </w:tr>
      <w:tr w:rsidR="00013639" w:rsidRPr="00934A49" w:rsidTr="00934A49">
        <w:tc>
          <w:tcPr>
            <w:tcW w:w="881" w:type="pct"/>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10</w:t>
            </w:r>
          </w:p>
        </w:tc>
        <w:tc>
          <w:tcPr>
            <w:tcW w:w="1276" w:type="pct"/>
            <w:shd w:val="clear" w:color="auto" w:fill="auto"/>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Societe Generale</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1,53</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4</w:t>
            </w:r>
          </w:p>
        </w:tc>
        <w:tc>
          <w:tcPr>
            <w:tcW w:w="0" w:type="auto"/>
            <w:shd w:val="clear" w:color="auto" w:fill="auto"/>
            <w:noWrap/>
          </w:tcPr>
          <w:p w:rsidR="00013639" w:rsidRPr="00934A49" w:rsidRDefault="00013639" w:rsidP="00934A49">
            <w:pPr>
              <w:widowControl w:val="0"/>
              <w:spacing w:after="0" w:line="360" w:lineRule="auto"/>
              <w:jc w:val="both"/>
              <w:rPr>
                <w:rFonts w:ascii="Times New Roman" w:hAnsi="Times New Roman"/>
                <w:sz w:val="20"/>
                <w:szCs w:val="20"/>
              </w:rPr>
            </w:pPr>
            <w:r w:rsidRPr="00934A49">
              <w:rPr>
                <w:rFonts w:ascii="Times New Roman" w:hAnsi="Times New Roman"/>
                <w:sz w:val="20"/>
                <w:szCs w:val="20"/>
              </w:rPr>
              <w:t>2</w:t>
            </w:r>
          </w:p>
        </w:tc>
      </w:tr>
    </w:tbl>
    <w:p w:rsidR="00013639" w:rsidRPr="00E03C26" w:rsidRDefault="00013639" w:rsidP="00E03C26">
      <w:pPr>
        <w:widowControl w:val="0"/>
        <w:spacing w:after="0" w:line="360" w:lineRule="auto"/>
        <w:ind w:firstLine="709"/>
        <w:jc w:val="both"/>
        <w:rPr>
          <w:rFonts w:ascii="Times New Roman" w:hAnsi="Times New Roman"/>
          <w:b/>
          <w:sz w:val="28"/>
          <w:szCs w:val="28"/>
        </w:rPr>
      </w:pP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К концу 2007 года рынок еврооблигаций достиг $110 млрд. Большую долю на нем занимают компании финансового сектора (51,1%), следующим крупным сегментом является нефтегазовый сектор с 32%, горно-металлургическая промышленность (6,2%) и телекоммуникации (3,9%).</w:t>
      </w:r>
    </w:p>
    <w:p w:rsidR="00E03C26" w:rsidRDefault="00E03C26" w:rsidP="00E03C26">
      <w:pPr>
        <w:widowControl w:val="0"/>
        <w:spacing w:after="0" w:line="360" w:lineRule="auto"/>
        <w:ind w:firstLine="709"/>
        <w:jc w:val="both"/>
        <w:rPr>
          <w:rFonts w:ascii="Times New Roman" w:hAnsi="Times New Roman"/>
          <w:b/>
          <w:bCs/>
          <w:sz w:val="28"/>
          <w:szCs w:val="28"/>
        </w:rPr>
      </w:pPr>
    </w:p>
    <w:p w:rsidR="00013639" w:rsidRPr="00E03C26" w:rsidRDefault="00013639" w:rsidP="00E03C26">
      <w:pPr>
        <w:widowControl w:val="0"/>
        <w:spacing w:after="0" w:line="360" w:lineRule="auto"/>
        <w:ind w:firstLine="709"/>
        <w:jc w:val="both"/>
        <w:rPr>
          <w:rFonts w:ascii="Times New Roman" w:hAnsi="Times New Roman"/>
          <w:b/>
          <w:bCs/>
          <w:sz w:val="28"/>
          <w:szCs w:val="28"/>
        </w:rPr>
      </w:pPr>
      <w:r w:rsidRPr="00E03C26">
        <w:rPr>
          <w:rFonts w:ascii="Times New Roman" w:hAnsi="Times New Roman"/>
          <w:b/>
          <w:bCs/>
          <w:sz w:val="28"/>
          <w:szCs w:val="28"/>
        </w:rPr>
        <w:t>Отраслевая структура рынка облигаций</w:t>
      </w:r>
    </w:p>
    <w:p w:rsidR="00E03C26" w:rsidRDefault="00E03C26" w:rsidP="00E03C26">
      <w:pPr>
        <w:widowControl w:val="0"/>
        <w:spacing w:after="0" w:line="360" w:lineRule="auto"/>
        <w:ind w:firstLine="709"/>
        <w:jc w:val="both"/>
        <w:rPr>
          <w:rFonts w:ascii="Times New Roman" w:hAnsi="Times New Roman"/>
          <w:sz w:val="28"/>
          <w:szCs w:val="28"/>
        </w:rPr>
      </w:pP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Основным сегментом рынка рублевых облигаций является </w:t>
      </w:r>
      <w:r w:rsidRPr="00E03C26">
        <w:rPr>
          <w:rFonts w:ascii="Times New Roman" w:hAnsi="Times New Roman"/>
          <w:b/>
          <w:bCs/>
          <w:sz w:val="28"/>
          <w:szCs w:val="28"/>
        </w:rPr>
        <w:t>финансовый сектор</w:t>
      </w:r>
      <w:r w:rsidRPr="00E03C26">
        <w:rPr>
          <w:rFonts w:ascii="Times New Roman" w:hAnsi="Times New Roman"/>
          <w:sz w:val="28"/>
          <w:szCs w:val="28"/>
        </w:rPr>
        <w:t>. На его долю приходится порядка 30% от общего объема обращающихся рублевых выпусков и более 50% еврооблигаций.</w:t>
      </w:r>
      <w:r w:rsidR="00E03C26">
        <w:rPr>
          <w:rFonts w:ascii="Times New Roman" w:hAnsi="Times New Roman"/>
          <w:sz w:val="28"/>
          <w:szCs w:val="28"/>
        </w:rPr>
        <w:t xml:space="preserve"> </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Крупнейшим заемщиком в сегменте рублевых облигаций выступает ВТБ (11% финансового рублевого сектора), далее следует Россельхозбанк</w:t>
      </w:r>
      <w:r w:rsidR="00E03C26">
        <w:rPr>
          <w:rFonts w:ascii="Times New Roman" w:hAnsi="Times New Roman"/>
          <w:sz w:val="28"/>
          <w:szCs w:val="28"/>
        </w:rPr>
        <w:t xml:space="preserve"> </w:t>
      </w:r>
      <w:r w:rsidRPr="00E03C26">
        <w:rPr>
          <w:rFonts w:ascii="Times New Roman" w:hAnsi="Times New Roman"/>
          <w:sz w:val="28"/>
          <w:szCs w:val="28"/>
        </w:rPr>
        <w:t>и АИЖК, занимающие по 8%. Заметную долю на рынке имеет и Банк Русский Стандарт с 7%.</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В секторе еврооблигаций пятерка лидеров выглядит следующим образом: ВТБ – 23%, Газпромбанк – 9%, Банк Русский стандарт 8%, Россельхозбанк – 7%, Альфа Банк – 7%.</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 xml:space="preserve">Следующим крупным сегментом рынка облигаций является </w:t>
      </w:r>
      <w:r w:rsidRPr="00E03C26">
        <w:rPr>
          <w:rFonts w:ascii="Times New Roman" w:hAnsi="Times New Roman"/>
          <w:b/>
          <w:bCs/>
          <w:sz w:val="28"/>
          <w:szCs w:val="28"/>
        </w:rPr>
        <w:t>пищевая промышленность и розничная торговля</w:t>
      </w:r>
      <w:r w:rsidRPr="00E03C26">
        <w:rPr>
          <w:rFonts w:ascii="Times New Roman" w:hAnsi="Times New Roman"/>
          <w:sz w:val="28"/>
          <w:szCs w:val="28"/>
        </w:rPr>
        <w:t xml:space="preserve">, которые занимают в общей сложности 16% рублевого долгового рынка и 1,6% рынке евробондов. Крупнейшие заемщики X5 Retail Group и Копейка имеют долю всего по 6%, за ними следуют Магнит и Седьмой континент, имеющие по 4% рынка. Доля компаний, занимающих менее 2% отраслевого сегмента, составляет более 50%. </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bCs/>
          <w:sz w:val="28"/>
          <w:szCs w:val="28"/>
        </w:rPr>
        <w:t xml:space="preserve">Электроэнергетика. </w:t>
      </w:r>
      <w:r w:rsidRPr="00E03C26">
        <w:rPr>
          <w:rFonts w:ascii="Times New Roman" w:hAnsi="Times New Roman"/>
          <w:sz w:val="28"/>
          <w:szCs w:val="28"/>
        </w:rPr>
        <w:t>Вес этого сектора на рублевом рынке к концу 2007 года достиг 9% (0,2% рынке евробондов). В обращении находятся рублевые облигации 25 электроэнергетических компаний. Крупнейшим заемщиком в этой отрасли является ФСК ЕЭС (27%), за ней следует Мосэнерго (9%), Ленэнерго (5%) , МОЭСК (5%), ОГК-2 (4%).</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bCs/>
          <w:sz w:val="28"/>
          <w:szCs w:val="28"/>
        </w:rPr>
        <w:t>Машиностроение</w:t>
      </w:r>
      <w:r w:rsidRPr="00E03C26">
        <w:rPr>
          <w:rFonts w:ascii="Times New Roman" w:hAnsi="Times New Roman"/>
          <w:sz w:val="28"/>
          <w:szCs w:val="28"/>
        </w:rPr>
        <w:t xml:space="preserve"> занимает (8% рублевого долгового рынка, 0,8% еврооблигаций). Машиностроительные компании разместили несколько облигационных выпусков, эмитентами которых являются крупные предприятия. Крупнейшими заемщиками в этом сегменте являются Автоваз (11%), НПО «Сатурн» (8%), ГАЗ, ГСС, Уралвагонзавод, Промтрактор, Северсталь-Авто по 5%, МиГ, Трансмашхолдинг, Иркут, Уфимское МПО по 4%.</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bCs/>
          <w:sz w:val="28"/>
          <w:szCs w:val="28"/>
        </w:rPr>
        <w:t>Горно-металлургическая промышленность</w:t>
      </w:r>
      <w:r w:rsidRPr="00E03C26">
        <w:rPr>
          <w:rFonts w:ascii="Times New Roman" w:hAnsi="Times New Roman"/>
          <w:sz w:val="28"/>
          <w:szCs w:val="28"/>
        </w:rPr>
        <w:t xml:space="preserve"> (5% рублевого рынка, 6,2% рынка еврооблигаций). В рублевых облигациях этого сектора</w:t>
      </w:r>
      <w:r w:rsidR="00E03C26">
        <w:rPr>
          <w:rFonts w:ascii="Times New Roman" w:hAnsi="Times New Roman"/>
          <w:sz w:val="28"/>
          <w:szCs w:val="28"/>
        </w:rPr>
        <w:t xml:space="preserve"> </w:t>
      </w:r>
      <w:r w:rsidRPr="00E03C26">
        <w:rPr>
          <w:rFonts w:ascii="Times New Roman" w:hAnsi="Times New Roman"/>
          <w:sz w:val="28"/>
          <w:szCs w:val="28"/>
        </w:rPr>
        <w:t xml:space="preserve">крупнейшими заемщиками выступают Мечел – 13%, Кокс, ТМК по 10%, РусАл – 8%, Магнезит – 5%, Амурметал и Белон по 4%. </w:t>
      </w:r>
    </w:p>
    <w:p w:rsidR="00013639" w:rsidRPr="00E03C26" w:rsidRDefault="00E03C26" w:rsidP="00E03C2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13639" w:rsidRPr="00E03C26">
        <w:rPr>
          <w:rFonts w:ascii="Times New Roman" w:hAnsi="Times New Roman"/>
          <w:sz w:val="28"/>
          <w:szCs w:val="28"/>
        </w:rPr>
        <w:t>Структура этого сегмента в еврооблигациях выглядит совсем иначе. Здесь по объему привлеченных средств лидируют Алроса (30% отраслевого сегмента) и Евраз (21%), за ними следуют Северсталь (14%) и Норникель (10%).</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bCs/>
          <w:sz w:val="28"/>
          <w:szCs w:val="28"/>
        </w:rPr>
        <w:t>Телекоммуникационный сектор</w:t>
      </w:r>
      <w:r w:rsidRPr="00E03C26">
        <w:rPr>
          <w:rFonts w:ascii="Times New Roman" w:hAnsi="Times New Roman"/>
          <w:sz w:val="28"/>
          <w:szCs w:val="28"/>
        </w:rPr>
        <w:t xml:space="preserve"> (5% рынка рублевого долга, 3,9% еврооблигаций). В части рублевого долга он представлен 13-ю эмитентами. Крупнейшими заемщиками на рублевом рынке являются ЮТК – 18%, ЦентрТелеком – 14%, Волгателеком – 13%, Сибирьтелеком, Уралсвязьинформ - 11% , Сев.-Зап. Телеком – 8%.</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На рынке Еврооблигаций крупнейшими заемщиками являются компании сотовой связи Вымпелком – 33%,</w:t>
      </w:r>
      <w:r w:rsidR="00E03C26">
        <w:rPr>
          <w:rFonts w:ascii="Times New Roman" w:hAnsi="Times New Roman"/>
          <w:sz w:val="28"/>
          <w:szCs w:val="28"/>
        </w:rPr>
        <w:t xml:space="preserve"> </w:t>
      </w:r>
      <w:r w:rsidRPr="00E03C26">
        <w:rPr>
          <w:rFonts w:ascii="Times New Roman" w:hAnsi="Times New Roman"/>
          <w:sz w:val="28"/>
          <w:szCs w:val="28"/>
        </w:rPr>
        <w:t>МТС – 28%, АФК «Система» 16%, Мегафон – 9%.</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b/>
          <w:bCs/>
          <w:sz w:val="28"/>
          <w:szCs w:val="28"/>
        </w:rPr>
        <w:t>Нефтегазовый сектор</w:t>
      </w:r>
      <w:r w:rsidRPr="00E03C26">
        <w:rPr>
          <w:rFonts w:ascii="Times New Roman" w:hAnsi="Times New Roman"/>
          <w:sz w:val="28"/>
          <w:szCs w:val="28"/>
        </w:rPr>
        <w:t xml:space="preserve"> (доля в 2% на рублевом рынке и 31,5% на рынке еврооблигаций). Крупнейшим заемщиком выступает Газпром</w:t>
      </w:r>
      <w:r w:rsidR="00E03C26">
        <w:rPr>
          <w:rFonts w:ascii="Times New Roman" w:hAnsi="Times New Roman"/>
          <w:sz w:val="28"/>
          <w:szCs w:val="28"/>
        </w:rPr>
        <w:t xml:space="preserve"> </w:t>
      </w:r>
      <w:r w:rsidRPr="00E03C26">
        <w:rPr>
          <w:rFonts w:ascii="Times New Roman" w:hAnsi="Times New Roman"/>
          <w:sz w:val="28"/>
          <w:szCs w:val="28"/>
        </w:rPr>
        <w:t>с 23,5%, ЛУКОЙЛ – 20%, Стройтрансгаз – 8%, Русснефть – 7%.</w:t>
      </w:r>
    </w:p>
    <w:p w:rsidR="00013639" w:rsidRPr="00E03C26" w:rsidRDefault="00013639" w:rsidP="00E03C26">
      <w:pPr>
        <w:widowControl w:val="0"/>
        <w:spacing w:after="0" w:line="360" w:lineRule="auto"/>
        <w:ind w:firstLine="709"/>
        <w:jc w:val="both"/>
        <w:rPr>
          <w:rFonts w:ascii="Times New Roman" w:hAnsi="Times New Roman"/>
          <w:sz w:val="28"/>
          <w:szCs w:val="28"/>
        </w:rPr>
      </w:pPr>
      <w:r w:rsidRPr="00E03C26">
        <w:rPr>
          <w:rFonts w:ascii="Times New Roman" w:hAnsi="Times New Roman"/>
          <w:sz w:val="28"/>
          <w:szCs w:val="28"/>
        </w:rPr>
        <w:t>В еврооблигациях безусловным лидером является Газпром с 71%, ТНК-BP – 14%, Транснефть – 9%, ЛУКОЙЛ – 3%.</w:t>
      </w:r>
    </w:p>
    <w:p w:rsidR="00E03C26" w:rsidRPr="00934A49" w:rsidRDefault="00E03C26" w:rsidP="00E03C26">
      <w:pPr>
        <w:jc w:val="center"/>
        <w:rPr>
          <w:rFonts w:ascii="Times New Roman" w:hAnsi="Times New Roman"/>
          <w:color w:val="FFFFFF"/>
          <w:sz w:val="28"/>
          <w:szCs w:val="28"/>
        </w:rPr>
      </w:pPr>
    </w:p>
    <w:p w:rsidR="00013639" w:rsidRPr="00E03C26" w:rsidRDefault="00013639" w:rsidP="00E03C26">
      <w:pPr>
        <w:widowControl w:val="0"/>
        <w:spacing w:after="0" w:line="360" w:lineRule="auto"/>
        <w:ind w:firstLine="709"/>
        <w:jc w:val="both"/>
        <w:rPr>
          <w:rFonts w:ascii="Times New Roman" w:hAnsi="Times New Roman"/>
          <w:sz w:val="28"/>
          <w:szCs w:val="28"/>
        </w:rPr>
      </w:pPr>
      <w:bookmarkStart w:id="8" w:name="_GoBack"/>
      <w:bookmarkEnd w:id="8"/>
    </w:p>
    <w:sectPr w:rsidR="00013639" w:rsidRPr="00E03C26" w:rsidSect="00E03C26">
      <w:headerReference w:type="default" r:id="rId8"/>
      <w:footerReference w:type="even" r:id="rId9"/>
      <w:footerReference w:type="default" r:id="rId10"/>
      <w:headerReference w:type="first" r:id="rId11"/>
      <w:pgSz w:w="11906" w:h="16838" w:code="9"/>
      <w:pgMar w:top="1134" w:right="851" w:bottom="1134" w:left="1701" w:header="568"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49" w:rsidRDefault="00934A49" w:rsidP="00094852">
      <w:pPr>
        <w:spacing w:after="0" w:line="240" w:lineRule="auto"/>
      </w:pPr>
      <w:r>
        <w:separator/>
      </w:r>
    </w:p>
  </w:endnote>
  <w:endnote w:type="continuationSeparator" w:id="0">
    <w:p w:rsidR="00934A49" w:rsidRDefault="00934A49" w:rsidP="0009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9E" w:rsidRDefault="00CC609E" w:rsidP="004775C4">
    <w:pPr>
      <w:pStyle w:val="aa"/>
      <w:framePr w:wrap="around" w:vAnchor="text" w:hAnchor="margin" w:xAlign="center" w:y="1"/>
      <w:rPr>
        <w:rStyle w:val="ac"/>
      </w:rPr>
    </w:pPr>
  </w:p>
  <w:p w:rsidR="00CC609E" w:rsidRDefault="00CC609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09E" w:rsidRDefault="00C57AEE" w:rsidP="004775C4">
    <w:pPr>
      <w:pStyle w:val="aa"/>
      <w:framePr w:wrap="around" w:vAnchor="text" w:hAnchor="margin" w:xAlign="center" w:y="1"/>
      <w:rPr>
        <w:rStyle w:val="ac"/>
      </w:rPr>
    </w:pPr>
    <w:r>
      <w:rPr>
        <w:rStyle w:val="ac"/>
        <w:noProof/>
      </w:rPr>
      <w:t>2</w:t>
    </w:r>
  </w:p>
  <w:p w:rsidR="00CC609E" w:rsidRDefault="00CC60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49" w:rsidRDefault="00934A49" w:rsidP="00094852">
      <w:pPr>
        <w:spacing w:after="0" w:line="240" w:lineRule="auto"/>
      </w:pPr>
      <w:r>
        <w:separator/>
      </w:r>
    </w:p>
  </w:footnote>
  <w:footnote w:type="continuationSeparator" w:id="0">
    <w:p w:rsidR="00934A49" w:rsidRDefault="00934A49" w:rsidP="00094852">
      <w:pPr>
        <w:spacing w:after="0" w:line="240" w:lineRule="auto"/>
      </w:pPr>
      <w:r>
        <w:continuationSeparator/>
      </w:r>
    </w:p>
  </w:footnote>
  <w:footnote w:id="1">
    <w:p w:rsidR="00934A49" w:rsidRDefault="00CC609E" w:rsidP="00E03C26">
      <w:pPr>
        <w:spacing w:after="0" w:line="240" w:lineRule="auto"/>
        <w:jc w:val="both"/>
      </w:pPr>
      <w:r w:rsidRPr="004922E4">
        <w:rPr>
          <w:rStyle w:val="a5"/>
          <w:rFonts w:ascii="Times New Roman" w:hAnsi="Times New Roman"/>
          <w:sz w:val="24"/>
          <w:szCs w:val="24"/>
        </w:rPr>
        <w:footnoteRef/>
      </w:r>
      <w:r w:rsidRPr="004922E4">
        <w:rPr>
          <w:rFonts w:ascii="Times New Roman" w:hAnsi="Times New Roman"/>
          <w:sz w:val="24"/>
          <w:szCs w:val="24"/>
        </w:rPr>
        <w:t xml:space="preserve"> </w:t>
      </w:r>
      <w:r w:rsidRPr="00E03C26">
        <w:rPr>
          <w:rFonts w:ascii="Times New Roman" w:hAnsi="Times New Roman"/>
          <w:sz w:val="24"/>
          <w:szCs w:val="24"/>
        </w:rPr>
        <w:t>http://biglibrary.ru/category45/book134/part23/</w:t>
      </w:r>
      <w:r w:rsidRPr="004922E4">
        <w:rPr>
          <w:rFonts w:ascii="Times New Roman" w:hAnsi="Times New Roman"/>
          <w:sz w:val="24"/>
          <w:szCs w:val="24"/>
        </w:rPr>
        <w:t xml:space="preserve"> - Большая библиотека - Жуков Евгений Федорович «Рынок ценных бумаг (2009)» </w:t>
      </w:r>
    </w:p>
  </w:footnote>
  <w:footnote w:id="2">
    <w:p w:rsidR="00934A49" w:rsidRDefault="00CC609E" w:rsidP="00E03C26">
      <w:pPr>
        <w:spacing w:after="0" w:line="240" w:lineRule="auto"/>
        <w:jc w:val="both"/>
      </w:pPr>
      <w:r w:rsidRPr="00751674">
        <w:rPr>
          <w:rStyle w:val="a5"/>
          <w:rFonts w:ascii="Times New Roman" w:hAnsi="Times New Roman"/>
          <w:sz w:val="24"/>
          <w:szCs w:val="24"/>
        </w:rPr>
        <w:footnoteRef/>
      </w:r>
      <w:r w:rsidRPr="00751674">
        <w:rPr>
          <w:rFonts w:ascii="Times New Roman" w:hAnsi="Times New Roman"/>
          <w:sz w:val="24"/>
          <w:szCs w:val="24"/>
        </w:rPr>
        <w:t xml:space="preserve"> http://www.mzb.ru/rubric5/entry27/ - Московский займовый банк</w:t>
      </w:r>
    </w:p>
  </w:footnote>
  <w:footnote w:id="3">
    <w:p w:rsidR="00934A49" w:rsidRDefault="00CC609E" w:rsidP="00E03C26">
      <w:pPr>
        <w:pStyle w:val="a3"/>
        <w:spacing w:after="0" w:line="240" w:lineRule="auto"/>
        <w:jc w:val="both"/>
      </w:pPr>
      <w:r w:rsidRPr="00751674">
        <w:rPr>
          <w:rStyle w:val="a5"/>
          <w:rFonts w:ascii="Times New Roman" w:hAnsi="Times New Roman"/>
          <w:sz w:val="24"/>
          <w:szCs w:val="24"/>
        </w:rPr>
        <w:footnoteRef/>
      </w:r>
      <w:r w:rsidRPr="00751674">
        <w:rPr>
          <w:rFonts w:ascii="Times New Roman" w:hAnsi="Times New Roman"/>
          <w:sz w:val="24"/>
          <w:szCs w:val="24"/>
        </w:rPr>
        <w:t xml:space="preserve"> Рынок ценных бумаг: Учеб. пособие для вузов/Под ред. проф. Е.Ф.Жукова. – М.:ЮНИТИ-ДАНА, 2003. – С. 39.</w:t>
      </w:r>
    </w:p>
  </w:footnote>
  <w:footnote w:id="4">
    <w:p w:rsidR="00934A49" w:rsidRDefault="00CC609E" w:rsidP="00751674">
      <w:pPr>
        <w:spacing w:line="240" w:lineRule="auto"/>
      </w:pPr>
      <w:r w:rsidRPr="004922E4">
        <w:rPr>
          <w:rStyle w:val="a5"/>
          <w:rFonts w:ascii="Times New Roman" w:hAnsi="Times New Roman"/>
          <w:sz w:val="24"/>
          <w:szCs w:val="24"/>
        </w:rPr>
        <w:footnoteRef/>
      </w:r>
      <w:r w:rsidRPr="004922E4">
        <w:rPr>
          <w:rFonts w:ascii="Times New Roman" w:hAnsi="Times New Roman"/>
          <w:sz w:val="24"/>
          <w:szCs w:val="24"/>
        </w:rPr>
        <w:t xml:space="preserve"> http://www.tisbi.ru/Resource/Lib/literat/pcb.htm</w:t>
      </w:r>
      <w:r w:rsidR="00E03C26">
        <w:rPr>
          <w:rFonts w:ascii="Times New Roman" w:hAnsi="Times New Roman"/>
          <w:sz w:val="24"/>
          <w:szCs w:val="24"/>
        </w:rPr>
        <w:t xml:space="preserve"> </w:t>
      </w:r>
      <w:r w:rsidRPr="004922E4">
        <w:rPr>
          <w:rFonts w:ascii="Times New Roman" w:hAnsi="Times New Roman"/>
          <w:sz w:val="24"/>
          <w:szCs w:val="24"/>
        </w:rPr>
        <w:t>- Аюпов А.А. - Краткий курс лекций – Производные ценные бумаги (2009 год).</w:t>
      </w:r>
    </w:p>
  </w:footnote>
  <w:footnote w:id="5">
    <w:p w:rsidR="00934A49" w:rsidRDefault="00CC609E" w:rsidP="00E03C26">
      <w:pPr>
        <w:spacing w:after="0"/>
      </w:pPr>
      <w:r w:rsidRPr="00A4689B">
        <w:rPr>
          <w:rStyle w:val="a5"/>
          <w:rFonts w:ascii="Times New Roman" w:hAnsi="Times New Roman"/>
          <w:sz w:val="24"/>
          <w:szCs w:val="24"/>
        </w:rPr>
        <w:footnoteRef/>
      </w:r>
      <w:r w:rsidRPr="00A4689B">
        <w:rPr>
          <w:rFonts w:ascii="Times New Roman" w:hAnsi="Times New Roman"/>
          <w:sz w:val="24"/>
          <w:szCs w:val="24"/>
        </w:rPr>
        <w:t xml:space="preserve"> </w:t>
      </w:r>
      <w:r w:rsidRPr="00E03C26">
        <w:rPr>
          <w:rFonts w:ascii="Times New Roman" w:hAnsi="Times New Roman"/>
          <w:sz w:val="24"/>
          <w:szCs w:val="24"/>
        </w:rPr>
        <w:t>http://www.alchemyfinances.com/futures-hedj.html</w:t>
      </w:r>
      <w:r w:rsidRPr="00A4689B">
        <w:rPr>
          <w:rFonts w:ascii="Times New Roman" w:hAnsi="Times New Roman"/>
          <w:sz w:val="24"/>
          <w:szCs w:val="24"/>
        </w:rPr>
        <w:t xml:space="preserve"> - Алхимия финансов - Хеджирование.</w:t>
      </w:r>
    </w:p>
  </w:footnote>
  <w:footnote w:id="6">
    <w:p w:rsidR="00934A49" w:rsidRDefault="00CC609E" w:rsidP="00E03C26">
      <w:pPr>
        <w:spacing w:after="0"/>
      </w:pPr>
      <w:r w:rsidRPr="00A4689B">
        <w:rPr>
          <w:rStyle w:val="a5"/>
          <w:rFonts w:ascii="Times New Roman" w:hAnsi="Times New Roman"/>
          <w:sz w:val="24"/>
          <w:szCs w:val="24"/>
        </w:rPr>
        <w:footnoteRef/>
      </w:r>
      <w:r w:rsidRPr="00A4689B">
        <w:rPr>
          <w:rFonts w:ascii="Times New Roman" w:hAnsi="Times New Roman"/>
          <w:sz w:val="24"/>
          <w:szCs w:val="24"/>
        </w:rPr>
        <w:t xml:space="preserve"> </w:t>
      </w:r>
      <w:r w:rsidRPr="00E03C26">
        <w:rPr>
          <w:rFonts w:ascii="Times New Roman" w:hAnsi="Times New Roman"/>
          <w:sz w:val="24"/>
          <w:szCs w:val="24"/>
        </w:rPr>
        <w:t>http://www.fortsmarket.ru/2010/хеджирование-опционами/</w:t>
      </w:r>
      <w:r w:rsidRPr="00A4689B">
        <w:rPr>
          <w:rFonts w:ascii="Times New Roman" w:hAnsi="Times New Roman"/>
          <w:sz w:val="24"/>
          <w:szCs w:val="24"/>
        </w:rPr>
        <w:t xml:space="preserve"> - ФОФ: Фьючерсы-Опционы-Форварды – Хеджирование опционами.</w:t>
      </w:r>
    </w:p>
  </w:footnote>
  <w:footnote w:id="7">
    <w:p w:rsidR="00934A49" w:rsidRDefault="00CC609E" w:rsidP="002C53FB">
      <w:pPr>
        <w:tabs>
          <w:tab w:val="left" w:pos="360"/>
        </w:tabs>
        <w:spacing w:after="0" w:line="240" w:lineRule="auto"/>
        <w:jc w:val="both"/>
      </w:pPr>
      <w:r w:rsidRPr="002C53FB">
        <w:rPr>
          <w:rStyle w:val="a5"/>
          <w:rFonts w:ascii="Times New Roman" w:hAnsi="Times New Roman"/>
          <w:sz w:val="24"/>
          <w:szCs w:val="24"/>
        </w:rPr>
        <w:footnoteRef/>
      </w:r>
      <w:r w:rsidRPr="002C53FB">
        <w:rPr>
          <w:rFonts w:ascii="Times New Roman" w:hAnsi="Times New Roman"/>
          <w:sz w:val="24"/>
          <w:szCs w:val="24"/>
        </w:rPr>
        <w:t xml:space="preserve"> Лебедев, А. Е. Производные ценные бумаги: их роль в финансовой глобализации и значение для России/ А. Е. Лебедев // Проблемы прогнозирования. - 2004. - N 2. - С. 16-24.</w:t>
      </w:r>
    </w:p>
  </w:footnote>
  <w:footnote w:id="8">
    <w:p w:rsidR="00934A49" w:rsidRDefault="00CC609E" w:rsidP="00E03C26">
      <w:pPr>
        <w:spacing w:after="0" w:line="240" w:lineRule="auto"/>
        <w:jc w:val="both"/>
      </w:pPr>
      <w:r>
        <w:rPr>
          <w:rStyle w:val="a5"/>
        </w:rPr>
        <w:footnoteRef/>
      </w:r>
      <w:r>
        <w:t xml:space="preserve"> </w:t>
      </w:r>
      <w:r w:rsidRPr="00E03C26">
        <w:rPr>
          <w:rFonts w:ascii="Times New Roman" w:hAnsi="Times New Roman"/>
          <w:sz w:val="24"/>
          <w:szCs w:val="24"/>
        </w:rPr>
        <w:t>http://www.mzb.ru/rubric5/</w:t>
      </w:r>
      <w:r w:rsidR="00E03C26">
        <w:rPr>
          <w:rFonts w:ascii="Times New Roman" w:hAnsi="Times New Roman"/>
          <w:sz w:val="24"/>
          <w:szCs w:val="24"/>
        </w:rPr>
        <w:t xml:space="preserve"> </w:t>
      </w:r>
      <w:r w:rsidRPr="00A4689B">
        <w:rPr>
          <w:rFonts w:ascii="Times New Roman" w:hAnsi="Times New Roman"/>
          <w:sz w:val="24"/>
          <w:szCs w:val="24"/>
        </w:rPr>
        <w:t>- Московский займовый банк</w:t>
      </w:r>
    </w:p>
  </w:footnote>
  <w:footnote w:id="9">
    <w:p w:rsidR="00934A49" w:rsidRDefault="00CC609E" w:rsidP="00E03C26">
      <w:pPr>
        <w:pStyle w:val="a3"/>
        <w:spacing w:after="0" w:line="240" w:lineRule="auto"/>
      </w:pPr>
      <w:r>
        <w:rPr>
          <w:rStyle w:val="a5"/>
        </w:rPr>
        <w:footnoteRef/>
      </w:r>
      <w:r>
        <w:t xml:space="preserve"> </w:t>
      </w:r>
      <w:r w:rsidRPr="00236CDC">
        <w:rPr>
          <w:rFonts w:ascii="Times New Roman" w:hAnsi="Times New Roman"/>
          <w:sz w:val="24"/>
          <w:szCs w:val="24"/>
        </w:rPr>
        <w:t>Рынок ценных бумаг - Кафедральный конспект лекций</w:t>
      </w:r>
      <w:r w:rsidR="00E03C26">
        <w:rPr>
          <w:rFonts w:ascii="Times New Roman" w:hAnsi="Times New Roman"/>
          <w:sz w:val="24"/>
          <w:szCs w:val="24"/>
        </w:rPr>
        <w:t xml:space="preserve"> </w:t>
      </w:r>
      <w:r w:rsidRPr="00236CDC">
        <w:rPr>
          <w:rFonts w:ascii="Times New Roman" w:hAnsi="Times New Roman"/>
          <w:sz w:val="24"/>
          <w:szCs w:val="24"/>
        </w:rPr>
        <w:t>- подготовлен доцентом Н.П. Нишатовым.</w:t>
      </w:r>
    </w:p>
  </w:footnote>
  <w:footnote w:id="10">
    <w:p w:rsidR="00934A49" w:rsidRDefault="00CC609E" w:rsidP="00E03C26">
      <w:pPr>
        <w:spacing w:after="0" w:line="240" w:lineRule="auto"/>
        <w:jc w:val="both"/>
      </w:pPr>
      <w:r w:rsidRPr="00236CDC">
        <w:rPr>
          <w:rStyle w:val="a5"/>
          <w:rFonts w:ascii="Times New Roman" w:hAnsi="Times New Roman"/>
          <w:sz w:val="24"/>
          <w:szCs w:val="24"/>
        </w:rPr>
        <w:footnoteRef/>
      </w:r>
      <w:r w:rsidRPr="00236CDC">
        <w:rPr>
          <w:rFonts w:ascii="Times New Roman" w:hAnsi="Times New Roman"/>
          <w:sz w:val="24"/>
          <w:szCs w:val="24"/>
        </w:rPr>
        <w:t xml:space="preserve"> Рынок ценных бумаг и биржевое дело: Учебник для вузов /Под ред. проф. О.И. Дегтяревой, проф. Н.М. Коршунова, проф. Е.Ф. Жукова. - М.: ЮНИТИ-ДАНА, 2004. </w:t>
      </w:r>
      <w:r>
        <w:rPr>
          <w:rFonts w:ascii="Times New Roman" w:hAnsi="Times New Roman"/>
          <w:sz w:val="24"/>
          <w:szCs w:val="24"/>
        </w:rPr>
        <w:t>–</w:t>
      </w:r>
      <w:r w:rsidRPr="00236CDC">
        <w:rPr>
          <w:rFonts w:ascii="Times New Roman" w:hAnsi="Times New Roman"/>
          <w:sz w:val="24"/>
          <w:szCs w:val="24"/>
        </w:rPr>
        <w:t xml:space="preserve"> </w:t>
      </w:r>
      <w:r>
        <w:rPr>
          <w:rFonts w:ascii="Times New Roman" w:hAnsi="Times New Roman"/>
          <w:sz w:val="24"/>
          <w:szCs w:val="24"/>
        </w:rPr>
        <w:t>С. 344.</w:t>
      </w:r>
    </w:p>
  </w:footnote>
  <w:footnote w:id="11">
    <w:p w:rsidR="00934A49" w:rsidRDefault="00CC609E" w:rsidP="00E03C26">
      <w:pPr>
        <w:pStyle w:val="a3"/>
        <w:spacing w:after="0"/>
      </w:pPr>
      <w:r>
        <w:rPr>
          <w:rStyle w:val="a5"/>
        </w:rPr>
        <w:footnoteRef/>
      </w:r>
      <w:r>
        <w:t xml:space="preserve"> </w:t>
      </w:r>
      <w:r w:rsidRPr="00236CDC">
        <w:rPr>
          <w:rFonts w:ascii="Times New Roman" w:hAnsi="Times New Roman"/>
          <w:sz w:val="24"/>
          <w:szCs w:val="24"/>
        </w:rPr>
        <w:t>Базовый курс по рынку ценных бумаг. Под ред.Кокорева Р.А. М., 2008</w:t>
      </w:r>
      <w:r>
        <w:rPr>
          <w:rFonts w:ascii="Times New Roman" w:hAnsi="Times New Roman"/>
          <w:sz w:val="24"/>
          <w:szCs w:val="24"/>
        </w:rPr>
        <w:t>.</w:t>
      </w:r>
      <w:r w:rsidRPr="00236CDC">
        <w:rPr>
          <w:rFonts w:ascii="Times New Roman" w:hAnsi="Times New Roman"/>
          <w:sz w:val="24"/>
          <w:szCs w:val="24"/>
        </w:rPr>
        <w:t xml:space="preserve"> </w:t>
      </w:r>
      <w:r>
        <w:rPr>
          <w:rFonts w:ascii="Times New Roman" w:hAnsi="Times New Roman"/>
          <w:sz w:val="24"/>
          <w:szCs w:val="24"/>
        </w:rPr>
        <w:t>– С. 163.</w:t>
      </w:r>
    </w:p>
  </w:footnote>
  <w:footnote w:id="12">
    <w:p w:rsidR="00934A49" w:rsidRDefault="00CC609E" w:rsidP="00E03C26">
      <w:pPr>
        <w:spacing w:after="0" w:line="240" w:lineRule="auto"/>
        <w:jc w:val="both"/>
      </w:pPr>
      <w:r w:rsidRPr="008B0963">
        <w:rPr>
          <w:rStyle w:val="a5"/>
          <w:rFonts w:ascii="Times New Roman" w:hAnsi="Times New Roman"/>
          <w:sz w:val="24"/>
          <w:szCs w:val="24"/>
        </w:rPr>
        <w:footnoteRef/>
      </w:r>
      <w:r w:rsidRPr="008B0963">
        <w:rPr>
          <w:rFonts w:ascii="Times New Roman" w:hAnsi="Times New Roman"/>
          <w:sz w:val="24"/>
          <w:szCs w:val="24"/>
        </w:rPr>
        <w:t xml:space="preserve"> </w:t>
      </w:r>
      <w:r w:rsidRPr="00E03C26">
        <w:rPr>
          <w:rFonts w:ascii="Times New Roman" w:hAnsi="Times New Roman"/>
          <w:sz w:val="24"/>
          <w:szCs w:val="24"/>
        </w:rPr>
        <w:t>http://www.globfin.ru/articles/shares/japan.htm</w:t>
      </w:r>
      <w:r w:rsidR="00E03C26">
        <w:rPr>
          <w:rFonts w:ascii="Times New Roman" w:hAnsi="Times New Roman"/>
          <w:sz w:val="24"/>
          <w:szCs w:val="24"/>
        </w:rPr>
        <w:t xml:space="preserve"> </w:t>
      </w:r>
      <w:r w:rsidRPr="008B0963">
        <w:rPr>
          <w:rFonts w:ascii="Times New Roman" w:hAnsi="Times New Roman"/>
          <w:sz w:val="24"/>
          <w:szCs w:val="24"/>
        </w:rPr>
        <w:t>- Мировая экономика - Финансы и инвестиции</w:t>
      </w:r>
    </w:p>
  </w:footnote>
  <w:footnote w:id="13">
    <w:p w:rsidR="00934A49" w:rsidRDefault="00013639" w:rsidP="00E03C26">
      <w:pPr>
        <w:pStyle w:val="a3"/>
        <w:spacing w:after="0"/>
        <w:jc w:val="both"/>
      </w:pPr>
      <w:r>
        <w:rPr>
          <w:rStyle w:val="a5"/>
        </w:rPr>
        <w:footnoteRef/>
      </w:r>
      <w:r>
        <w:t xml:space="preserve"> </w:t>
      </w:r>
      <w:r w:rsidRPr="00C57AEE">
        <w:rPr>
          <w:rFonts w:ascii="Times New Roman" w:hAnsi="Times New Roman"/>
        </w:rPr>
        <w:t xml:space="preserve">Газета </w:t>
      </w:r>
      <w:r w:rsidRPr="00137B63">
        <w:rPr>
          <w:rStyle w:val="ae"/>
          <w:rFonts w:ascii="Times New Roman" w:hAnsi="Times New Roman"/>
          <w:bCs/>
        </w:rPr>
        <w:t>«Коммерсантъ»</w:t>
      </w:r>
      <w:r w:rsidR="00E03C26" w:rsidRPr="00C57AEE">
        <w:rPr>
          <w:rFonts w:ascii="Times New Roman" w:hAnsi="Times New Roman"/>
        </w:rPr>
        <w:t xml:space="preserve"> </w:t>
      </w:r>
      <w:r w:rsidRPr="00C57AEE">
        <w:rPr>
          <w:rFonts w:ascii="Times New Roman" w:hAnsi="Times New Roman"/>
        </w:rPr>
        <w:t>№</w:t>
      </w:r>
      <w:r w:rsidR="00E03C26" w:rsidRPr="00C57AEE">
        <w:rPr>
          <w:rFonts w:ascii="Times New Roman" w:hAnsi="Times New Roman"/>
        </w:rPr>
        <w:t xml:space="preserve"> </w:t>
      </w:r>
      <w:r w:rsidRPr="00C57AEE">
        <w:rPr>
          <w:rFonts w:ascii="Times New Roman" w:hAnsi="Times New Roman"/>
        </w:rPr>
        <w:t>7 (3824)</w:t>
      </w:r>
      <w:r w:rsidR="00E03C26" w:rsidRPr="00C57AEE">
        <w:rPr>
          <w:rFonts w:ascii="Times New Roman" w:hAnsi="Times New Roman"/>
        </w:rPr>
        <w:t xml:space="preserve"> </w:t>
      </w:r>
      <w:r w:rsidRPr="00C57AEE">
        <w:rPr>
          <w:rFonts w:ascii="Times New Roman" w:hAnsi="Times New Roman"/>
        </w:rPr>
        <w:t>от</w:t>
      </w:r>
      <w:r w:rsidR="00E03C26" w:rsidRPr="00C57AEE">
        <w:rPr>
          <w:rFonts w:ascii="Times New Roman" w:hAnsi="Times New Roman"/>
        </w:rPr>
        <w:t xml:space="preserve"> </w:t>
      </w:r>
      <w:r w:rsidRPr="00C57AEE">
        <w:rPr>
          <w:rFonts w:ascii="Times New Roman" w:hAnsi="Times New Roman"/>
        </w:rPr>
        <w:t>22.01.2008</w:t>
      </w:r>
      <w:r w:rsidR="00E03C26" w:rsidRPr="00C57AEE">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26" w:rsidRPr="00E03C26" w:rsidRDefault="00E03C26" w:rsidP="00E03C26">
    <w:pPr>
      <w:spacing w:after="0"/>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C26" w:rsidRPr="00E03C26" w:rsidRDefault="00E03C26" w:rsidP="00E03C26">
    <w:pPr>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E3088"/>
    <w:multiLevelType w:val="hybridMultilevel"/>
    <w:tmpl w:val="3732E7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7F4592"/>
    <w:multiLevelType w:val="hybridMultilevel"/>
    <w:tmpl w:val="633A3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CF7AAE"/>
    <w:multiLevelType w:val="hybridMultilevel"/>
    <w:tmpl w:val="95B4B8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6823C74"/>
    <w:multiLevelType w:val="hybridMultilevel"/>
    <w:tmpl w:val="C6FE8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9CF3FC5"/>
    <w:multiLevelType w:val="multilevel"/>
    <w:tmpl w:val="4336C5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D2C4C7F"/>
    <w:multiLevelType w:val="hybridMultilevel"/>
    <w:tmpl w:val="E68AC4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71F9"/>
    <w:rsid w:val="00013329"/>
    <w:rsid w:val="00013639"/>
    <w:rsid w:val="000411A1"/>
    <w:rsid w:val="00067BE6"/>
    <w:rsid w:val="00071F18"/>
    <w:rsid w:val="00094852"/>
    <w:rsid w:val="00096D5B"/>
    <w:rsid w:val="001365A2"/>
    <w:rsid w:val="00137B63"/>
    <w:rsid w:val="00177E96"/>
    <w:rsid w:val="001825D7"/>
    <w:rsid w:val="001A3ECA"/>
    <w:rsid w:val="001E2057"/>
    <w:rsid w:val="001F07E7"/>
    <w:rsid w:val="001F7F5A"/>
    <w:rsid w:val="0020158A"/>
    <w:rsid w:val="00236279"/>
    <w:rsid w:val="00236CDC"/>
    <w:rsid w:val="00254C0A"/>
    <w:rsid w:val="002C53FB"/>
    <w:rsid w:val="00312FF6"/>
    <w:rsid w:val="00344461"/>
    <w:rsid w:val="00377CB9"/>
    <w:rsid w:val="003B10D3"/>
    <w:rsid w:val="003C7824"/>
    <w:rsid w:val="004448F4"/>
    <w:rsid w:val="004775C4"/>
    <w:rsid w:val="004922E4"/>
    <w:rsid w:val="004B0491"/>
    <w:rsid w:val="004B5A31"/>
    <w:rsid w:val="004C2CE7"/>
    <w:rsid w:val="004D19DE"/>
    <w:rsid w:val="004E6488"/>
    <w:rsid w:val="005174C5"/>
    <w:rsid w:val="00555077"/>
    <w:rsid w:val="00584036"/>
    <w:rsid w:val="005A6E52"/>
    <w:rsid w:val="005D0127"/>
    <w:rsid w:val="005D3BE8"/>
    <w:rsid w:val="00603744"/>
    <w:rsid w:val="00632253"/>
    <w:rsid w:val="00640943"/>
    <w:rsid w:val="00664A0A"/>
    <w:rsid w:val="00696127"/>
    <w:rsid w:val="006B7E78"/>
    <w:rsid w:val="006C538A"/>
    <w:rsid w:val="00747DC5"/>
    <w:rsid w:val="00751674"/>
    <w:rsid w:val="00751868"/>
    <w:rsid w:val="00780D1E"/>
    <w:rsid w:val="00782BF8"/>
    <w:rsid w:val="007A4B6E"/>
    <w:rsid w:val="008035B2"/>
    <w:rsid w:val="008040CA"/>
    <w:rsid w:val="008459F4"/>
    <w:rsid w:val="00870950"/>
    <w:rsid w:val="00894CA1"/>
    <w:rsid w:val="008A39E8"/>
    <w:rsid w:val="008B0963"/>
    <w:rsid w:val="008F2980"/>
    <w:rsid w:val="00920CF4"/>
    <w:rsid w:val="009304E6"/>
    <w:rsid w:val="00934A49"/>
    <w:rsid w:val="00953480"/>
    <w:rsid w:val="00980425"/>
    <w:rsid w:val="00987BD8"/>
    <w:rsid w:val="009935A5"/>
    <w:rsid w:val="009C7B5F"/>
    <w:rsid w:val="00A4689B"/>
    <w:rsid w:val="00A56400"/>
    <w:rsid w:val="00A90E2D"/>
    <w:rsid w:val="00AB7558"/>
    <w:rsid w:val="00AD3C7D"/>
    <w:rsid w:val="00B135DD"/>
    <w:rsid w:val="00B65153"/>
    <w:rsid w:val="00B812C0"/>
    <w:rsid w:val="00B84721"/>
    <w:rsid w:val="00B9057A"/>
    <w:rsid w:val="00BE1CAF"/>
    <w:rsid w:val="00C316AE"/>
    <w:rsid w:val="00C57AEE"/>
    <w:rsid w:val="00C9079F"/>
    <w:rsid w:val="00C96566"/>
    <w:rsid w:val="00CA71F9"/>
    <w:rsid w:val="00CC609E"/>
    <w:rsid w:val="00D02AC2"/>
    <w:rsid w:val="00D87378"/>
    <w:rsid w:val="00D971ED"/>
    <w:rsid w:val="00E03C26"/>
    <w:rsid w:val="00E47508"/>
    <w:rsid w:val="00E90E99"/>
    <w:rsid w:val="00EB2418"/>
    <w:rsid w:val="00FD6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5E27291-60B2-45AB-A5A1-4A7C1EA2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920CF4"/>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20CF4"/>
    <w:rPr>
      <w:rFonts w:ascii="Cambria" w:hAnsi="Cambria"/>
      <w:b/>
      <w:kern w:val="32"/>
      <w:sz w:val="32"/>
    </w:rPr>
  </w:style>
  <w:style w:type="paragraph" w:styleId="a3">
    <w:name w:val="footnote text"/>
    <w:basedOn w:val="a"/>
    <w:link w:val="a4"/>
    <w:uiPriority w:val="99"/>
    <w:semiHidden/>
    <w:unhideWhenUsed/>
    <w:rsid w:val="00094852"/>
    <w:rPr>
      <w:sz w:val="20"/>
      <w:szCs w:val="20"/>
    </w:rPr>
  </w:style>
  <w:style w:type="character" w:customStyle="1" w:styleId="a4">
    <w:name w:val="Текст сноски Знак"/>
    <w:link w:val="a3"/>
    <w:uiPriority w:val="99"/>
    <w:semiHidden/>
    <w:locked/>
    <w:rsid w:val="00094852"/>
    <w:rPr>
      <w:rFonts w:cs="Times New Roman"/>
    </w:rPr>
  </w:style>
  <w:style w:type="character" w:styleId="a5">
    <w:name w:val="footnote reference"/>
    <w:uiPriority w:val="99"/>
    <w:semiHidden/>
    <w:unhideWhenUsed/>
    <w:rsid w:val="00094852"/>
    <w:rPr>
      <w:vertAlign w:val="superscript"/>
    </w:rPr>
  </w:style>
  <w:style w:type="character" w:styleId="a6">
    <w:name w:val="Hyperlink"/>
    <w:uiPriority w:val="99"/>
    <w:unhideWhenUsed/>
    <w:rsid w:val="00555077"/>
    <w:rPr>
      <w:color w:val="0000FF"/>
      <w:u w:val="single"/>
    </w:rPr>
  </w:style>
  <w:style w:type="character" w:styleId="a7">
    <w:name w:val="FollowedHyperlink"/>
    <w:uiPriority w:val="99"/>
    <w:semiHidden/>
    <w:unhideWhenUsed/>
    <w:rsid w:val="00555077"/>
    <w:rPr>
      <w:color w:val="800080"/>
      <w:u w:val="single"/>
    </w:rPr>
  </w:style>
  <w:style w:type="paragraph" w:styleId="a8">
    <w:name w:val="header"/>
    <w:basedOn w:val="a"/>
    <w:link w:val="a9"/>
    <w:uiPriority w:val="99"/>
    <w:semiHidden/>
    <w:unhideWhenUsed/>
    <w:rsid w:val="00751674"/>
    <w:pPr>
      <w:tabs>
        <w:tab w:val="center" w:pos="4677"/>
        <w:tab w:val="right" w:pos="9355"/>
      </w:tabs>
    </w:pPr>
  </w:style>
  <w:style w:type="character" w:customStyle="1" w:styleId="a9">
    <w:name w:val="Верхний колонтитул Знак"/>
    <w:link w:val="a8"/>
    <w:uiPriority w:val="99"/>
    <w:semiHidden/>
    <w:locked/>
    <w:rsid w:val="00751674"/>
    <w:rPr>
      <w:sz w:val="22"/>
    </w:rPr>
  </w:style>
  <w:style w:type="paragraph" w:styleId="aa">
    <w:name w:val="footer"/>
    <w:basedOn w:val="a"/>
    <w:link w:val="ab"/>
    <w:uiPriority w:val="99"/>
    <w:unhideWhenUsed/>
    <w:rsid w:val="00751674"/>
    <w:pPr>
      <w:tabs>
        <w:tab w:val="center" w:pos="4677"/>
        <w:tab w:val="right" w:pos="9355"/>
      </w:tabs>
    </w:pPr>
  </w:style>
  <w:style w:type="character" w:customStyle="1" w:styleId="ab">
    <w:name w:val="Нижний колонтитул Знак"/>
    <w:link w:val="aa"/>
    <w:uiPriority w:val="99"/>
    <w:locked/>
    <w:rsid w:val="00751674"/>
    <w:rPr>
      <w:sz w:val="22"/>
    </w:rPr>
  </w:style>
  <w:style w:type="character" w:styleId="ac">
    <w:name w:val="page number"/>
    <w:uiPriority w:val="99"/>
    <w:rsid w:val="00E47508"/>
    <w:rPr>
      <w:rFonts w:cs="Times New Roman"/>
    </w:rPr>
  </w:style>
  <w:style w:type="paragraph" w:styleId="11">
    <w:name w:val="toc 1"/>
    <w:basedOn w:val="a"/>
    <w:next w:val="a"/>
    <w:autoRedefine/>
    <w:uiPriority w:val="39"/>
    <w:unhideWhenUsed/>
    <w:rsid w:val="00920CF4"/>
  </w:style>
  <w:style w:type="table" w:styleId="ad">
    <w:name w:val="Table Grid"/>
    <w:basedOn w:val="a1"/>
    <w:uiPriority w:val="59"/>
    <w:rsid w:val="008B0963"/>
    <w:pPr>
      <w:spacing w:after="200" w:line="276"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01363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5975</Words>
  <Characters>34058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Тур</dc:creator>
  <cp:keywords/>
  <dc:description/>
  <cp:lastModifiedBy>admin</cp:lastModifiedBy>
  <cp:revision>2</cp:revision>
  <dcterms:created xsi:type="dcterms:W3CDTF">2014-03-25T10:12:00Z</dcterms:created>
  <dcterms:modified xsi:type="dcterms:W3CDTF">2014-03-25T10:12:00Z</dcterms:modified>
</cp:coreProperties>
</file>