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4D" w:rsidRPr="000F055B" w:rsidRDefault="00D8774D" w:rsidP="000F055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ОГЛАВЛЕНИЕ</w:t>
      </w:r>
    </w:p>
    <w:p w:rsidR="00D8774D" w:rsidRPr="000F055B" w:rsidRDefault="00D8774D" w:rsidP="000F055B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423ED5" w:rsidRPr="000F055B" w:rsidRDefault="00423ED5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Введение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Обоснование необходимости применения и вида АППЗ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Выбор типа установки пожаротушения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Проектирование установки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Проектирование системы СПС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Комп</w:t>
      </w:r>
      <w:r w:rsidR="00B006B1" w:rsidRPr="000F055B">
        <w:rPr>
          <w:sz w:val="28"/>
          <w:szCs w:val="28"/>
        </w:rPr>
        <w:t>о</w:t>
      </w:r>
      <w:r w:rsidRPr="000F055B">
        <w:rPr>
          <w:sz w:val="28"/>
          <w:szCs w:val="28"/>
        </w:rPr>
        <w:t>новка основных узлов и описание работы установки АППЗ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Краткая инструкция по эксплуатации установок АППЗ</w:t>
      </w:r>
    </w:p>
    <w:p w:rsidR="000D6C07" w:rsidRPr="000F055B" w:rsidRDefault="000D6C07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Вывод</w:t>
      </w:r>
    </w:p>
    <w:p w:rsidR="00D8774D" w:rsidRPr="000F055B" w:rsidRDefault="00D8774D" w:rsidP="000F055B">
      <w:pPr>
        <w:spacing w:line="360" w:lineRule="auto"/>
        <w:ind w:firstLine="0"/>
        <w:rPr>
          <w:sz w:val="28"/>
          <w:szCs w:val="28"/>
        </w:rPr>
      </w:pPr>
      <w:r w:rsidRPr="000F055B">
        <w:rPr>
          <w:sz w:val="28"/>
          <w:szCs w:val="28"/>
        </w:rPr>
        <w:t>Литература</w:t>
      </w:r>
    </w:p>
    <w:p w:rsidR="00D8774D" w:rsidRPr="000F055B" w:rsidRDefault="00D8774D" w:rsidP="000F055B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D8774D" w:rsidRPr="000F055B" w:rsidRDefault="00DC3730" w:rsidP="000F05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055B">
        <w:rPr>
          <w:sz w:val="28"/>
          <w:szCs w:val="28"/>
        </w:rPr>
        <w:br w:type="page"/>
      </w:r>
      <w:r w:rsidR="00D8774D" w:rsidRPr="000F055B">
        <w:rPr>
          <w:b/>
          <w:bCs/>
          <w:iCs/>
          <w:sz w:val="28"/>
          <w:szCs w:val="28"/>
        </w:rPr>
        <w:t>ВВЕДЕНИЕ</w:t>
      </w:r>
    </w:p>
    <w:p w:rsidR="000F055B" w:rsidRDefault="000F055B" w:rsidP="000F055B">
      <w:pPr>
        <w:pStyle w:val="a3"/>
        <w:ind w:firstLine="709"/>
        <w:rPr>
          <w:sz w:val="28"/>
          <w:szCs w:val="28"/>
        </w:rPr>
      </w:pPr>
    </w:p>
    <w:p w:rsidR="00D8774D" w:rsidRPr="000F055B" w:rsidRDefault="00D8774D" w:rsidP="000F055B">
      <w:pPr>
        <w:pStyle w:val="a3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Широкий размах культурного, жилищного и промышленного строительства, изменение структуры современного производства, высокая степень концентрации материальных ценностей, переход к сооружению зданий повышенной этажности требуют применения эффективных мер противопожарной защиты. Как показывает опыт, эффективным направлением в решении проблемы противопожарной защиты объектов народного хозяйства является массовое внедрение устройств и систем пожарной сигнализации и пожаротушения. Ранее обнаружение небольшого очага пожара пожарным извещателем и передача тревожного сигнала на дежурный пульт позволяет своевременно принять необходимые меры и ликвидировать очаг пожара на начальной стадии его развития.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Системы АПЗ – комплекс сложных технических устройств, обеспечивающих пожарную безопасность людей, технологического оборудования, материальных ценностей и строительных конструкций зданий и сооружений. Такие системы без участия человека обнаруживают загорание, подают сигнал тревоги и ликвидируют пожары в начальной стадии их развития. Они являются неотъемлемой частью оснащения современных зданий и сооружений средствами техники безопасности и охране труда.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Системы АПЗ все шире применяют в самых различных объектах различных форм собственности. Непрерывно повышается эффективность технических средств АПЗ, расширяется их специализация.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 современных устройствах и системах АППЗ широко используются научные достижения автоматики и электроники, обеспечивающие их высокую надежность и эффективность.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Анализируя факты роста возникновения пожаров, нетрудно сделать вывод о том, что темпы развертывания противопожарной защиты запаздывают по сравнению с темпами роста материализованной пожарной опасности, находящей выражения в новых изделиях, оборудовании, машинах технологии. Вследствие этого и количество возникших пожаров, и ущерб от них имеют явные тенденции к росту. На подавление этих тенденций затрагиваются значительные материальные и людские ресурсы в т. ч. и средства пожарной автоматики. Эти тенденции можно стабилизировать и даже добиться их снижения, если на всех уровнях противопожарной опасности: на стадиях научно-исследовательских разработок, опытно-конструкторских разработок, опытного производства. Благодаря этому станет возможным своевременное обнаружение потенциально пожароопасных разработок, принятие мер к устранению источников опасности.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данном курсовом проекте </w:t>
      </w:r>
      <w:r w:rsidR="00DC3730" w:rsidRPr="000F055B">
        <w:rPr>
          <w:sz w:val="28"/>
          <w:szCs w:val="28"/>
        </w:rPr>
        <w:t xml:space="preserve">я </w:t>
      </w:r>
      <w:r w:rsidR="00FF080D" w:rsidRPr="000F055B">
        <w:rPr>
          <w:sz w:val="28"/>
          <w:szCs w:val="28"/>
        </w:rPr>
        <w:t>разрабатываю</w:t>
      </w:r>
      <w:r w:rsidRPr="000F055B">
        <w:rPr>
          <w:sz w:val="28"/>
          <w:szCs w:val="28"/>
        </w:rPr>
        <w:t xml:space="preserve"> автоматическую противопожарную защиту для </w:t>
      </w:r>
      <w:r w:rsidR="00DC3730" w:rsidRPr="000F055B">
        <w:rPr>
          <w:sz w:val="28"/>
          <w:szCs w:val="28"/>
        </w:rPr>
        <w:t>окрасочной камеры с применением ЛВЖ</w:t>
      </w:r>
      <w:r w:rsidRPr="000F055B">
        <w:rPr>
          <w:sz w:val="28"/>
          <w:szCs w:val="28"/>
        </w:rPr>
        <w:t xml:space="preserve"> (</w:t>
      </w:r>
      <w:r w:rsidR="00A92A50" w:rsidRPr="000F055B">
        <w:rPr>
          <w:sz w:val="28"/>
          <w:szCs w:val="28"/>
        </w:rPr>
        <w:t>2</w:t>
      </w:r>
      <w:r w:rsidR="00DC3730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>х1</w:t>
      </w:r>
      <w:r w:rsidR="00A92A50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>х</w:t>
      </w:r>
      <w:r w:rsidR="00A92A50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>).</w:t>
      </w:r>
    </w:p>
    <w:p w:rsidR="000F055B" w:rsidRDefault="000F055B" w:rsidP="000F055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8774D" w:rsidRPr="000F055B" w:rsidRDefault="00DC3730" w:rsidP="000F05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055B">
        <w:rPr>
          <w:b/>
          <w:bCs/>
          <w:sz w:val="28"/>
          <w:szCs w:val="28"/>
        </w:rPr>
        <w:br w:type="page"/>
      </w:r>
      <w:r w:rsidR="00D8774D" w:rsidRPr="000F055B">
        <w:rPr>
          <w:b/>
          <w:bCs/>
          <w:iCs/>
          <w:sz w:val="28"/>
          <w:szCs w:val="28"/>
        </w:rPr>
        <w:t>ОБОСНОВАНИЕ НЕОБХОДИМОСТИ ПРИМЕНЕНИЯ И ВИДА АППЗ ДЛЯ ЗАДАННЫХ ПОМЕЩЕНИЙ</w:t>
      </w:r>
    </w:p>
    <w:p w:rsid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Пожарной автоматикой оборудуются все здания и помещения с высокой пожарной опасностью. Существует два подхода к вопросу применения пожарной автоматики – детерминированный и вероятностный [15].</w:t>
      </w:r>
    </w:p>
    <w:p w:rsidR="00DC3730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Детерминированные требования по выбору пожарной автоматики изложены в нормативных документах </w:t>
      </w:r>
      <w:r w:rsidR="00D22C2C" w:rsidRPr="000F055B">
        <w:rPr>
          <w:sz w:val="28"/>
          <w:szCs w:val="28"/>
        </w:rPr>
        <w:t>–</w:t>
      </w:r>
      <w:r w:rsidRPr="000F055B">
        <w:rPr>
          <w:sz w:val="28"/>
          <w:szCs w:val="28"/>
        </w:rPr>
        <w:t xml:space="preserve"> строительных нормах и правилах (СНиП) и строительных нормах Беларуси (СНБ), а также перечнях проектируемых, реконструируемых и те</w:t>
      </w:r>
      <w:r w:rsidR="00293BD3" w:rsidRPr="000F055B">
        <w:rPr>
          <w:sz w:val="28"/>
          <w:szCs w:val="28"/>
        </w:rPr>
        <w:t xml:space="preserve">хнически </w:t>
      </w:r>
      <w:r w:rsidRPr="000F055B">
        <w:rPr>
          <w:sz w:val="28"/>
          <w:szCs w:val="28"/>
        </w:rPr>
        <w:t>перево</w:t>
      </w:r>
      <w:r w:rsidR="00293BD3" w:rsidRPr="000F055B">
        <w:rPr>
          <w:sz w:val="28"/>
          <w:szCs w:val="28"/>
        </w:rPr>
        <w:t>о</w:t>
      </w:r>
      <w:r w:rsidRPr="000F055B">
        <w:rPr>
          <w:sz w:val="28"/>
          <w:szCs w:val="28"/>
        </w:rPr>
        <w:t>ружаемых зданий и помещений объектов народного хозяйства республиканских министерств, ведомств и обществ, подлежащих оборудованию автоматическими средствами пожаротушения и автоматической пожарной сигнализации (по министерствам). Очевидно, что детерминированный метод определения необходимости АППЗ и ее вида базируется на усредненных показателях пожарной опасности помещений. Кроме того, он не может быстро откликаться на новые технологические процессы, изменения в их режимах, изменения пожарной нагрузки в помещениях</w:t>
      </w:r>
      <w:r w:rsidRPr="000F055B">
        <w:rPr>
          <w:b/>
          <w:bCs/>
          <w:sz w:val="28"/>
          <w:szCs w:val="28"/>
        </w:rPr>
        <w:t xml:space="preserve"> </w:t>
      </w:r>
      <w:r w:rsidRPr="000F055B">
        <w:rPr>
          <w:sz w:val="28"/>
          <w:szCs w:val="28"/>
        </w:rPr>
        <w:t>и т.д. Поэтому в тех случаях, когда нормативное обоснование необходимости и вида АППЗ отсутствует или при необходимости распространения положения норматива на новое производство, используется вероятностный метод на основе [16].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Вероятностный подход по применению пожарной автоматики основан на соблюдении необходимого уровня обеспечения пожарной безопасности людей и материальных ценностей. Базовыми данными для расчета являются классификация объектов по взрывопожарной и пожарной опасности, характеристика путей эвакуации, критическая продолжительность пожара, статистические данные по пожарам. Данный метод базируется на сложных расчетах и используется гораздо реже, чем детерминированный.</w:t>
      </w:r>
    </w:p>
    <w:p w:rsidR="00E07C03" w:rsidRPr="000F055B" w:rsidRDefault="00E07C0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нашем случае необходимо обосновать вид установки АППЗ для </w:t>
      </w:r>
      <w:r w:rsidR="00DC3730" w:rsidRPr="000F055B">
        <w:rPr>
          <w:sz w:val="28"/>
          <w:szCs w:val="28"/>
        </w:rPr>
        <w:t>окрасочной камеры с применением ЛВЖ</w:t>
      </w:r>
      <w:r w:rsidRPr="000F055B">
        <w:rPr>
          <w:sz w:val="28"/>
          <w:szCs w:val="28"/>
        </w:rPr>
        <w:t xml:space="preserve"> (</w:t>
      </w:r>
      <w:r w:rsidR="00F40092" w:rsidRPr="000F055B">
        <w:rPr>
          <w:sz w:val="28"/>
          <w:szCs w:val="28"/>
        </w:rPr>
        <w:t>2</w:t>
      </w:r>
      <w:r w:rsidR="00DC3730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>х1</w:t>
      </w:r>
      <w:r w:rsidR="00F40092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>х</w:t>
      </w:r>
      <w:r w:rsidR="00F40092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 xml:space="preserve">). Площадь помещения составляет </w:t>
      </w:r>
      <w:r w:rsidR="00482A9A" w:rsidRPr="000F055B">
        <w:rPr>
          <w:sz w:val="28"/>
          <w:szCs w:val="28"/>
        </w:rPr>
        <w:t>3</w:t>
      </w:r>
      <w:r w:rsidR="00DC3730" w:rsidRPr="000F055B">
        <w:rPr>
          <w:sz w:val="28"/>
          <w:szCs w:val="28"/>
        </w:rPr>
        <w:t>0</w:t>
      </w:r>
      <w:r w:rsidR="00482A9A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 xml:space="preserve"> м</w:t>
      </w:r>
      <w:r w:rsidR="00467E4D" w:rsidRPr="000F055B">
        <w:rPr>
          <w:sz w:val="28"/>
          <w:szCs w:val="28"/>
          <w:vertAlign w:val="superscript"/>
        </w:rPr>
        <w:t>2</w:t>
      </w:r>
      <w:r w:rsidRPr="000F055B">
        <w:rPr>
          <w:sz w:val="28"/>
          <w:szCs w:val="28"/>
        </w:rPr>
        <w:t>. Согласно [1</w:t>
      </w:r>
      <w:r w:rsidR="00467E4D" w:rsidRPr="000F055B">
        <w:rPr>
          <w:sz w:val="28"/>
          <w:szCs w:val="28"/>
        </w:rPr>
        <w:t>6</w:t>
      </w:r>
      <w:r w:rsidRPr="000F055B">
        <w:rPr>
          <w:sz w:val="28"/>
          <w:szCs w:val="28"/>
        </w:rPr>
        <w:t>], являющегося нормативным документом в Республике Беларусь, необходима защита автоматическими установками пожаротушения.</w:t>
      </w:r>
    </w:p>
    <w:p w:rsidR="000F055B" w:rsidRDefault="000F055B" w:rsidP="000F055B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D8774D" w:rsidRDefault="00D8774D" w:rsidP="000F055B">
      <w:pPr>
        <w:tabs>
          <w:tab w:val="left" w:pos="2268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ВЫБОР ТИПА УСТАНОВКИ ПОЖАРОТУШЕНИЯ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Тип установки пожаротушения определяется выбранным огнетушащим средством, методом тушения и побудительной системой.</w:t>
      </w:r>
    </w:p>
    <w:p w:rsidR="003327BF" w:rsidRPr="000F055B" w:rsidRDefault="003327B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Выбор вида огнетушащего средства производится с учетом совместимости его свойств со свойствами веществ и материалов, подлежащих тушению. Так как </w:t>
      </w:r>
      <w:r w:rsidR="004B3CCC" w:rsidRPr="000F055B">
        <w:rPr>
          <w:sz w:val="28"/>
          <w:szCs w:val="28"/>
        </w:rPr>
        <w:t xml:space="preserve">в </w:t>
      </w:r>
      <w:r w:rsidR="005A45AB" w:rsidRPr="000F055B">
        <w:rPr>
          <w:sz w:val="28"/>
          <w:szCs w:val="28"/>
        </w:rPr>
        <w:t xml:space="preserve">книгохранилище библиотеки </w:t>
      </w:r>
      <w:r w:rsidRPr="000F055B">
        <w:rPr>
          <w:sz w:val="28"/>
          <w:szCs w:val="28"/>
        </w:rPr>
        <w:t xml:space="preserve">сконцентрировано большое количество </w:t>
      </w:r>
      <w:r w:rsidR="005A45AB" w:rsidRPr="000F055B">
        <w:rPr>
          <w:sz w:val="28"/>
          <w:szCs w:val="28"/>
        </w:rPr>
        <w:t>книг</w:t>
      </w:r>
      <w:r w:rsidR="004D77C1" w:rsidRPr="000F055B">
        <w:rPr>
          <w:sz w:val="28"/>
          <w:szCs w:val="28"/>
        </w:rPr>
        <w:t>,</w:t>
      </w:r>
      <w:r w:rsidR="004B3CCC" w:rsidRPr="000F055B">
        <w:rPr>
          <w:sz w:val="28"/>
          <w:szCs w:val="28"/>
        </w:rPr>
        <w:t xml:space="preserve"> </w:t>
      </w:r>
      <w:r w:rsidR="005A45AB" w:rsidRPr="000F055B">
        <w:rPr>
          <w:sz w:val="28"/>
          <w:szCs w:val="28"/>
        </w:rPr>
        <w:t xml:space="preserve">некоторые из них представляют историческую ценность, </w:t>
      </w:r>
      <w:r w:rsidRPr="000F055B">
        <w:rPr>
          <w:sz w:val="28"/>
          <w:szCs w:val="28"/>
        </w:rPr>
        <w:t>необходимо выбрать максимально эффективное огнетушащее средство для успешного тушения</w:t>
      </w:r>
      <w:r w:rsidR="005A45AB" w:rsidRPr="000F055B">
        <w:rPr>
          <w:sz w:val="28"/>
          <w:szCs w:val="28"/>
        </w:rPr>
        <w:t xml:space="preserve"> пожара и сохранности</w:t>
      </w:r>
      <w:r w:rsidRPr="000F055B">
        <w:rPr>
          <w:sz w:val="28"/>
          <w:szCs w:val="28"/>
        </w:rPr>
        <w:t>.</w:t>
      </w:r>
    </w:p>
    <w:p w:rsidR="003327BF" w:rsidRPr="000F055B" w:rsidRDefault="003327BF" w:rsidP="000F055B">
      <w:pPr>
        <w:pStyle w:val="a5"/>
        <w:spacing w:after="0"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Так, согласно табл. 4.1 [6] средством для тушения </w:t>
      </w:r>
      <w:r w:rsidR="00642956" w:rsidRPr="000F055B">
        <w:rPr>
          <w:sz w:val="28"/>
          <w:szCs w:val="28"/>
        </w:rPr>
        <w:t xml:space="preserve">веществ и </w:t>
      </w:r>
      <w:r w:rsidRPr="000F055B">
        <w:rPr>
          <w:sz w:val="28"/>
          <w:szCs w:val="28"/>
        </w:rPr>
        <w:t xml:space="preserve">материалов, </w:t>
      </w:r>
      <w:r w:rsidR="004D77C1" w:rsidRPr="000F055B">
        <w:rPr>
          <w:sz w:val="28"/>
          <w:szCs w:val="28"/>
        </w:rPr>
        <w:t xml:space="preserve">находящихся в </w:t>
      </w:r>
      <w:r w:rsidR="00642956" w:rsidRPr="000F055B">
        <w:rPr>
          <w:sz w:val="28"/>
          <w:szCs w:val="28"/>
        </w:rPr>
        <w:t xml:space="preserve">окрасочной камере с применением ЛВЖ, является вода, </w:t>
      </w:r>
      <w:r w:rsidRPr="000F055B">
        <w:rPr>
          <w:sz w:val="28"/>
          <w:szCs w:val="28"/>
        </w:rPr>
        <w:t>вода со смачивателями</w:t>
      </w:r>
      <w:r w:rsidR="00642956" w:rsidRPr="000F055B">
        <w:rPr>
          <w:sz w:val="28"/>
          <w:szCs w:val="28"/>
        </w:rPr>
        <w:t xml:space="preserve"> или</w:t>
      </w:r>
      <w:r w:rsidRPr="000F055B">
        <w:rPr>
          <w:sz w:val="28"/>
          <w:szCs w:val="28"/>
        </w:rPr>
        <w:t xml:space="preserve"> пена низкой кратности.</w:t>
      </w:r>
    </w:p>
    <w:p w:rsidR="003327BF" w:rsidRPr="000F055B" w:rsidRDefault="003327B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Принимаем </w:t>
      </w:r>
      <w:r w:rsidR="00651E1A" w:rsidRPr="000F055B">
        <w:rPr>
          <w:sz w:val="28"/>
          <w:szCs w:val="28"/>
        </w:rPr>
        <w:t>пену низкой кратности</w:t>
      </w:r>
      <w:r w:rsidRPr="000F055B">
        <w:rPr>
          <w:sz w:val="28"/>
          <w:szCs w:val="28"/>
        </w:rPr>
        <w:t xml:space="preserve"> как наиболее эффективное огнетушащее средство (</w:t>
      </w:r>
      <w:r w:rsidR="00651E1A" w:rsidRPr="000F055B">
        <w:rPr>
          <w:sz w:val="28"/>
          <w:szCs w:val="28"/>
        </w:rPr>
        <w:t xml:space="preserve">в том числе </w:t>
      </w:r>
      <w:r w:rsidRPr="000F055B">
        <w:rPr>
          <w:sz w:val="28"/>
          <w:szCs w:val="28"/>
        </w:rPr>
        <w:t>по совместимости с горючими материалами).</w:t>
      </w:r>
    </w:p>
    <w:p w:rsidR="001738D3" w:rsidRPr="000F055B" w:rsidRDefault="001738D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При пожарах </w:t>
      </w:r>
      <w:r w:rsidR="00BE04B7" w:rsidRPr="000F055B">
        <w:rPr>
          <w:sz w:val="28"/>
          <w:szCs w:val="28"/>
        </w:rPr>
        <w:t xml:space="preserve">в цехах </w:t>
      </w:r>
      <w:r w:rsidR="00651E1A" w:rsidRPr="000F055B">
        <w:rPr>
          <w:sz w:val="28"/>
          <w:szCs w:val="28"/>
        </w:rPr>
        <w:t>окрасочных камерах</w:t>
      </w:r>
      <w:r w:rsidR="00BE04B7" w:rsidRP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динамика развития пожара зависит от размещения</w:t>
      </w:r>
      <w:r w:rsidR="00BE04B7" w:rsidRPr="000F055B">
        <w:rPr>
          <w:sz w:val="28"/>
          <w:szCs w:val="28"/>
        </w:rPr>
        <w:t xml:space="preserve"> и </w:t>
      </w:r>
      <w:r w:rsidRPr="000F055B">
        <w:rPr>
          <w:sz w:val="28"/>
          <w:szCs w:val="28"/>
        </w:rPr>
        <w:t xml:space="preserve">загруженности (наличия </w:t>
      </w:r>
      <w:r w:rsidR="00651E1A" w:rsidRPr="000F055B">
        <w:rPr>
          <w:sz w:val="28"/>
          <w:szCs w:val="28"/>
        </w:rPr>
        <w:t>ЛВЖ, лакокрасочных материалов</w:t>
      </w:r>
      <w:r w:rsidRPr="000F055B">
        <w:rPr>
          <w:sz w:val="28"/>
          <w:szCs w:val="28"/>
        </w:rPr>
        <w:t xml:space="preserve"> и </w:t>
      </w:r>
      <w:r w:rsidR="00651E1A" w:rsidRPr="000F055B">
        <w:rPr>
          <w:sz w:val="28"/>
          <w:szCs w:val="28"/>
        </w:rPr>
        <w:t xml:space="preserve">используемого </w:t>
      </w:r>
      <w:r w:rsidRPr="000F055B">
        <w:rPr>
          <w:sz w:val="28"/>
          <w:szCs w:val="28"/>
        </w:rPr>
        <w:t>оборудования</w:t>
      </w:r>
      <w:r w:rsidR="00651E1A" w:rsidRPr="000F055B">
        <w:rPr>
          <w:sz w:val="28"/>
          <w:szCs w:val="28"/>
        </w:rPr>
        <w:t xml:space="preserve"> для окраски</w:t>
      </w:r>
      <w:r w:rsidRPr="000F055B">
        <w:rPr>
          <w:sz w:val="28"/>
          <w:szCs w:val="28"/>
        </w:rPr>
        <w:t xml:space="preserve">). В начальной стадии развития пожара происходит </w:t>
      </w:r>
      <w:r w:rsidR="00651E1A" w:rsidRPr="000F055B">
        <w:rPr>
          <w:sz w:val="28"/>
          <w:szCs w:val="28"/>
        </w:rPr>
        <w:t>быстрый</w:t>
      </w:r>
      <w:r w:rsidRPr="000F055B">
        <w:rPr>
          <w:sz w:val="28"/>
          <w:szCs w:val="28"/>
        </w:rPr>
        <w:t xml:space="preserve"> рост температуры, а затем </w:t>
      </w:r>
      <w:r w:rsidR="00651E1A" w:rsidRPr="000F055B">
        <w:rPr>
          <w:sz w:val="28"/>
          <w:szCs w:val="28"/>
        </w:rPr>
        <w:t>быстрый рост</w:t>
      </w:r>
      <w:r w:rsidRPr="000F055B">
        <w:rPr>
          <w:sz w:val="28"/>
          <w:szCs w:val="28"/>
        </w:rPr>
        <w:t xml:space="preserve"> площади пожара. В связи с этим</w:t>
      </w:r>
      <w:r w:rsidR="0061714A" w:rsidRPr="000F055B">
        <w:rPr>
          <w:sz w:val="28"/>
          <w:szCs w:val="28"/>
        </w:rPr>
        <w:t>,</w:t>
      </w:r>
      <w:r w:rsidRPr="000F055B">
        <w:rPr>
          <w:sz w:val="28"/>
          <w:szCs w:val="28"/>
        </w:rPr>
        <w:t xml:space="preserve"> для предотвращения дальнейшего распространения пожара в объем помещения </w:t>
      </w:r>
      <w:r w:rsidR="008249ED" w:rsidRPr="000F055B">
        <w:rPr>
          <w:sz w:val="28"/>
          <w:szCs w:val="28"/>
        </w:rPr>
        <w:t>окрасочной камеры</w:t>
      </w:r>
      <w:r w:rsidRPr="000F055B">
        <w:rPr>
          <w:sz w:val="28"/>
          <w:szCs w:val="28"/>
        </w:rPr>
        <w:t xml:space="preserve"> необходимо подать в минимально короткое время </w:t>
      </w:r>
      <w:r w:rsidR="00651E1A" w:rsidRPr="000F055B">
        <w:rPr>
          <w:sz w:val="28"/>
          <w:szCs w:val="28"/>
        </w:rPr>
        <w:t>пену низкой кратности</w:t>
      </w:r>
      <w:r w:rsidRPr="000F055B">
        <w:rPr>
          <w:sz w:val="28"/>
          <w:szCs w:val="28"/>
        </w:rPr>
        <w:t xml:space="preserve">. Наиболее целесообразным будет применение автоматической </w:t>
      </w:r>
      <w:r w:rsidR="00651E1A" w:rsidRPr="000F055B">
        <w:rPr>
          <w:sz w:val="28"/>
          <w:szCs w:val="28"/>
        </w:rPr>
        <w:t>пенной</w:t>
      </w:r>
      <w:r w:rsidRPr="000F055B">
        <w:rPr>
          <w:sz w:val="28"/>
          <w:szCs w:val="28"/>
        </w:rPr>
        <w:t xml:space="preserve"> установки пожаротушения (АУ</w:t>
      </w:r>
      <w:r w:rsidR="00651E1A" w:rsidRPr="000F055B">
        <w:rPr>
          <w:sz w:val="28"/>
          <w:szCs w:val="28"/>
        </w:rPr>
        <w:t>П</w:t>
      </w:r>
      <w:r w:rsidRPr="000F055B">
        <w:rPr>
          <w:sz w:val="28"/>
          <w:szCs w:val="28"/>
        </w:rPr>
        <w:t>П).</w:t>
      </w:r>
    </w:p>
    <w:p w:rsidR="001738D3" w:rsidRPr="000F055B" w:rsidRDefault="001738D3" w:rsidP="000F055B">
      <w:pPr>
        <w:pStyle w:val="a5"/>
        <w:spacing w:after="0"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Зная зависимость определяющего фактора пожара от времени его развития, можно определить максимально допустимое время обнаружения пожара побудительной системой и тем самым выбрать ее вид.</w:t>
      </w:r>
    </w:p>
    <w:p w:rsidR="001738D3" w:rsidRDefault="001738D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Как следует из рис.1, допустимое время обнаружения пожара Т</w:t>
      </w:r>
      <w:r w:rsidRPr="000F055B">
        <w:rPr>
          <w:sz w:val="28"/>
          <w:szCs w:val="28"/>
          <w:vertAlign w:val="subscript"/>
        </w:rPr>
        <w:t>обн.доп</w:t>
      </w:r>
      <w:r w:rsidRPr="000F055B">
        <w:rPr>
          <w:sz w:val="28"/>
          <w:szCs w:val="28"/>
        </w:rPr>
        <w:t>., состоящее из времени до порога срабатывания побудителя Т</w:t>
      </w:r>
      <w:r w:rsidRPr="000F055B">
        <w:rPr>
          <w:sz w:val="28"/>
          <w:szCs w:val="28"/>
          <w:vertAlign w:val="subscript"/>
        </w:rPr>
        <w:t>пор.сраб</w:t>
      </w:r>
      <w:r w:rsidRPr="000F055B">
        <w:rPr>
          <w:sz w:val="28"/>
          <w:szCs w:val="28"/>
        </w:rPr>
        <w:t>. и инерционности побудителя Т</w:t>
      </w:r>
      <w:r w:rsidRPr="000F055B">
        <w:rPr>
          <w:sz w:val="28"/>
          <w:szCs w:val="28"/>
          <w:vertAlign w:val="subscript"/>
        </w:rPr>
        <w:t>ин.поб</w:t>
      </w:r>
      <w:r w:rsidRPr="000F055B">
        <w:rPr>
          <w:sz w:val="28"/>
          <w:szCs w:val="28"/>
        </w:rPr>
        <w:t>. в складывающихся условиях реального пожара, определяется из условия: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1738D3" w:rsidRDefault="001738D3" w:rsidP="000F055B">
      <w:pPr>
        <w:spacing w:line="360" w:lineRule="auto"/>
        <w:ind w:firstLine="709"/>
        <w:rPr>
          <w:sz w:val="28"/>
          <w:szCs w:val="28"/>
          <w:vertAlign w:val="subscript"/>
        </w:rPr>
      </w:pPr>
      <w:r w:rsidRPr="000F055B">
        <w:rPr>
          <w:sz w:val="28"/>
          <w:szCs w:val="28"/>
        </w:rPr>
        <w:t xml:space="preserve">Т </w:t>
      </w:r>
      <w:r w:rsidRPr="000F055B">
        <w:rPr>
          <w:sz w:val="28"/>
          <w:szCs w:val="28"/>
          <w:vertAlign w:val="subscript"/>
        </w:rPr>
        <w:t>обн.доп</w:t>
      </w:r>
      <w:r w:rsidRPr="000F055B">
        <w:rPr>
          <w:sz w:val="28"/>
          <w:szCs w:val="28"/>
        </w:rPr>
        <w:t xml:space="preserve"> = Т </w:t>
      </w:r>
      <w:r w:rsidRPr="000F055B">
        <w:rPr>
          <w:sz w:val="28"/>
          <w:szCs w:val="28"/>
          <w:vertAlign w:val="subscript"/>
        </w:rPr>
        <w:t>пор.ср.</w:t>
      </w:r>
      <w:r w:rsidRPr="000F055B">
        <w:rPr>
          <w:sz w:val="28"/>
          <w:szCs w:val="28"/>
        </w:rPr>
        <w:t xml:space="preserve"> + Т </w:t>
      </w:r>
      <w:r w:rsidRPr="000F055B">
        <w:rPr>
          <w:sz w:val="28"/>
          <w:szCs w:val="28"/>
          <w:vertAlign w:val="subscript"/>
        </w:rPr>
        <w:t>ин.поб.</w:t>
      </w:r>
      <w:r w:rsidRPr="000F055B">
        <w:rPr>
          <w:sz w:val="28"/>
          <w:szCs w:val="28"/>
        </w:rPr>
        <w:t xml:space="preserve"> &lt; Т </w:t>
      </w:r>
      <w:r w:rsidRPr="000F055B">
        <w:rPr>
          <w:sz w:val="28"/>
          <w:szCs w:val="28"/>
          <w:vertAlign w:val="subscript"/>
        </w:rPr>
        <w:t>пред</w:t>
      </w:r>
      <w:r w:rsidRPr="000F055B">
        <w:rPr>
          <w:sz w:val="28"/>
          <w:szCs w:val="28"/>
        </w:rPr>
        <w:t xml:space="preserve">. - Т </w:t>
      </w:r>
      <w:r w:rsidRPr="000F055B">
        <w:rPr>
          <w:sz w:val="28"/>
          <w:szCs w:val="28"/>
          <w:vertAlign w:val="subscript"/>
        </w:rPr>
        <w:t>ин.эл</w:t>
      </w:r>
      <w:r w:rsidRPr="000F055B">
        <w:rPr>
          <w:sz w:val="28"/>
          <w:szCs w:val="28"/>
        </w:rPr>
        <w:t xml:space="preserve">. -Т </w:t>
      </w:r>
      <w:r w:rsidRPr="000F055B">
        <w:rPr>
          <w:sz w:val="28"/>
          <w:szCs w:val="28"/>
          <w:vertAlign w:val="subscript"/>
        </w:rPr>
        <w:t>ин.мех.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1738D3" w:rsidRPr="000F055B" w:rsidRDefault="00BE04B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где,</w:t>
      </w:r>
      <w:r w:rsidR="000F055B">
        <w:rPr>
          <w:sz w:val="28"/>
          <w:szCs w:val="28"/>
        </w:rPr>
        <w:t xml:space="preserve"> </w:t>
      </w:r>
      <w:r w:rsidR="001738D3" w:rsidRPr="000F055B">
        <w:rPr>
          <w:sz w:val="28"/>
          <w:szCs w:val="28"/>
        </w:rPr>
        <w:t>Т</w:t>
      </w:r>
      <w:r w:rsidR="001738D3" w:rsidRPr="000F055B">
        <w:rPr>
          <w:sz w:val="28"/>
          <w:szCs w:val="28"/>
          <w:vertAlign w:val="subscript"/>
        </w:rPr>
        <w:t>пред</w:t>
      </w:r>
      <w:r w:rsidR="001738D3" w:rsidRPr="000F055B">
        <w:rPr>
          <w:sz w:val="28"/>
          <w:szCs w:val="28"/>
        </w:rPr>
        <w:t xml:space="preserve"> - предельно допустимое время развития пожара,</w:t>
      </w:r>
    </w:p>
    <w:p w:rsidR="001738D3" w:rsidRPr="000F055B" w:rsidRDefault="001738D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Т</w:t>
      </w:r>
      <w:r w:rsidRPr="000F055B">
        <w:rPr>
          <w:sz w:val="28"/>
          <w:szCs w:val="28"/>
          <w:vertAlign w:val="subscript"/>
        </w:rPr>
        <w:t>ин.эл.</w:t>
      </w:r>
      <w:r w:rsidRPr="000F055B">
        <w:rPr>
          <w:sz w:val="28"/>
          <w:szCs w:val="28"/>
        </w:rPr>
        <w:t>, Т</w:t>
      </w:r>
      <w:r w:rsidRPr="000F055B">
        <w:rPr>
          <w:sz w:val="28"/>
          <w:szCs w:val="28"/>
          <w:vertAlign w:val="subscript"/>
        </w:rPr>
        <w:t>ин.мех.</w:t>
      </w:r>
      <w:r w:rsidRPr="000F055B">
        <w:rPr>
          <w:sz w:val="28"/>
          <w:szCs w:val="28"/>
        </w:rPr>
        <w:t xml:space="preserve"> - соответственно инерционность электрической системы установки и механических и гидравлических систем АУП.</w:t>
      </w:r>
    </w:p>
    <w:p w:rsidR="001738D3" w:rsidRPr="000F055B" w:rsidRDefault="001738D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По вертикальной оси на рис.1 отложены опасный фактор развития пожара и его критическое значение, по горизонтальной - время. Т</w:t>
      </w:r>
      <w:r w:rsidRPr="000F055B">
        <w:rPr>
          <w:sz w:val="28"/>
          <w:szCs w:val="28"/>
          <w:vertAlign w:val="subscript"/>
        </w:rPr>
        <w:t xml:space="preserve">сраб.ауп </w:t>
      </w:r>
      <w:r w:rsidRPr="000F055B">
        <w:rPr>
          <w:sz w:val="28"/>
          <w:szCs w:val="28"/>
        </w:rPr>
        <w:t>(время срабатывания АУП).</w:t>
      </w:r>
    </w:p>
    <w:p w:rsidR="001738D3" w:rsidRPr="000F055B" w:rsidRDefault="001738D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Величины, входящие в выражение Т</w:t>
      </w:r>
      <w:r w:rsidRPr="000F055B">
        <w:rPr>
          <w:sz w:val="28"/>
          <w:szCs w:val="28"/>
          <w:vertAlign w:val="subscript"/>
        </w:rPr>
        <w:t xml:space="preserve">обв.доп., </w:t>
      </w:r>
      <w:r w:rsidRPr="000F055B">
        <w:rPr>
          <w:sz w:val="28"/>
          <w:szCs w:val="28"/>
        </w:rPr>
        <w:t>определяются следующим образом [15].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6.5pt;margin-top:2.4pt;width:238.2pt;height:170.35pt;z-index:251656704;mso-wrap-edited:f" wrapcoords="-42 0 -42 21547 21600 21547 21600 0 -42 0">
            <v:imagedata r:id="rId7" o:title=""/>
            <w10:wrap type="tight"/>
          </v:shape>
        </w:pict>
      </w: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8249ED" w:rsidRPr="000F055B" w:rsidRDefault="008249ED" w:rsidP="000F055B">
      <w:pPr>
        <w:spacing w:line="360" w:lineRule="auto"/>
        <w:ind w:firstLine="709"/>
        <w:rPr>
          <w:sz w:val="28"/>
          <w:szCs w:val="28"/>
        </w:rPr>
      </w:pPr>
    </w:p>
    <w:p w:rsidR="00D8774D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Рис.1. Графическая модель развития пожара.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C33510" w:rsidRPr="000F055B" w:rsidRDefault="00C33510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Предельно допустимое время развития пожара определяется непосредственно по графику зависимости опасного фактора пожара от времени как момент достижения его критического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значения.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Инерционность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электрической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схемы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установки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составляет, по опытным данным, 1-2 сек., инерционность механических и гидравлических систем АУП зависит от типа установки, вида и способа подачи огнетушащего средства и ориентировочно может приниматься в пределах 10-30 сек. Фактическое время обнаружения пожара Т</w:t>
      </w:r>
      <w:r w:rsidRPr="000F055B">
        <w:rPr>
          <w:sz w:val="28"/>
          <w:szCs w:val="28"/>
          <w:vertAlign w:val="subscript"/>
        </w:rPr>
        <w:t xml:space="preserve">обн.фак. </w:t>
      </w:r>
      <w:r w:rsidRPr="000F055B">
        <w:rPr>
          <w:sz w:val="28"/>
          <w:szCs w:val="28"/>
        </w:rPr>
        <w:t>должно быть меньше или равным величине Т</w:t>
      </w:r>
      <w:r w:rsidRPr="000F055B">
        <w:rPr>
          <w:sz w:val="28"/>
          <w:szCs w:val="28"/>
          <w:vertAlign w:val="subscript"/>
        </w:rPr>
        <w:t xml:space="preserve">обн. доп. </w:t>
      </w:r>
      <w:r w:rsidRPr="000F055B">
        <w:rPr>
          <w:sz w:val="28"/>
          <w:szCs w:val="28"/>
        </w:rPr>
        <w:t>Оно определяется для различных видов побудителей в зависимости от условий развития конкретного пожара.</w:t>
      </w:r>
    </w:p>
    <w:p w:rsidR="00C33510" w:rsidRPr="000F055B" w:rsidRDefault="00C33510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Исходя из вышеизложенного, в качестве побудительной системы принимаем электрическую от</w:t>
      </w:r>
      <w:r w:rsidRPr="000F055B">
        <w:rPr>
          <w:b/>
          <w:bCs/>
          <w:sz w:val="28"/>
          <w:szCs w:val="28"/>
        </w:rPr>
        <w:t xml:space="preserve"> </w:t>
      </w:r>
      <w:r w:rsidRPr="000F055B">
        <w:rPr>
          <w:sz w:val="28"/>
          <w:szCs w:val="28"/>
        </w:rPr>
        <w:t>СПС.</w:t>
      </w:r>
    </w:p>
    <w:p w:rsidR="000F055B" w:rsidRDefault="000F055B" w:rsidP="000F055B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D8774D" w:rsidRDefault="00D8774D" w:rsidP="000F055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ПРОЕКТИРОВАНИЕ УСТАНОВКИ</w:t>
      </w:r>
    </w:p>
    <w:p w:rsidR="000F055B" w:rsidRPr="000F055B" w:rsidRDefault="000F055B" w:rsidP="000F055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6F68A4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Огнетушащее вещество подается в защищаемые помещения с помощью </w:t>
      </w:r>
      <w:r w:rsidR="008249ED" w:rsidRPr="000F055B">
        <w:rPr>
          <w:sz w:val="28"/>
          <w:szCs w:val="28"/>
        </w:rPr>
        <w:t>оросителей</w:t>
      </w:r>
      <w:r w:rsidRPr="000F055B">
        <w:rPr>
          <w:sz w:val="28"/>
          <w:szCs w:val="28"/>
        </w:rPr>
        <w:t>.</w:t>
      </w:r>
      <w:r w:rsidR="0088239D" w:rsidRPr="000F055B">
        <w:rPr>
          <w:sz w:val="28"/>
          <w:szCs w:val="28"/>
        </w:rPr>
        <w:t xml:space="preserve"> Учитывая</w:t>
      </w:r>
      <w:r w:rsidR="006F68A4" w:rsidRPr="000F055B">
        <w:rPr>
          <w:sz w:val="28"/>
          <w:szCs w:val="28"/>
        </w:rPr>
        <w:t>,</w:t>
      </w:r>
      <w:r w:rsidR="0088239D" w:rsidRPr="000F055B">
        <w:rPr>
          <w:sz w:val="28"/>
          <w:szCs w:val="28"/>
        </w:rPr>
        <w:t xml:space="preserve"> что расстояние между оросителями должно быть не более 4 метров, максимальная площадь</w:t>
      </w:r>
      <w:r w:rsidR="006F68A4" w:rsidRPr="000F055B">
        <w:rPr>
          <w:sz w:val="28"/>
          <w:szCs w:val="28"/>
        </w:rPr>
        <w:t xml:space="preserve"> контролируемое одним оросителем 12 метров; интенсивность орошения раствором пенообразователя не менее 0,15 л/см</w:t>
      </w:r>
      <w:r w:rsidR="006F68A4" w:rsidRPr="000F055B">
        <w:rPr>
          <w:sz w:val="28"/>
          <w:szCs w:val="28"/>
          <w:vertAlign w:val="superscript"/>
        </w:rPr>
        <w:t>2</w:t>
      </w:r>
      <w:r w:rsidR="006F68A4" w:rsidRPr="000F055B">
        <w:rPr>
          <w:sz w:val="28"/>
          <w:szCs w:val="28"/>
        </w:rPr>
        <w:t xml:space="preserve"> для помещения окрасочной камеры с применением ЛВЖ (группа 4.1.)(табл. 1 [2]) определяет, что необходимо установить 25 оросителей.</w:t>
      </w:r>
    </w:p>
    <w:p w:rsidR="006F68A4" w:rsidRPr="000F055B" w:rsidRDefault="006F68A4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Расстояние от стены до оросителя не более 1,5 м. Трубопроводы следует проектировать из стальных труб со сварными и фланцевыми соединениями (п. 5.26 [2]).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Оборудование автоматических установок </w:t>
      </w:r>
      <w:r w:rsidR="008249ED" w:rsidRPr="000F055B">
        <w:rPr>
          <w:sz w:val="28"/>
          <w:szCs w:val="28"/>
        </w:rPr>
        <w:t>водяного и пенного</w:t>
      </w:r>
      <w:r w:rsidRPr="000F055B">
        <w:rPr>
          <w:sz w:val="28"/>
          <w:szCs w:val="28"/>
        </w:rPr>
        <w:t xml:space="preserve"> пожаротушения размещается в помещении, которое отделено от других помещений противопожарными перегородками с пределом огнестойкости не менее </w:t>
      </w:r>
      <w:r w:rsidRPr="000F055B">
        <w:rPr>
          <w:sz w:val="28"/>
          <w:szCs w:val="28"/>
          <w:lang w:val="en-US"/>
        </w:rPr>
        <w:t>EI</w:t>
      </w:r>
      <w:r w:rsidRPr="000F055B">
        <w:rPr>
          <w:sz w:val="28"/>
          <w:szCs w:val="28"/>
        </w:rPr>
        <w:t xml:space="preserve"> 45 и перекрытиями с пределом огнестойкости не менее </w:t>
      </w:r>
      <w:r w:rsidRPr="000F055B">
        <w:rPr>
          <w:sz w:val="28"/>
          <w:szCs w:val="28"/>
          <w:lang w:val="en-US"/>
        </w:rPr>
        <w:t>REI</w:t>
      </w:r>
      <w:r w:rsidRPr="000F055B">
        <w:rPr>
          <w:sz w:val="28"/>
          <w:szCs w:val="28"/>
        </w:rPr>
        <w:t xml:space="preserve"> 45.</w:t>
      </w:r>
    </w:p>
    <w:p w:rsidR="00D8774D" w:rsidRPr="000F055B" w:rsidRDefault="001B7A5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Узлы управления на первом этаже здания. Для пенных установок пожаротушение необходимо предусматривать 100% запас пенообразователя. Насосные станции необходимо размещать в отдельном помещении зданий на первом этаже. Они должны иметь обособленный выход наружу (п. 5,56 [2]). Помещение насосной станции должно отделена от других помещений п/п перегородками. </w:t>
      </w:r>
      <w:r w:rsidR="00D8774D" w:rsidRPr="000F055B">
        <w:rPr>
          <w:sz w:val="28"/>
          <w:szCs w:val="28"/>
        </w:rPr>
        <w:t>Станция</w:t>
      </w:r>
      <w:r w:rsidRPr="000F055B">
        <w:rPr>
          <w:sz w:val="28"/>
          <w:szCs w:val="28"/>
        </w:rPr>
        <w:t xml:space="preserve"> должна быть</w:t>
      </w:r>
      <w:r w:rsidR="00D8774D" w:rsidRPr="000F055B">
        <w:rPr>
          <w:sz w:val="28"/>
          <w:szCs w:val="28"/>
        </w:rPr>
        <w:t xml:space="preserve"> оборудована телефонной связью с помещением пожарного поста с персоналом, ведущим круглосуточное дежурство</w:t>
      </w:r>
      <w:r w:rsidR="009E2ED5" w:rsidRPr="000F055B">
        <w:rPr>
          <w:sz w:val="28"/>
          <w:szCs w:val="28"/>
        </w:rPr>
        <w:t xml:space="preserve"> (п. 5.67 [2])</w:t>
      </w:r>
      <w:r w:rsidR="00D8774D" w:rsidRPr="000F055B">
        <w:rPr>
          <w:sz w:val="28"/>
          <w:szCs w:val="28"/>
        </w:rPr>
        <w:t>.</w:t>
      </w: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Задвижки устанавливаемые на трубопроводах, наполняющие резервуар ОТВ, следует устанавливать в помещении насосной станции (п. 5.71 [2]). Контрольно-измерительные приборы и мерные рейки необходимо устанавливать в помещении станции пожаротушения, для обеспечения визуального контроля (п. 5.72 [2]).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Аварийное освещение должно соответствовать СНиП 11-4-79. У входа в станцию установлено световое табло «Станция пожаротушения». В защищаемом помещении установлено световое табло и звуковой сигнал оповещения</w:t>
      </w:r>
      <w:r w:rsidR="0088239D" w:rsidRPr="000F055B">
        <w:rPr>
          <w:sz w:val="28"/>
          <w:szCs w:val="28"/>
        </w:rPr>
        <w:t xml:space="preserve"> о тушении с помощью АУПТ</w:t>
      </w:r>
      <w:r w:rsidRPr="000F055B">
        <w:rPr>
          <w:sz w:val="28"/>
          <w:szCs w:val="28"/>
        </w:rPr>
        <w:t>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Устройство ручного пуска установки пожаротушения расположено вне защищаемого помещения</w:t>
      </w:r>
      <w:r w:rsidR="001B7A59" w:rsidRPr="000F055B">
        <w:rPr>
          <w:sz w:val="28"/>
          <w:szCs w:val="28"/>
        </w:rPr>
        <w:t>,</w:t>
      </w:r>
      <w:r w:rsidRPr="000F055B">
        <w:rPr>
          <w:sz w:val="28"/>
          <w:szCs w:val="28"/>
        </w:rPr>
        <w:t xml:space="preserve"> у эвакуационного выхода. К устройству ручного пуска обеспечен свободный доступ.</w:t>
      </w:r>
    </w:p>
    <w:p w:rsidR="009E2ED5" w:rsidRPr="000F055B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0.2pt;margin-top:21.65pt;width:274.5pt;height:205.65pt;z-index:251657728">
            <v:imagedata r:id="rId8" o:title=""/>
          </v:shape>
        </w:pict>
      </w: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Pr="000F055B" w:rsidRDefault="009E2ED5" w:rsidP="000F055B">
      <w:pPr>
        <w:spacing w:line="360" w:lineRule="auto"/>
        <w:ind w:firstLine="709"/>
        <w:rPr>
          <w:sz w:val="28"/>
          <w:szCs w:val="28"/>
        </w:rPr>
      </w:pPr>
    </w:p>
    <w:p w:rsidR="009E2ED5" w:rsidRDefault="009E2ED5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Рис 2. Трассировка оросителей.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846ACC" w:rsidRDefault="00361E4A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Расчет установок пожаротушения пеной низкой кратности производим в соответствии с приложением Б [2]. Помещение окрасочной камеры относим к группе 4.1 (приложение А [2]). Определим требуемый расход раствора пенообразователя</w:t>
      </w:r>
      <w:r w:rsidR="00921D02" w:rsidRPr="000F055B">
        <w:rPr>
          <w:sz w:val="28"/>
          <w:szCs w:val="28"/>
        </w:rPr>
        <w:t>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C01775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17pt;margin-top:27.2pt;width:45pt;height:29.4pt;z-index:251658752">
            <v:imagedata r:id="rId9" o:title=""/>
          </v:shape>
        </w:pict>
      </w:r>
      <w:r>
        <w:rPr>
          <w:position w:val="-18"/>
          <w:sz w:val="28"/>
          <w:szCs w:val="28"/>
        </w:rPr>
        <w:pict>
          <v:shape id="_x0000_i1025" type="#_x0000_t75" style="width:161.25pt;height:27.75pt">
            <v:imagedata r:id="rId10" o:title=""/>
          </v:shape>
        </w:pic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BD5E47" w:rsidRPr="000F055B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где: </w:t>
      </w:r>
      <w:r w:rsidRPr="000F055B">
        <w:rPr>
          <w:sz w:val="28"/>
          <w:szCs w:val="28"/>
          <w:lang w:val="en-US"/>
        </w:rPr>
        <w:t>J</w:t>
      </w:r>
      <w:r w:rsidRPr="000F055B">
        <w:rPr>
          <w:sz w:val="28"/>
          <w:szCs w:val="28"/>
        </w:rPr>
        <w:t xml:space="preserve"> = 0,15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- интенсивность орошения раствором пенообразователя (табл. 1. [2]);</w:t>
      </w:r>
    </w:p>
    <w:p w:rsidR="00BD5E47" w:rsidRPr="000F055B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  <w:lang w:val="en-US"/>
        </w:rPr>
        <w:t>S</w:t>
      </w:r>
      <w:r w:rsidRPr="000F055B">
        <w:rPr>
          <w:sz w:val="28"/>
          <w:szCs w:val="28"/>
        </w:rPr>
        <w:t xml:space="preserve"> – максимальная площадь обслуживаемая одним оросителем.</w:t>
      </w:r>
    </w:p>
    <w:p w:rsidR="00BD5E47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Расчетный расход раствора пенообразователя через пенный ороситель ОПД рассчитывается по формуле: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BD5E47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26" type="#_x0000_t75" style="width:183pt;height:27.75pt">
            <v:imagedata r:id="rId11" o:title=""/>
          </v:shape>
        </w:pic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BD5E47" w:rsidRPr="000F055B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где: К – коэффициент производительности оросителя;</w:t>
      </w:r>
    </w:p>
    <w:p w:rsidR="00BD5E47" w:rsidRPr="000F055B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М – свободный напор перед оросителем.</w:t>
      </w:r>
    </w:p>
    <w:p w:rsidR="00D87BEF" w:rsidRDefault="00BD5E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Так как </w:t>
      </w:r>
      <w:r w:rsidR="0058519F">
        <w:rPr>
          <w:position w:val="-12"/>
          <w:sz w:val="28"/>
          <w:szCs w:val="28"/>
        </w:rPr>
        <w:pict>
          <v:shape id="_x0000_i1027" type="#_x0000_t75" style="width:18pt;height:21pt">
            <v:imagedata r:id="rId12" o:title=""/>
          </v:shape>
        </w:pict>
      </w:r>
      <w:r w:rsidRPr="000F055B">
        <w:rPr>
          <w:sz w:val="28"/>
          <w:szCs w:val="28"/>
        </w:rPr>
        <w:t>&gt;</w:t>
      </w:r>
      <w:r w:rsidR="0058519F">
        <w:rPr>
          <w:position w:val="-14"/>
          <w:sz w:val="28"/>
          <w:szCs w:val="28"/>
        </w:rPr>
        <w:pict>
          <v:shape id="_x0000_i1028" type="#_x0000_t75" style="width:24pt;height:21.75pt">
            <v:imagedata r:id="rId13" o:title=""/>
          </v:shape>
        </w:pict>
      </w:r>
      <w:r w:rsidRPr="000F055B">
        <w:rPr>
          <w:sz w:val="28"/>
          <w:szCs w:val="28"/>
        </w:rPr>
        <w:t>, данный ороситель обеспечивает необходимый расход раствора пенообразователя. Максимальный допустимый напор пенного оросителя ОПД равен 80 м</w:t>
      </w:r>
      <w:r w:rsidR="00D87BEF" w:rsidRPr="000F055B">
        <w:rPr>
          <w:sz w:val="28"/>
          <w:szCs w:val="28"/>
        </w:rPr>
        <w:t>.</w:t>
      </w:r>
      <w:r w:rsidR="003606C8" w:rsidRPr="000F055B">
        <w:rPr>
          <w:sz w:val="28"/>
          <w:szCs w:val="28"/>
        </w:rPr>
        <w:t xml:space="preserve"> </w:t>
      </w:r>
      <w:r w:rsidR="00D87BEF" w:rsidRPr="000F055B">
        <w:rPr>
          <w:sz w:val="28"/>
          <w:szCs w:val="28"/>
        </w:rPr>
        <w:t>Определим диаметр трубы на участке 1-2: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8B47D8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249.75pt;height:39pt">
            <v:imagedata r:id="rId14" o:title=""/>
          </v:shape>
        </w:pict>
      </w:r>
      <w:r w:rsidR="00D87BEF" w:rsidRPr="000F055B">
        <w:rPr>
          <w:sz w:val="28"/>
          <w:szCs w:val="28"/>
        </w:rPr>
        <w:t>;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BEF" w:rsidRPr="000F055B" w:rsidRDefault="00D87BE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где: </w:t>
      </w:r>
      <w:r w:rsidRPr="000F055B">
        <w:rPr>
          <w:sz w:val="28"/>
          <w:szCs w:val="28"/>
          <w:lang w:val="en-US"/>
        </w:rPr>
        <w:t>V</w:t>
      </w:r>
      <w:r w:rsidRPr="000F055B">
        <w:rPr>
          <w:sz w:val="28"/>
          <w:szCs w:val="28"/>
        </w:rPr>
        <w:t xml:space="preserve"> – скорость движения раствора в труде не более 10 </w:t>
      </w:r>
      <w:r w:rsidR="0058519F">
        <w:rPr>
          <w:position w:val="-18"/>
          <w:sz w:val="28"/>
          <w:szCs w:val="28"/>
        </w:rPr>
        <w:pict>
          <v:shape id="_x0000_i1030" type="#_x0000_t75" style="width:20.25pt;height:24pt">
            <v:imagedata r:id="rId15" o:title=""/>
          </v:shape>
        </w:pict>
      </w:r>
      <w:r w:rsidRPr="000F055B">
        <w:rPr>
          <w:sz w:val="28"/>
          <w:szCs w:val="28"/>
        </w:rPr>
        <w:t>;</w:t>
      </w:r>
    </w:p>
    <w:p w:rsidR="00D87BEF" w:rsidRPr="000F055B" w:rsidRDefault="00D87BE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  <w:lang w:val="en-US"/>
        </w:rPr>
        <w:t>Q</w:t>
      </w:r>
      <w:r w:rsidRPr="000F055B">
        <w:rPr>
          <w:sz w:val="28"/>
          <w:szCs w:val="28"/>
        </w:rPr>
        <w:t xml:space="preserve"> – Суммарный расход раствора в трубе.</w:t>
      </w:r>
    </w:p>
    <w:p w:rsidR="00D87BEF" w:rsidRPr="000F055B" w:rsidRDefault="00D87BE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Подбор необходимых труб производим по таблице Б.1. [2] и принимаем стальные электросварочные трубы диаметром 25. Такой диаметр выбран не случайно так как при расчете потерь напора в труде с меньшим диаметром будет большим и не будет удовлетворять требованиям.</w:t>
      </w:r>
    </w:p>
    <w:p w:rsidR="00D87BEF" w:rsidRDefault="00D87BEF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Потери напора на расчетном участке выполняются по следующей формуле.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731A19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180.75pt;height:42.75pt">
            <v:imagedata r:id="rId16" o:title=""/>
          </v:shape>
        </w:pict>
      </w:r>
      <w:r w:rsidR="00731A19" w:rsidRPr="000F055B">
        <w:rPr>
          <w:sz w:val="28"/>
          <w:szCs w:val="28"/>
        </w:rPr>
        <w:t>;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731A19" w:rsidRPr="000F055B" w:rsidRDefault="00731A1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где: К – коэффициент сопротивления труб, принимается по табл. 1. [2].</w:t>
      </w:r>
    </w:p>
    <w:p w:rsidR="00731A19" w:rsidRPr="000F055B" w:rsidRDefault="00731A1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  <w:lang w:val="en-US"/>
        </w:rPr>
        <w:t>l</w:t>
      </w:r>
      <w:r w:rsidRPr="000F055B">
        <w:rPr>
          <w:sz w:val="28"/>
          <w:szCs w:val="28"/>
        </w:rPr>
        <w:t xml:space="preserve"> – длинна трубопровода на участке.</w:t>
      </w:r>
    </w:p>
    <w:p w:rsidR="00731A19" w:rsidRDefault="00731A1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Расчет расхода оросителя, диаметра трубы и потерь напора на последующих узлах и участках ветки производится аналогично приведенной выше методике.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731A19" w:rsidRPr="000F055B" w:rsidRDefault="00731A1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Для удобства пользования расчет занесем в таблицу.</w:t>
      </w:r>
    </w:p>
    <w:tbl>
      <w:tblPr>
        <w:tblW w:w="80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337"/>
        <w:gridCol w:w="1337"/>
        <w:gridCol w:w="1337"/>
        <w:gridCol w:w="1337"/>
        <w:gridCol w:w="1382"/>
      </w:tblGrid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 1-2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 2-3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 3-4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 4-5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 5-А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2" type="#_x0000_t75" style="width:29.25pt;height:21.75pt">
                  <v:imagedata r:id="rId17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2,13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2,39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2,17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2,22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2,16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3" type="#_x0000_t75" style="width:18pt;height:21pt">
                  <v:imagedata r:id="rId18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2,13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4,525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6,694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8,909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11,07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4" type="#_x0000_t75" style="width:29.25pt;height:21.75pt">
                  <v:imagedata r:id="rId19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16,47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24,01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29,2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33,69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37,55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5" type="#_x0000_t75" style="width:30.75pt;height:21.75pt">
                  <v:imagedata r:id="rId20" o:title=""/>
                </v:shape>
              </w:pict>
            </w:r>
            <w:r w:rsidR="00870415" w:rsidRPr="0077368B">
              <w:rPr>
                <w:sz w:val="20"/>
                <w:szCs w:val="20"/>
              </w:rPr>
              <w:t>/</w:t>
            </w:r>
            <w:r>
              <w:rPr>
                <w:position w:val="-4"/>
                <w:sz w:val="20"/>
                <w:szCs w:val="20"/>
              </w:rPr>
              <w:pict>
                <v:shape id="_x0000_i1036" type="#_x0000_t75" style="width:15pt;height:15pt">
                  <v:imagedata r:id="rId21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25/3,44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50/110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50/110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65/572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80/1429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7" type="#_x0000_t75" style="width:7.5pt;height:15.75pt">
                  <v:imagedata r:id="rId22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1,3</w:t>
            </w:r>
          </w:p>
        </w:tc>
      </w:tr>
      <w:tr w:rsidR="00870415" w:rsidRPr="0077368B" w:rsidTr="0077368B">
        <w:tc>
          <w:tcPr>
            <w:tcW w:w="1279" w:type="dxa"/>
            <w:shd w:val="clear" w:color="auto" w:fill="auto"/>
          </w:tcPr>
          <w:p w:rsidR="00870415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8" type="#_x0000_t75" style="width:27pt;height:21.75pt">
                  <v:imagedata r:id="rId23" o:title=""/>
                </v:shape>
              </w:pic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3,957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0,558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1,222</w:t>
            </w:r>
          </w:p>
        </w:tc>
        <w:tc>
          <w:tcPr>
            <w:tcW w:w="1337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0,416</w:t>
            </w:r>
          </w:p>
        </w:tc>
        <w:tc>
          <w:tcPr>
            <w:tcW w:w="1382" w:type="dxa"/>
            <w:shd w:val="clear" w:color="auto" w:fill="auto"/>
          </w:tcPr>
          <w:p w:rsidR="00870415" w:rsidRPr="0077368B" w:rsidRDefault="00870415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0,257</w:t>
            </w:r>
          </w:p>
        </w:tc>
      </w:tr>
    </w:tbl>
    <w:p w:rsid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731A19" w:rsidRDefault="007756BA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Так как, в проекте все рядки одинаковые, то их расчет производить не надо. Выходные параметры в точке А будут соответствовать всем последующим. Далее произведем расчет питающего трубопровода по методике указанной выше. Данные расчетов занесем в таблицу.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156"/>
        <w:gridCol w:w="1155"/>
        <w:gridCol w:w="1155"/>
        <w:gridCol w:w="1155"/>
        <w:gridCol w:w="1155"/>
        <w:gridCol w:w="1155"/>
        <w:gridCol w:w="1072"/>
      </w:tblGrid>
      <w:tr w:rsidR="004C2426" w:rsidRPr="0077368B" w:rsidTr="0077368B">
        <w:tc>
          <w:tcPr>
            <w:tcW w:w="1166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Участок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А-Б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Б-В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В-Г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Г-Д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Д-Е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Е-Ж</w:t>
            </w:r>
          </w:p>
        </w:tc>
        <w:tc>
          <w:tcPr>
            <w:tcW w:w="1060" w:type="dxa"/>
            <w:shd w:val="clear" w:color="auto" w:fill="auto"/>
          </w:tcPr>
          <w:p w:rsidR="00794658" w:rsidRPr="0077368B" w:rsidRDefault="00794658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Ж</w:t>
            </w:r>
            <w:r w:rsidRPr="0077368B">
              <w:rPr>
                <w:sz w:val="20"/>
                <w:szCs w:val="20"/>
                <w:lang w:val="en-US"/>
              </w:rPr>
              <w:t>-</w:t>
            </w:r>
            <w:r w:rsidRPr="0077368B">
              <w:rPr>
                <w:sz w:val="20"/>
                <w:szCs w:val="20"/>
              </w:rPr>
              <w:t>О</w:t>
            </w:r>
          </w:p>
        </w:tc>
      </w:tr>
      <w:tr w:rsidR="004C2426" w:rsidRPr="0077368B" w:rsidTr="0077368B">
        <w:tc>
          <w:tcPr>
            <w:tcW w:w="1166" w:type="dxa"/>
            <w:shd w:val="clear" w:color="auto" w:fill="auto"/>
          </w:tcPr>
          <w:p w:rsidR="00794658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9" type="#_x0000_t75" style="width:18pt;height:21pt">
                  <v:imagedata r:id="rId18" o:title=""/>
                </v:shape>
              </w:pic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11,07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22,14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33,21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44,28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55,3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66,41</w:t>
            </w:r>
          </w:p>
        </w:tc>
        <w:tc>
          <w:tcPr>
            <w:tcW w:w="1060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77,48</w:t>
            </w:r>
          </w:p>
        </w:tc>
      </w:tr>
      <w:tr w:rsidR="004C2426" w:rsidRPr="0077368B" w:rsidTr="0077368B">
        <w:tc>
          <w:tcPr>
            <w:tcW w:w="1166" w:type="dxa"/>
            <w:shd w:val="clear" w:color="auto" w:fill="auto"/>
          </w:tcPr>
          <w:p w:rsidR="00794658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0" type="#_x0000_t75" style="width:29.25pt;height:21.75pt">
                  <v:imagedata r:id="rId19" o:title=""/>
                </v:shape>
              </w:pic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37,6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53,1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65,04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75,1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5D1F11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84</w:t>
            </w:r>
          </w:p>
        </w:tc>
        <w:tc>
          <w:tcPr>
            <w:tcW w:w="1159" w:type="dxa"/>
            <w:shd w:val="clear" w:color="auto" w:fill="auto"/>
          </w:tcPr>
          <w:p w:rsidR="00794658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91,98</w:t>
            </w:r>
          </w:p>
        </w:tc>
        <w:tc>
          <w:tcPr>
            <w:tcW w:w="1060" w:type="dxa"/>
            <w:shd w:val="clear" w:color="auto" w:fill="auto"/>
          </w:tcPr>
          <w:p w:rsidR="00794658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99,35</w:t>
            </w:r>
          </w:p>
        </w:tc>
      </w:tr>
      <w:tr w:rsidR="004C2426" w:rsidRPr="0077368B" w:rsidTr="0077368B">
        <w:tc>
          <w:tcPr>
            <w:tcW w:w="1166" w:type="dxa"/>
            <w:shd w:val="clear" w:color="auto" w:fill="auto"/>
          </w:tcPr>
          <w:p w:rsidR="00885669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1" type="#_x0000_t75" style="width:30.75pt;height:21.75pt">
                  <v:imagedata r:id="rId20" o:title=""/>
                </v:shape>
              </w:pict>
            </w:r>
            <w:r w:rsidR="00885669" w:rsidRPr="0077368B">
              <w:rPr>
                <w:sz w:val="20"/>
                <w:szCs w:val="20"/>
              </w:rPr>
              <w:t>/</w:t>
            </w:r>
            <w:r>
              <w:rPr>
                <w:position w:val="-4"/>
                <w:sz w:val="20"/>
                <w:szCs w:val="20"/>
              </w:rPr>
              <w:pict>
                <v:shape id="_x0000_i1042" type="#_x0000_t75" style="width:15pt;height:15pt">
                  <v:imagedata r:id="rId21" o:title=""/>
                </v:shape>
              </w:pic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125/18070</w:t>
            </w:r>
          </w:p>
        </w:tc>
        <w:tc>
          <w:tcPr>
            <w:tcW w:w="1060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150</w:t>
            </w:r>
            <w:r w:rsidR="00885669" w:rsidRPr="0077368B">
              <w:rPr>
                <w:sz w:val="20"/>
                <w:szCs w:val="20"/>
              </w:rPr>
              <w:t>/</w:t>
            </w:r>
            <w:r w:rsidRPr="0077368B">
              <w:rPr>
                <w:sz w:val="20"/>
                <w:szCs w:val="20"/>
              </w:rPr>
              <w:t>36920</w:t>
            </w:r>
          </w:p>
        </w:tc>
      </w:tr>
      <w:tr w:rsidR="004C2426" w:rsidRPr="0077368B" w:rsidTr="0077368B">
        <w:tc>
          <w:tcPr>
            <w:tcW w:w="1166" w:type="dxa"/>
            <w:shd w:val="clear" w:color="auto" w:fill="auto"/>
          </w:tcPr>
          <w:p w:rsidR="00885669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43" type="#_x0000_t75" style="width:7.5pt;height:15.75pt">
                  <v:imagedata r:id="rId22" o:title=""/>
                </v:shape>
              </w:pic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885669" w:rsidRPr="0077368B" w:rsidRDefault="00885669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10</w:t>
            </w:r>
          </w:p>
        </w:tc>
      </w:tr>
      <w:tr w:rsidR="004C2426" w:rsidRPr="0077368B" w:rsidTr="0077368B">
        <w:tc>
          <w:tcPr>
            <w:tcW w:w="1166" w:type="dxa"/>
            <w:shd w:val="clear" w:color="auto" w:fill="auto"/>
          </w:tcPr>
          <w:p w:rsidR="00885669" w:rsidRPr="0077368B" w:rsidRDefault="0058519F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4" type="#_x0000_t75" style="width:27pt;height:21.75pt">
                  <v:imagedata r:id="rId24" o:title=""/>
                </v:shape>
              </w:pic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0,009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0,081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0,183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0,325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0,51</w:t>
            </w:r>
          </w:p>
        </w:tc>
        <w:tc>
          <w:tcPr>
            <w:tcW w:w="1159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0,732</w:t>
            </w:r>
          </w:p>
        </w:tc>
        <w:tc>
          <w:tcPr>
            <w:tcW w:w="1060" w:type="dxa"/>
            <w:shd w:val="clear" w:color="auto" w:fill="auto"/>
          </w:tcPr>
          <w:p w:rsidR="00885669" w:rsidRPr="0077368B" w:rsidRDefault="004C2426" w:rsidP="0077368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77368B">
              <w:rPr>
                <w:sz w:val="20"/>
                <w:szCs w:val="20"/>
              </w:rPr>
              <w:t>2,114</w:t>
            </w:r>
          </w:p>
        </w:tc>
      </w:tr>
    </w:tbl>
    <w:p w:rsid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713F2" w:rsidRPr="000F055B" w:rsidRDefault="00D713F2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Суммарный расход раствора пенообразователя для тушения окрасочной камеры составляет 77,5 л/с.</w:t>
      </w:r>
    </w:p>
    <w:p w:rsidR="00894A7B" w:rsidRDefault="00894A7B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Потери напора в узле управления установок</w:t>
      </w:r>
      <w:r w:rsidR="00ED7F06" w:rsidRPr="000F055B">
        <w:rPr>
          <w:sz w:val="28"/>
          <w:szCs w:val="28"/>
        </w:rPr>
        <w:t xml:space="preserve"> определяется по формуле: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ED7F06" w:rsidRDefault="0058519F" w:rsidP="000F055B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219pt;height:21.75pt">
            <v:imagedata r:id="rId25" o:title=""/>
          </v:shape>
        </w:pic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713F2" w:rsidRPr="000F055B" w:rsidRDefault="00D713F2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Суммарные потери </w:t>
      </w:r>
      <w:r w:rsidR="009F50B7" w:rsidRPr="000F055B">
        <w:rPr>
          <w:sz w:val="28"/>
          <w:szCs w:val="28"/>
        </w:rPr>
        <w:t>напора в установке пожаротушения с учетом потерь в узле управления и высоте подъема 5 м составляет</w:t>
      </w:r>
      <w:r w:rsidRPr="000F055B">
        <w:rPr>
          <w:sz w:val="28"/>
          <w:szCs w:val="28"/>
        </w:rPr>
        <w:t xml:space="preserve"> 74,35 м</w:t>
      </w:r>
      <w:r w:rsidR="00E765F1" w:rsidRPr="000F055B">
        <w:rPr>
          <w:sz w:val="28"/>
          <w:szCs w:val="28"/>
        </w:rPr>
        <w:t>. С учетом того, что напор у основания водопитателя не должен превышать 80 м. В нашем случае данное условие выполняется и диаметры труб оставляем неизменными.</w:t>
      </w:r>
    </w:p>
    <w:p w:rsidR="007756BA" w:rsidRPr="000F055B" w:rsidRDefault="007756BA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ПРОЕКТИРОВАНИЕ СИСТЕМЫ СПС</w:t>
      </w:r>
    </w:p>
    <w:p w:rsid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</w:t>
      </w:r>
      <w:r w:rsidR="00E765F1" w:rsidRPr="000F055B">
        <w:rPr>
          <w:sz w:val="28"/>
          <w:szCs w:val="28"/>
        </w:rPr>
        <w:t>окрасочной камере</w:t>
      </w:r>
      <w:r w:rsidRPr="000F055B">
        <w:rPr>
          <w:sz w:val="28"/>
          <w:szCs w:val="28"/>
        </w:rPr>
        <w:t xml:space="preserve"> пожарная сигнализация предназначена для обнаружения пожара и электрического пуска</w:t>
      </w:r>
      <w:r w:rsidR="00E765F1" w:rsidRPr="000F055B">
        <w:rPr>
          <w:sz w:val="28"/>
          <w:szCs w:val="28"/>
        </w:rPr>
        <w:t xml:space="preserve"> дренчерной</w:t>
      </w:r>
      <w:r w:rsidR="00F42440" w:rsidRPr="000F055B">
        <w:rPr>
          <w:sz w:val="28"/>
          <w:szCs w:val="28"/>
        </w:rPr>
        <w:t xml:space="preserve"> пенной</w:t>
      </w:r>
      <w:r w:rsidR="00E765F1" w:rsidRPr="000F055B">
        <w:rPr>
          <w:sz w:val="28"/>
          <w:szCs w:val="28"/>
        </w:rPr>
        <w:t xml:space="preserve"> установки</w:t>
      </w:r>
      <w:r w:rsidRPr="000F055B">
        <w:rPr>
          <w:sz w:val="28"/>
          <w:szCs w:val="28"/>
        </w:rPr>
        <w:t xml:space="preserve"> пожаротушения. Следовательно, при проектировании АПС необходимо учесть следующие требования нормативных документов.</w:t>
      </w:r>
    </w:p>
    <w:p w:rsidR="0041017A" w:rsidRPr="000F055B" w:rsidRDefault="002C00F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 соответствии с</w:t>
      </w:r>
      <w:r w:rsidR="00D8774D" w:rsidRPr="000F055B">
        <w:rPr>
          <w:sz w:val="28"/>
          <w:szCs w:val="28"/>
        </w:rPr>
        <w:t xml:space="preserve"> приложени</w:t>
      </w:r>
      <w:r w:rsidRPr="000F055B">
        <w:rPr>
          <w:sz w:val="28"/>
          <w:szCs w:val="28"/>
        </w:rPr>
        <w:t xml:space="preserve">ем № </w:t>
      </w:r>
      <w:r w:rsidR="00D8774D" w:rsidRPr="000F055B">
        <w:rPr>
          <w:sz w:val="28"/>
          <w:szCs w:val="28"/>
        </w:rPr>
        <w:t xml:space="preserve">3 [3] данное помещение рекомендуется защищать тепловыми или </w:t>
      </w:r>
      <w:r w:rsidR="00F42440" w:rsidRPr="000F055B">
        <w:rPr>
          <w:sz w:val="28"/>
          <w:szCs w:val="28"/>
        </w:rPr>
        <w:t>световыми</w:t>
      </w:r>
      <w:r w:rsidR="00D8774D" w:rsidRPr="000F055B">
        <w:rPr>
          <w:sz w:val="28"/>
          <w:szCs w:val="28"/>
        </w:rPr>
        <w:t xml:space="preserve"> пожарными извещателями. Для АПС возьмем </w:t>
      </w:r>
      <w:r w:rsidR="0099739D" w:rsidRPr="000F055B">
        <w:rPr>
          <w:sz w:val="28"/>
          <w:szCs w:val="28"/>
        </w:rPr>
        <w:t>извещатели</w:t>
      </w:r>
      <w:r w:rsidR="00D8774D" w:rsidRPr="000F055B">
        <w:rPr>
          <w:sz w:val="28"/>
          <w:szCs w:val="28"/>
        </w:rPr>
        <w:t xml:space="preserve"> пожарный </w:t>
      </w:r>
      <w:r w:rsidR="00F42440" w:rsidRPr="000F055B">
        <w:rPr>
          <w:sz w:val="28"/>
          <w:szCs w:val="28"/>
        </w:rPr>
        <w:t>тепловой</w:t>
      </w:r>
      <w:r w:rsidR="00D8774D" w:rsidRPr="000F055B">
        <w:rPr>
          <w:sz w:val="28"/>
          <w:szCs w:val="28"/>
        </w:rPr>
        <w:t xml:space="preserve"> ИП </w:t>
      </w:r>
      <w:r w:rsidR="00F42440" w:rsidRPr="000F055B">
        <w:rPr>
          <w:sz w:val="28"/>
          <w:szCs w:val="28"/>
        </w:rPr>
        <w:t>104 (ДПС)-038</w:t>
      </w:r>
      <w:r w:rsidR="00D8774D" w:rsidRPr="000F055B">
        <w:rPr>
          <w:sz w:val="28"/>
          <w:szCs w:val="28"/>
        </w:rPr>
        <w:t xml:space="preserve">. </w:t>
      </w:r>
      <w:r w:rsidR="0041017A" w:rsidRPr="000F055B">
        <w:rPr>
          <w:sz w:val="28"/>
          <w:szCs w:val="28"/>
        </w:rPr>
        <w:t>По техническим характеристикам</w:t>
      </w:r>
      <w:r w:rsidR="0099739D" w:rsidRPr="000F055B">
        <w:rPr>
          <w:sz w:val="28"/>
          <w:szCs w:val="28"/>
        </w:rPr>
        <w:t>,</w:t>
      </w:r>
      <w:r w:rsidR="0041017A" w:rsidRPr="000F055B">
        <w:rPr>
          <w:sz w:val="28"/>
          <w:szCs w:val="28"/>
        </w:rPr>
        <w:t xml:space="preserve"> данный извещатель</w:t>
      </w:r>
      <w:r w:rsidR="0099739D" w:rsidRPr="000F055B">
        <w:rPr>
          <w:sz w:val="28"/>
          <w:szCs w:val="28"/>
        </w:rPr>
        <w:t>,</w:t>
      </w:r>
      <w:r w:rsidR="0041017A" w:rsidRPr="000F055B">
        <w:rPr>
          <w:sz w:val="28"/>
          <w:szCs w:val="28"/>
        </w:rPr>
        <w:t xml:space="preserve"> пригоден для установки в помещениями с заданными параметрами окружающей среды.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Максимальная высота установки извещателя согласно табл. 4 [3] 12 м. Исходя из требований п. 4 [3] в установках пожарной сигнализации, предназначенных для запуска АУП, необходимо соблюдать условие, что бы каждая точка защищаемого помещения должна контролироваться не менее чем двумя извещателями. Следовательно, принимаем два шлейфа ПС - основной и дублирующий, при чем срабатывание установки предусмотрим при получении тревожного сигнала от извещателей, расположенных в разных шлейфах.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 качестве средства оповещения принимаем концентрато</w:t>
      </w:r>
      <w:r w:rsidR="00F42440" w:rsidRPr="000F055B">
        <w:rPr>
          <w:sz w:val="28"/>
          <w:szCs w:val="28"/>
        </w:rPr>
        <w:t>р сигнально-пусковой пожарный А16-512</w:t>
      </w:r>
      <w:r w:rsidRPr="000F055B">
        <w:rPr>
          <w:sz w:val="28"/>
          <w:szCs w:val="28"/>
        </w:rPr>
        <w:t>, который формирует электрический сигнал для запуска АУП и подает его на щит управления работ АУП.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Размещение пожарных извещателей проведем согласно требованиям п. 4.10 и табл. 4 [3] при высоте установки ПИ </w:t>
      </w:r>
      <w:r w:rsidR="00ED6F30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 xml:space="preserve"> метров площадь, контролируемая одним извещателем принимается 7</w:t>
      </w:r>
      <w:r w:rsidR="009D5C15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 xml:space="preserve"> м</w:t>
      </w:r>
      <w:r w:rsidRPr="000F055B">
        <w:rPr>
          <w:sz w:val="28"/>
          <w:szCs w:val="28"/>
          <w:vertAlign w:val="superscript"/>
        </w:rPr>
        <w:t>2</w:t>
      </w:r>
      <w:r w:rsidRPr="000F055B">
        <w:rPr>
          <w:sz w:val="28"/>
          <w:szCs w:val="28"/>
        </w:rPr>
        <w:t xml:space="preserve">, максимальное расстояние между извещателями не должно превышать </w:t>
      </w:r>
      <w:r w:rsidR="009D5C15" w:rsidRPr="000F055B">
        <w:rPr>
          <w:sz w:val="28"/>
          <w:szCs w:val="28"/>
        </w:rPr>
        <w:t>8</w:t>
      </w:r>
      <w:r w:rsidRPr="000F055B">
        <w:rPr>
          <w:sz w:val="28"/>
          <w:szCs w:val="28"/>
        </w:rPr>
        <w:t>,</w:t>
      </w:r>
      <w:r w:rsidR="009D5C15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 xml:space="preserve"> м, а от извещателей до стены - 4,</w:t>
      </w:r>
      <w:r w:rsidR="009D5C15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 xml:space="preserve"> м. Максимальное расстояние между дублирующими извещателями должно быть равно половине нормативного, определенного по табл. 4 [З], п. 4.2 [З].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С учетом вышеперечисленных требований проведем трассировку извещателей (рис.</w:t>
      </w:r>
      <w:r w:rsidR="00636A44" w:rsidRPr="000F055B">
        <w:rPr>
          <w:sz w:val="28"/>
          <w:szCs w:val="28"/>
        </w:rPr>
        <w:t xml:space="preserve"> 3</w:t>
      </w:r>
      <w:r w:rsidRPr="000F055B">
        <w:rPr>
          <w:sz w:val="28"/>
          <w:szCs w:val="28"/>
        </w:rPr>
        <w:t>.).</w:t>
      </w:r>
    </w:p>
    <w:p w:rsidR="00D8774D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результате трассировки устанавливаем, что необходимо </w:t>
      </w:r>
      <w:r w:rsidR="00636A44" w:rsidRPr="000F055B">
        <w:rPr>
          <w:sz w:val="28"/>
          <w:szCs w:val="28"/>
        </w:rPr>
        <w:t>6</w:t>
      </w:r>
      <w:r w:rsidRPr="000F055B">
        <w:rPr>
          <w:sz w:val="28"/>
          <w:szCs w:val="28"/>
        </w:rPr>
        <w:t xml:space="preserve"> извещателей </w:t>
      </w:r>
      <w:r w:rsidR="003C47F0" w:rsidRPr="000F055B">
        <w:rPr>
          <w:sz w:val="28"/>
          <w:szCs w:val="28"/>
        </w:rPr>
        <w:t>ИП-</w:t>
      </w:r>
      <w:r w:rsidR="00636A44" w:rsidRPr="000F055B">
        <w:rPr>
          <w:sz w:val="28"/>
          <w:szCs w:val="28"/>
        </w:rPr>
        <w:t>104(ДПС)-038</w:t>
      </w:r>
      <w:r w:rsidR="003C47F0" w:rsidRPr="000F055B">
        <w:rPr>
          <w:sz w:val="28"/>
          <w:szCs w:val="28"/>
        </w:rPr>
        <w:t>5</w:t>
      </w:r>
      <w:r w:rsidRPr="000F055B">
        <w:rPr>
          <w:sz w:val="28"/>
          <w:szCs w:val="28"/>
        </w:rPr>
        <w:t xml:space="preserve"> в основном шлейфе и </w:t>
      </w:r>
      <w:r w:rsidR="00636A44" w:rsidRPr="000F055B">
        <w:rPr>
          <w:sz w:val="28"/>
          <w:szCs w:val="28"/>
        </w:rPr>
        <w:t>6</w:t>
      </w:r>
      <w:r w:rsidRPr="000F055B">
        <w:rPr>
          <w:sz w:val="28"/>
          <w:szCs w:val="28"/>
        </w:rPr>
        <w:t xml:space="preserve"> в дублирующем.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  <w:lang w:val="en-US"/>
        </w:rPr>
        <w:t>N</w:t>
      </w:r>
      <w:r w:rsidRPr="000F055B">
        <w:rPr>
          <w:sz w:val="28"/>
          <w:szCs w:val="28"/>
          <w:vertAlign w:val="subscript"/>
        </w:rPr>
        <w:t>ТР</w:t>
      </w:r>
      <w:r w:rsidRPr="000F055B">
        <w:rPr>
          <w:sz w:val="28"/>
          <w:szCs w:val="28"/>
        </w:rPr>
        <w:t xml:space="preserve"> = </w:t>
      </w:r>
      <w:r w:rsidRPr="000F055B">
        <w:rPr>
          <w:sz w:val="28"/>
          <w:szCs w:val="28"/>
          <w:lang w:val="en-US"/>
        </w:rPr>
        <w:t>S</w:t>
      </w:r>
      <w:r w:rsidRPr="000F055B">
        <w:rPr>
          <w:sz w:val="28"/>
          <w:szCs w:val="28"/>
          <w:vertAlign w:val="subscript"/>
        </w:rPr>
        <w:t>ПОМ.</w:t>
      </w:r>
      <w:r w:rsidRPr="000F055B">
        <w:rPr>
          <w:sz w:val="28"/>
          <w:szCs w:val="28"/>
        </w:rPr>
        <w:t>/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  <w:lang w:val="en-US"/>
        </w:rPr>
        <w:t>S</w:t>
      </w:r>
      <w:r w:rsidRPr="000F055B">
        <w:rPr>
          <w:sz w:val="28"/>
          <w:szCs w:val="28"/>
          <w:vertAlign w:val="subscript"/>
        </w:rPr>
        <w:t>ИЗВ.</w:t>
      </w:r>
      <w:r w:rsidRPr="000F055B">
        <w:rPr>
          <w:sz w:val="28"/>
          <w:szCs w:val="28"/>
        </w:rPr>
        <w:t xml:space="preserve"> = </w:t>
      </w:r>
      <w:r w:rsidR="00636A44" w:rsidRPr="000F055B">
        <w:rPr>
          <w:sz w:val="28"/>
          <w:szCs w:val="28"/>
        </w:rPr>
        <w:t>20</w:t>
      </w:r>
      <w:r w:rsidRPr="000F055B">
        <w:rPr>
          <w:sz w:val="28"/>
          <w:szCs w:val="28"/>
        </w:rPr>
        <w:t xml:space="preserve"> х</w:t>
      </w:r>
      <w:r w:rsidR="00636A44" w:rsidRPr="000F055B">
        <w:rPr>
          <w:sz w:val="28"/>
          <w:szCs w:val="28"/>
        </w:rPr>
        <w:t xml:space="preserve"> 15</w:t>
      </w:r>
      <w:r w:rsidRPr="000F055B">
        <w:rPr>
          <w:sz w:val="28"/>
          <w:szCs w:val="28"/>
        </w:rPr>
        <w:t>/ 7</w:t>
      </w:r>
      <w:r w:rsidR="00E8099E" w:rsidRPr="000F055B">
        <w:rPr>
          <w:sz w:val="28"/>
          <w:szCs w:val="28"/>
        </w:rPr>
        <w:t>0</w:t>
      </w:r>
      <w:r w:rsidRPr="000F055B">
        <w:rPr>
          <w:sz w:val="28"/>
          <w:szCs w:val="28"/>
        </w:rPr>
        <w:t xml:space="preserve"> = </w:t>
      </w:r>
      <w:r w:rsidR="00636A44" w:rsidRPr="000F055B">
        <w:rPr>
          <w:sz w:val="28"/>
          <w:szCs w:val="28"/>
        </w:rPr>
        <w:t>4,285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Принимаем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  <w:lang w:val="en-US"/>
        </w:rPr>
        <w:t>N</w:t>
      </w:r>
      <w:r w:rsidRPr="000F055B">
        <w:rPr>
          <w:sz w:val="28"/>
          <w:szCs w:val="28"/>
          <w:vertAlign w:val="subscript"/>
        </w:rPr>
        <w:t>ТР</w:t>
      </w:r>
      <w:r w:rsidRPr="000F055B">
        <w:rPr>
          <w:sz w:val="28"/>
          <w:szCs w:val="28"/>
        </w:rPr>
        <w:t xml:space="preserve"> = </w:t>
      </w:r>
      <w:r w:rsidR="00636A44" w:rsidRPr="000F055B">
        <w:rPr>
          <w:sz w:val="28"/>
          <w:szCs w:val="28"/>
        </w:rPr>
        <w:t>5</w:t>
      </w:r>
    </w:p>
    <w:p w:rsidR="00D8774D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Из формулы видно, что принятое количество извещателей больше требуемого.</w:t>
      </w:r>
    </w:p>
    <w:p w:rsidR="000F055B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  <w:lang w:val="en-US"/>
        </w:rPr>
        <w:t>N</w:t>
      </w:r>
      <w:r w:rsidRPr="000F055B">
        <w:rPr>
          <w:sz w:val="28"/>
          <w:szCs w:val="28"/>
          <w:vertAlign w:val="subscript"/>
        </w:rPr>
        <w:t>Ф</w:t>
      </w:r>
      <w:r w:rsidRPr="000F055B">
        <w:rPr>
          <w:sz w:val="28"/>
          <w:szCs w:val="28"/>
        </w:rPr>
        <w:t xml:space="preserve">&gt; </w:t>
      </w:r>
      <w:r w:rsidRPr="000F055B">
        <w:rPr>
          <w:sz w:val="28"/>
          <w:szCs w:val="28"/>
          <w:lang w:val="en-US"/>
        </w:rPr>
        <w:t>N</w:t>
      </w:r>
      <w:r w:rsidRPr="000F055B">
        <w:rPr>
          <w:sz w:val="28"/>
          <w:szCs w:val="28"/>
          <w:vertAlign w:val="subscript"/>
        </w:rPr>
        <w:t>ТР.</w:t>
      </w:r>
      <w:r w:rsidRPr="000F055B">
        <w:rPr>
          <w:sz w:val="28"/>
          <w:szCs w:val="28"/>
        </w:rPr>
        <w:t>;</w:t>
      </w:r>
      <w:r w:rsidR="000F055B">
        <w:rPr>
          <w:sz w:val="28"/>
          <w:szCs w:val="28"/>
        </w:rPr>
        <w:t xml:space="preserve"> </w:t>
      </w:r>
      <w:r w:rsidR="00C93D23" w:rsidRPr="000F055B">
        <w:rPr>
          <w:sz w:val="28"/>
          <w:szCs w:val="28"/>
        </w:rPr>
        <w:t>12</w:t>
      </w:r>
      <w:r w:rsidRPr="000F055B">
        <w:rPr>
          <w:sz w:val="28"/>
          <w:szCs w:val="28"/>
        </w:rPr>
        <w:t xml:space="preserve"> &gt; </w:t>
      </w:r>
      <w:r w:rsidR="00C93D23" w:rsidRPr="000F055B">
        <w:rPr>
          <w:sz w:val="28"/>
          <w:szCs w:val="28"/>
        </w:rPr>
        <w:t>10</w:t>
      </w:r>
      <w:r w:rsidRPr="000F055B">
        <w:rPr>
          <w:sz w:val="28"/>
          <w:szCs w:val="28"/>
        </w:rPr>
        <w:t>.</w:t>
      </w:r>
    </w:p>
    <w:p w:rsidR="00C93D23" w:rsidRDefault="00C93D23" w:rsidP="000F055B">
      <w:pPr>
        <w:spacing w:line="360" w:lineRule="auto"/>
        <w:ind w:firstLine="709"/>
        <w:rPr>
          <w:sz w:val="28"/>
          <w:szCs w:val="28"/>
        </w:rPr>
      </w:pPr>
    </w:p>
    <w:p w:rsidR="007B5530" w:rsidRPr="000F055B" w:rsidRDefault="000F055B" w:rsidP="000F05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519F">
        <w:rPr>
          <w:sz w:val="28"/>
          <w:szCs w:val="28"/>
        </w:rPr>
        <w:pict>
          <v:shape id="_x0000_i1046" type="#_x0000_t75" style="width:403.5pt;height:293.25pt" o:allowoverlap="f">
            <v:imagedata r:id="rId26" o:title=""/>
          </v:shape>
        </w:pict>
      </w:r>
    </w:p>
    <w:p w:rsidR="0073656D" w:rsidRPr="000F055B" w:rsidRDefault="007B5530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Рис. 3. Схема расстановки </w:t>
      </w:r>
      <w:r w:rsidR="0041017A" w:rsidRPr="000F055B">
        <w:rPr>
          <w:sz w:val="28"/>
          <w:szCs w:val="28"/>
        </w:rPr>
        <w:t>пожарных извещателей.</w:t>
      </w:r>
    </w:p>
    <w:p w:rsidR="000F055B" w:rsidRDefault="000F055B" w:rsidP="000F055B">
      <w:pPr>
        <w:spacing w:line="360" w:lineRule="auto"/>
        <w:ind w:firstLine="709"/>
        <w:rPr>
          <w:sz w:val="28"/>
          <w:szCs w:val="28"/>
        </w:rPr>
      </w:pPr>
    </w:p>
    <w:p w:rsidR="003606C8" w:rsidRPr="000F055B" w:rsidRDefault="0073656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Извещатели ИП 104 (ДПС)-038 в качестве </w:t>
      </w:r>
      <w:r w:rsidR="00B45851" w:rsidRPr="000F055B">
        <w:rPr>
          <w:sz w:val="28"/>
          <w:szCs w:val="28"/>
        </w:rPr>
        <w:t>чувствительного</w:t>
      </w:r>
      <w:r w:rsidRPr="000F055B">
        <w:rPr>
          <w:sz w:val="28"/>
          <w:szCs w:val="28"/>
        </w:rPr>
        <w:t xml:space="preserve"> элемента использует</w:t>
      </w:r>
      <w:r w:rsidR="00860507" w:rsidRPr="000F055B">
        <w:rPr>
          <w:sz w:val="28"/>
          <w:szCs w:val="28"/>
        </w:rPr>
        <w:t xml:space="preserve"> блок из 50 термопар. Извещатель применяется в помещениях со взрыво-пожаро опасной средой и включается в цепь ПКО через исполнительный орган управления ПИО 017-01. Данное устройство предназначено для подключения в цепь не более 10 извещателей и устанавливается вне взрыво-пожаро опасной зоны. ПИО 017-01 подключается непосредственно к ПКО А16-512.</w:t>
      </w:r>
    </w:p>
    <w:p w:rsidR="000F055B" w:rsidRDefault="000F055B" w:rsidP="000F055B">
      <w:pPr>
        <w:spacing w:line="360" w:lineRule="auto"/>
        <w:ind w:firstLine="709"/>
        <w:rPr>
          <w:b/>
          <w:bCs/>
          <w:iCs/>
          <w:sz w:val="28"/>
          <w:szCs w:val="28"/>
        </w:rPr>
      </w:pPr>
    </w:p>
    <w:p w:rsidR="00D8774D" w:rsidRDefault="00D8774D" w:rsidP="000F055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КОМПОНОВКА ОСНОВНЫХ УЗЛОВ И ОПИСАНИЕ РАБОТЫ</w:t>
      </w:r>
      <w:r w:rsidR="000F055B">
        <w:rPr>
          <w:b/>
          <w:bCs/>
          <w:iCs/>
          <w:sz w:val="28"/>
          <w:szCs w:val="28"/>
        </w:rPr>
        <w:t xml:space="preserve"> </w:t>
      </w:r>
      <w:r w:rsidRPr="000F055B">
        <w:rPr>
          <w:b/>
          <w:bCs/>
          <w:iCs/>
          <w:sz w:val="28"/>
          <w:szCs w:val="28"/>
        </w:rPr>
        <w:t>УСТАНОВКИ АППЗ ОБЪЕКТА</w:t>
      </w:r>
    </w:p>
    <w:p w:rsidR="000F055B" w:rsidRPr="000F055B" w:rsidRDefault="000F055B" w:rsidP="000F055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7215C9" w:rsidRPr="000F055B" w:rsidRDefault="007215C9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На данном </w:t>
      </w:r>
      <w:r w:rsidR="006028E4" w:rsidRPr="000F055B">
        <w:rPr>
          <w:sz w:val="28"/>
          <w:szCs w:val="28"/>
        </w:rPr>
        <w:t>объекте</w:t>
      </w:r>
      <w:r w:rsidRPr="000F055B">
        <w:rPr>
          <w:sz w:val="28"/>
          <w:szCs w:val="28"/>
        </w:rPr>
        <w:t xml:space="preserve"> будет смонтирована установка</w:t>
      </w:r>
      <w:r w:rsidR="00D8774D" w:rsidRPr="000F055B">
        <w:rPr>
          <w:sz w:val="28"/>
          <w:szCs w:val="28"/>
        </w:rPr>
        <w:t xml:space="preserve"> </w:t>
      </w:r>
      <w:r w:rsidR="0073656D" w:rsidRPr="000F055B">
        <w:rPr>
          <w:sz w:val="28"/>
          <w:szCs w:val="28"/>
        </w:rPr>
        <w:t>пенного</w:t>
      </w:r>
      <w:r w:rsidR="00D8774D" w:rsidRPr="000F055B">
        <w:rPr>
          <w:sz w:val="28"/>
          <w:szCs w:val="28"/>
        </w:rPr>
        <w:t xml:space="preserve"> пожаротушения </w:t>
      </w:r>
      <w:r w:rsidRPr="000F055B">
        <w:rPr>
          <w:sz w:val="28"/>
          <w:szCs w:val="28"/>
        </w:rPr>
        <w:t>дренчерного типа. В качестве оросителей применяются оросители типа ОПД с диаметром выходного отверстия 12 мм. Оросители смонтированы на трубопроводе из стальных труб с уклоном 0,005 м к узлу управления на расстоянии 0,02 м потолка. Соединение трубопровода предусмотрены сварные.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В данной установке применен узел управления</w:t>
      </w:r>
      <w:r w:rsidR="00B2613B" w:rsidRPr="000F055B">
        <w:rPr>
          <w:sz w:val="28"/>
          <w:szCs w:val="28"/>
        </w:rPr>
        <w:t xml:space="preserve"> предназначе</w:t>
      </w:r>
      <w:r w:rsidR="007D6B21" w:rsidRPr="000F055B">
        <w:rPr>
          <w:sz w:val="28"/>
          <w:szCs w:val="28"/>
        </w:rPr>
        <w:t>нный для запуска и проверки АУПТ с клапаном КБГМ имеющий электропривод и дублирующий механический привод. Управляющий импульс на открытие клапана формируется ПКО А16-512.</w:t>
      </w:r>
      <w:r w:rsidR="001207D2" w:rsidRPr="000F055B">
        <w:rPr>
          <w:sz w:val="28"/>
          <w:szCs w:val="28"/>
        </w:rPr>
        <w:t xml:space="preserve"> Применение столь дорогостоящего клапана обусловлено быстротой его срабатывания.</w:t>
      </w:r>
    </w:p>
    <w:p w:rsidR="00D6210A" w:rsidRPr="000F055B" w:rsidRDefault="00D6210A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Узел располагается в отапливаемом помещении как правило на первом этаже здания. Дозирование пенообразователя </w:t>
      </w:r>
      <w:r w:rsidR="000437E5" w:rsidRPr="000F055B">
        <w:rPr>
          <w:sz w:val="28"/>
          <w:szCs w:val="28"/>
        </w:rPr>
        <w:t>производится насосами дозаторами с использованием дозирующего устройства (дозирующая шайба)</w:t>
      </w:r>
      <w:r w:rsidR="00F46FAA" w:rsidRPr="000F055B">
        <w:rPr>
          <w:sz w:val="28"/>
          <w:szCs w:val="28"/>
        </w:rPr>
        <w:t xml:space="preserve"> в подающий трубопровод в поток жидкости </w:t>
      </w:r>
      <w:r w:rsidR="00F01146" w:rsidRPr="000F055B">
        <w:rPr>
          <w:sz w:val="28"/>
          <w:szCs w:val="28"/>
        </w:rPr>
        <w:t>создаваемый основным насосом.</w:t>
      </w:r>
    </w:p>
    <w:p w:rsidR="000A0267" w:rsidRPr="000F055B" w:rsidRDefault="000A026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системе используются сигнальные приборы давления, как правило электрические. </w:t>
      </w:r>
      <w:r w:rsidR="00B16379" w:rsidRPr="000F055B">
        <w:rPr>
          <w:sz w:val="28"/>
          <w:szCs w:val="28"/>
        </w:rPr>
        <w:t>Наиболее распространен в данное время сигнализатор давления универсальный (СДУ). При срабатывании установки пожаротушения</w:t>
      </w:r>
      <w:r w:rsidR="00EE1936" w:rsidRPr="000F055B">
        <w:rPr>
          <w:sz w:val="28"/>
          <w:szCs w:val="28"/>
        </w:rPr>
        <w:t xml:space="preserve"> СДУ реагирует на повышения давления в </w:t>
      </w:r>
      <w:r w:rsidR="00B27CD5" w:rsidRPr="000F055B">
        <w:rPr>
          <w:sz w:val="28"/>
          <w:szCs w:val="28"/>
        </w:rPr>
        <w:t xml:space="preserve">установке и формирует электрический сигнал о сработке. Во внешние цепи СДУ могут включатся различные </w:t>
      </w:r>
      <w:r w:rsidR="00A2415C" w:rsidRPr="000F055B">
        <w:rPr>
          <w:sz w:val="28"/>
          <w:szCs w:val="28"/>
        </w:rPr>
        <w:t>сигнализаторы и органы управления.</w:t>
      </w:r>
    </w:p>
    <w:p w:rsidR="00880F83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Автоматическая пожарная сигнализация будет являться системой обнаружения пожара и пуска АУП. В качестве пожарных извещателей используются </w:t>
      </w:r>
      <w:r w:rsidR="00A2415C" w:rsidRPr="000F055B">
        <w:rPr>
          <w:sz w:val="28"/>
          <w:szCs w:val="28"/>
        </w:rPr>
        <w:t>тепловые</w:t>
      </w:r>
      <w:r w:rsidRPr="000F055B">
        <w:rPr>
          <w:sz w:val="28"/>
          <w:szCs w:val="28"/>
        </w:rPr>
        <w:t xml:space="preserve"> пожарные извещатели ИП-</w:t>
      </w:r>
      <w:r w:rsidR="00A2415C" w:rsidRPr="000F055B">
        <w:rPr>
          <w:sz w:val="28"/>
          <w:szCs w:val="28"/>
        </w:rPr>
        <w:t>104 (ДПС)</w:t>
      </w:r>
      <w:r w:rsidRPr="000F055B">
        <w:rPr>
          <w:sz w:val="28"/>
          <w:szCs w:val="28"/>
        </w:rPr>
        <w:t>-</w:t>
      </w:r>
      <w:r w:rsidR="00A2415C" w:rsidRPr="000F055B">
        <w:rPr>
          <w:sz w:val="28"/>
          <w:szCs w:val="28"/>
        </w:rPr>
        <w:t>038</w:t>
      </w:r>
      <w:r w:rsidRPr="000F055B">
        <w:rPr>
          <w:sz w:val="28"/>
          <w:szCs w:val="28"/>
        </w:rPr>
        <w:t xml:space="preserve">. </w:t>
      </w:r>
      <w:r w:rsidR="00D95EBB" w:rsidRPr="000F055B">
        <w:rPr>
          <w:sz w:val="28"/>
          <w:szCs w:val="28"/>
        </w:rPr>
        <w:t>Данный извещатель дифференциального</w:t>
      </w:r>
      <w:r w:rsidR="00335C15" w:rsidRPr="000F055B">
        <w:rPr>
          <w:sz w:val="28"/>
          <w:szCs w:val="28"/>
        </w:rPr>
        <w:t xml:space="preserve"> </w:t>
      </w:r>
      <w:r w:rsidR="00D95EBB" w:rsidRPr="000F055B">
        <w:rPr>
          <w:sz w:val="28"/>
          <w:szCs w:val="28"/>
        </w:rPr>
        <w:t>д</w:t>
      </w:r>
      <w:r w:rsidR="00335C15" w:rsidRPr="000F055B">
        <w:rPr>
          <w:sz w:val="28"/>
          <w:szCs w:val="28"/>
        </w:rPr>
        <w:t>ействия.</w:t>
      </w:r>
      <w:r w:rsidR="00F11ADA" w:rsidRPr="000F055B">
        <w:rPr>
          <w:sz w:val="28"/>
          <w:szCs w:val="28"/>
        </w:rPr>
        <w:t xml:space="preserve"> Устанавливается на потолке.</w:t>
      </w:r>
    </w:p>
    <w:p w:rsidR="00880F83" w:rsidRPr="000F055B" w:rsidRDefault="00880F8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Основные параметры пожарного извещателя ДПС – 038</w:t>
      </w:r>
    </w:p>
    <w:p w:rsidR="00D95EBB" w:rsidRPr="000F055B" w:rsidRDefault="00880F83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ТЭДС при повышении температуры на 30 </w:t>
      </w:r>
      <w:r w:rsidRPr="000F055B">
        <w:rPr>
          <w:sz w:val="28"/>
          <w:szCs w:val="28"/>
          <w:vertAlign w:val="superscript"/>
        </w:rPr>
        <w:t>0</w:t>
      </w:r>
      <w:r w:rsidRPr="000F055B">
        <w:rPr>
          <w:sz w:val="28"/>
          <w:szCs w:val="28"/>
        </w:rPr>
        <w:t>С</w:t>
      </w:r>
      <w:r w:rsidR="00D95EBB" w:rsidRP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в течении 7 с., мВ</w:t>
      </w:r>
      <w:r w:rsidR="00B47A2E" w:rsidRPr="000F055B">
        <w:rPr>
          <w:sz w:val="28"/>
          <w:szCs w:val="28"/>
        </w:rPr>
        <w:t>..</w:t>
      </w:r>
      <w:r w:rsidR="00CD1C47" w:rsidRPr="000F055B">
        <w:rPr>
          <w:sz w:val="28"/>
          <w:szCs w:val="28"/>
        </w:rPr>
        <w:t>17</w:t>
      </w:r>
    </w:p>
    <w:p w:rsidR="00D95EBB" w:rsidRPr="000F055B" w:rsidRDefault="00CD1C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Защищаемая площадь, м</w:t>
      </w:r>
      <w:r w:rsidRPr="000F055B">
        <w:rPr>
          <w:sz w:val="28"/>
          <w:szCs w:val="28"/>
          <w:vertAlign w:val="superscript"/>
        </w:rPr>
        <w:t>2</w:t>
      </w:r>
      <w:r w:rsidRPr="000F055B">
        <w:rPr>
          <w:sz w:val="28"/>
          <w:szCs w:val="28"/>
        </w:rPr>
        <w:t xml:space="preserve"> </w:t>
      </w:r>
      <w:r w:rsid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не более 30</w:t>
      </w:r>
    </w:p>
    <w:p w:rsidR="00CD1C47" w:rsidRPr="000F055B" w:rsidRDefault="00CD1C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Условия эксплуатации</w:t>
      </w:r>
    </w:p>
    <w:p w:rsidR="00CD1C47" w:rsidRPr="000F055B" w:rsidRDefault="00CD1C47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Температура, </w:t>
      </w:r>
      <w:r w:rsidRPr="000F055B">
        <w:rPr>
          <w:sz w:val="28"/>
          <w:szCs w:val="28"/>
          <w:vertAlign w:val="superscript"/>
        </w:rPr>
        <w:t>0</w:t>
      </w:r>
      <w:r w:rsidRPr="000F055B">
        <w:rPr>
          <w:sz w:val="28"/>
          <w:szCs w:val="28"/>
        </w:rPr>
        <w:t>С 5-40</w:t>
      </w:r>
    </w:p>
    <w:p w:rsidR="00B47A2E" w:rsidRPr="000F055B" w:rsidRDefault="00B47A2E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Относительная влажность, % до 80</w:t>
      </w:r>
    </w:p>
    <w:p w:rsidR="00B47A2E" w:rsidRPr="000F055B" w:rsidRDefault="00B47A2E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Включение извещателей в цепь прибора</w:t>
      </w:r>
      <w:r w:rsidR="00F11ADA" w:rsidRPr="000F055B">
        <w:rPr>
          <w:sz w:val="28"/>
          <w:szCs w:val="28"/>
        </w:rPr>
        <w:t xml:space="preserve"> А16-512</w:t>
      </w:r>
      <w:r w:rsidRPr="000F055B">
        <w:rPr>
          <w:sz w:val="28"/>
          <w:szCs w:val="28"/>
        </w:rPr>
        <w:t xml:space="preserve"> осуществляется через орган управления</w:t>
      </w:r>
      <w:r w:rsidR="00F11ADA" w:rsidRPr="000F055B">
        <w:rPr>
          <w:sz w:val="28"/>
          <w:szCs w:val="28"/>
        </w:rPr>
        <w:t xml:space="preserve"> ПИО 017-01.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 качестве прибора приемно-контрольного принимаем пульт пожарной сигнализации </w:t>
      </w:r>
      <w:r w:rsidR="00F11ADA" w:rsidRPr="000F055B">
        <w:rPr>
          <w:sz w:val="28"/>
          <w:szCs w:val="28"/>
        </w:rPr>
        <w:t>А16-512 с блоком реле</w:t>
      </w:r>
      <w:r w:rsidR="008E3502" w:rsidRPr="000F055B">
        <w:rPr>
          <w:sz w:val="28"/>
          <w:szCs w:val="28"/>
        </w:rPr>
        <w:t xml:space="preserve"> АР-16</w:t>
      </w:r>
      <w:r w:rsidRPr="000F055B">
        <w:rPr>
          <w:sz w:val="28"/>
          <w:szCs w:val="28"/>
        </w:rPr>
        <w:t xml:space="preserve">, предназначенный для приема сигналов от пожарных извещателей, подачи звукового и оптического тревожных извещений о пожаре и включении установок пожаротушения. Пульт </w:t>
      </w:r>
      <w:r w:rsidR="008E3502" w:rsidRPr="000F055B">
        <w:rPr>
          <w:sz w:val="28"/>
          <w:szCs w:val="28"/>
        </w:rPr>
        <w:t xml:space="preserve">А16-512 с блоком реле АР-16 </w:t>
      </w:r>
      <w:r w:rsidRPr="000F055B">
        <w:rPr>
          <w:sz w:val="28"/>
          <w:szCs w:val="28"/>
        </w:rPr>
        <w:t xml:space="preserve">выполняется в настенном варианте. Пульт обеспечивает прием сигналов «Пожар» от автоматических и ручных пожарных извещателей, формируемых в виде дискретного уменьшения электрического сопротивления выходной цепи извещателя до величины, </w:t>
      </w:r>
      <w:r w:rsidR="008E3502" w:rsidRPr="000F055B">
        <w:rPr>
          <w:sz w:val="28"/>
          <w:szCs w:val="28"/>
        </w:rPr>
        <w:t>не превышающей 450 Ом</w:t>
      </w:r>
      <w:r w:rsidRPr="000F055B">
        <w:rPr>
          <w:sz w:val="28"/>
          <w:szCs w:val="28"/>
        </w:rPr>
        <w:t>. Максимальное число активных пожарных извещателей, включаемых в один шлейф</w:t>
      </w:r>
      <w:r w:rsidR="008E3502" w:rsidRPr="000F055B">
        <w:rPr>
          <w:sz w:val="28"/>
          <w:szCs w:val="28"/>
        </w:rPr>
        <w:t xml:space="preserve"> через устройство ПИО-017-01 – 10 шт.</w:t>
      </w:r>
      <w:r w:rsidRPr="000F055B">
        <w:rPr>
          <w:sz w:val="28"/>
          <w:szCs w:val="28"/>
        </w:rPr>
        <w:t>, максимальное сопротивление шлейфа 500 Ом. Напряжение в линии АСПТ при включении сигнала пуска установки пожаротушения 24В</w:t>
      </w:r>
      <w:r w:rsidR="008E3502" w:rsidRPr="000F055B">
        <w:rPr>
          <w:sz w:val="28"/>
          <w:szCs w:val="28"/>
        </w:rPr>
        <w:t>/12</w:t>
      </w:r>
      <w:r w:rsidR="00C7677D" w:rsidRPr="000F055B">
        <w:rPr>
          <w:sz w:val="28"/>
          <w:szCs w:val="28"/>
        </w:rPr>
        <w:t>В</w:t>
      </w:r>
      <w:r w:rsidRPr="000F055B">
        <w:rPr>
          <w:sz w:val="28"/>
          <w:szCs w:val="28"/>
        </w:rPr>
        <w:t>.</w:t>
      </w:r>
    </w:p>
    <w:p w:rsidR="00C91274" w:rsidRPr="000F055B" w:rsidRDefault="00D8774D" w:rsidP="000F055B">
      <w:pPr>
        <w:spacing w:line="360" w:lineRule="auto"/>
        <w:ind w:firstLine="709"/>
        <w:rPr>
          <w:sz w:val="28"/>
          <w:szCs w:val="28"/>
          <w:lang w:val="en-US"/>
        </w:rPr>
      </w:pPr>
      <w:r w:rsidRPr="000F055B">
        <w:rPr>
          <w:sz w:val="28"/>
          <w:szCs w:val="28"/>
        </w:rPr>
        <w:t>Дистанционное включение установки осуществляется пусковыми электрическими кнопками, установленными у входа в защищаемое помещение. Местный пуск производится ручным включением клапана</w:t>
      </w:r>
    </w:p>
    <w:p w:rsidR="000F055B" w:rsidRDefault="000F055B" w:rsidP="000F055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8774D" w:rsidRDefault="00D8774D" w:rsidP="000F055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0F055B">
        <w:rPr>
          <w:b/>
          <w:bCs/>
          <w:iCs/>
          <w:sz w:val="28"/>
          <w:szCs w:val="28"/>
        </w:rPr>
        <w:t>КРАТКАЯ ИНСТРУКЦИЯ ПО ЭКСПЛУАТАЦИИ УСТАНОВОК</w:t>
      </w:r>
      <w:r w:rsidR="000F055B">
        <w:rPr>
          <w:b/>
          <w:bCs/>
          <w:iCs/>
          <w:sz w:val="28"/>
          <w:szCs w:val="28"/>
        </w:rPr>
        <w:t xml:space="preserve"> </w:t>
      </w:r>
      <w:r w:rsidRPr="000F055B">
        <w:rPr>
          <w:b/>
          <w:bCs/>
          <w:iCs/>
          <w:sz w:val="28"/>
          <w:szCs w:val="28"/>
        </w:rPr>
        <w:t>АППЗ ОБЪЕКТА</w:t>
      </w:r>
    </w:p>
    <w:p w:rsidR="000F055B" w:rsidRPr="000F055B" w:rsidRDefault="000F055B" w:rsidP="000F055B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8774D" w:rsidRPr="000F055B" w:rsidRDefault="00D8774D" w:rsidP="000F055B">
      <w:pPr>
        <w:pStyle w:val="1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I. Общие положения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1.1. Настоящая инструкция устанавливает обязанности оперативного персонала при эксплуатации АУГП на объекте.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1.2. Оперативный персонал должен пройти медицинский осмотр при поступлении на дежурство и периодически 1 раз в 2 года.</w:t>
      </w:r>
    </w:p>
    <w:p w:rsidR="00540679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1.3. Оперативный персонал при назначении на работу обязан пройти подготовку и стажировку на рабочем месте течение двух недель. Во время подготовки необходимо изучить:</w:t>
      </w:r>
    </w:p>
    <w:p w:rsidR="00540679" w:rsidRPr="000F055B" w:rsidRDefault="00D8774D" w:rsidP="000F055B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требования настоящей инструкции;</w:t>
      </w:r>
    </w:p>
    <w:p w:rsidR="00540679" w:rsidRPr="000F055B" w:rsidRDefault="00D8774D" w:rsidP="000F055B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ППБ РБ 1.02-94;</w:t>
      </w:r>
    </w:p>
    <w:p w:rsidR="00540679" w:rsidRPr="000F055B" w:rsidRDefault="00D8774D" w:rsidP="000F055B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проектную документацию на установку;</w:t>
      </w:r>
    </w:p>
    <w:p w:rsidR="00540679" w:rsidRPr="000F055B" w:rsidRDefault="00D8774D" w:rsidP="000F055B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порядок ведения документации;</w:t>
      </w:r>
    </w:p>
    <w:p w:rsidR="00D8774D" w:rsidRPr="000F055B" w:rsidRDefault="00D8774D" w:rsidP="000F055B">
      <w:pPr>
        <w:numPr>
          <w:ilvl w:val="1"/>
          <w:numId w:val="4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инструкции заводов изготовителей по эксплуатации отдельных частей установки.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1.4. К самостоятельной работе допускаются лица, сдавшие зачет по знанию устройства УПА с регистрацией в журнале проверки знаний обслуживающего и оперативного персонала.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1.5. Переаттестация производится 1 раз в год квалификационной комиссией.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1.6. Лиц из числа оперативного персонала, показывающие неудовлетворительные знания, а также нарушающие требования нормативно-технической документации, отстраняются от дежурства до прохождения переподготовки.</w:t>
      </w:r>
    </w:p>
    <w:p w:rsidR="00D8774D" w:rsidRPr="000F055B" w:rsidRDefault="00D8774D" w:rsidP="000F055B">
      <w:pPr>
        <w:pStyle w:val="1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II. Специальные требования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2.1. Оперативный персонал обязан изучить и соблюдать инструкцию.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2.2. Оперативный персонал должен знать: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технические характеристики АУГП и принципы их действия;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наименование, местонахождение и пожарную опасность защищаемых помещений;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порядок ведения оперативной документации;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порядок проверки работоспособности АУГП;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порядок вызова пожарной службы;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расположение пожарных извещателей;</w:t>
      </w:r>
    </w:p>
    <w:p w:rsidR="00D8774D" w:rsidRPr="000F055B" w:rsidRDefault="00D8774D" w:rsidP="000F055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правила эксплуатации и техники безопасности.</w:t>
      </w:r>
    </w:p>
    <w:p w:rsidR="00D8774D" w:rsidRPr="000F055B" w:rsidRDefault="00D8774D" w:rsidP="000F055B">
      <w:pPr>
        <w:spacing w:line="360" w:lineRule="auto"/>
        <w:ind w:firstLine="709"/>
        <w:rPr>
          <w:b/>
          <w:bCs/>
          <w:sz w:val="28"/>
          <w:szCs w:val="28"/>
        </w:rPr>
      </w:pPr>
      <w:r w:rsidRPr="000F055B">
        <w:rPr>
          <w:b/>
          <w:bCs/>
          <w:sz w:val="28"/>
          <w:szCs w:val="28"/>
        </w:rPr>
        <w:t>I</w:t>
      </w:r>
      <w:r w:rsidRPr="000F055B">
        <w:rPr>
          <w:b/>
          <w:bCs/>
          <w:sz w:val="28"/>
          <w:szCs w:val="28"/>
          <w:lang w:val="en-US"/>
        </w:rPr>
        <w:t>I</w:t>
      </w:r>
      <w:r w:rsidRPr="000F055B">
        <w:rPr>
          <w:b/>
          <w:bCs/>
          <w:sz w:val="28"/>
          <w:szCs w:val="28"/>
        </w:rPr>
        <w:t>I. Обязанности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 Перед началом работы: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3.1.1 заступающий работник из числа оперативного персонала обязан прибыть за 15 минут до смены дежурства;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3.1.2 проверить работоспособность связи с пожарной службой и службами предприятия;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3.1.3 проверить техническое состояние аппаратуры контроля и СПС. Проверка работоспособности и исправности приемно-контрольного прибора.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3.1.4. Сделать отметку о неисправности или исправности в журнале приема и сдачи дежурств.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3.1.5. Привести в надлежащий вид рабочее место, после чего принять смену с росписью в журнале.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3.2. Во время работы: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3.2.1 дежурному персоналу запрещается отлучаться из помещения пожарного поста без разрешения начальника службы предприятия, которому он подчиняется или дежурного по объекту;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3.2.2 запрещается в помещении пожарного поста находиться посторонним людям;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3.2.3 во время работы дежурного персонала обязан:</w:t>
      </w:r>
    </w:p>
    <w:p w:rsidR="00D8774D" w:rsidRPr="000F055B" w:rsidRDefault="00D8774D" w:rsidP="000F055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следить за техническим состоянием УПА;</w:t>
      </w:r>
    </w:p>
    <w:p w:rsidR="00D8774D" w:rsidRPr="000F055B" w:rsidRDefault="00D8774D" w:rsidP="000F055B">
      <w:pPr>
        <w:pStyle w:val="a5"/>
        <w:numPr>
          <w:ilvl w:val="0"/>
          <w:numId w:val="13"/>
        </w:numPr>
        <w:tabs>
          <w:tab w:val="clear" w:pos="720"/>
        </w:tabs>
        <w:spacing w:after="0"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при обнаружении неисправностей установки</w:t>
      </w:r>
      <w:r w:rsidR="00540679" w:rsidRPr="000F055B">
        <w:rPr>
          <w:sz w:val="28"/>
          <w:szCs w:val="28"/>
        </w:rPr>
        <w:t xml:space="preserve"> – </w:t>
      </w:r>
      <w:r w:rsidRPr="000F055B">
        <w:rPr>
          <w:sz w:val="28"/>
          <w:szCs w:val="28"/>
        </w:rPr>
        <w:t>немедленно сообщить ответственному за эксплуатацию</w:t>
      </w:r>
      <w:r w:rsidR="00540679" w:rsidRPr="000F055B">
        <w:rPr>
          <w:sz w:val="28"/>
          <w:szCs w:val="28"/>
        </w:rPr>
        <w:t xml:space="preserve">, </w:t>
      </w:r>
      <w:r w:rsidRPr="000F055B">
        <w:rPr>
          <w:sz w:val="28"/>
          <w:szCs w:val="28"/>
        </w:rPr>
        <w:t>принять меры по их устра</w:t>
      </w:r>
      <w:r w:rsidR="00540679" w:rsidRPr="000F055B">
        <w:rPr>
          <w:sz w:val="28"/>
          <w:szCs w:val="28"/>
        </w:rPr>
        <w:t>нению;</w:t>
      </w:r>
    </w:p>
    <w:p w:rsidR="00D8774D" w:rsidRPr="000F055B" w:rsidRDefault="00D8774D" w:rsidP="000F055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 xml:space="preserve">все случаи </w:t>
      </w:r>
      <w:r w:rsidR="00F567DC" w:rsidRPr="000F055B">
        <w:rPr>
          <w:sz w:val="28"/>
          <w:szCs w:val="28"/>
        </w:rPr>
        <w:t>сработки</w:t>
      </w:r>
      <w:r w:rsidRPr="000F055B">
        <w:rPr>
          <w:sz w:val="28"/>
          <w:szCs w:val="28"/>
        </w:rPr>
        <w:t xml:space="preserve"> АУ</w:t>
      </w:r>
      <w:r w:rsidR="009714B1" w:rsidRPr="000F055B">
        <w:rPr>
          <w:sz w:val="28"/>
          <w:szCs w:val="28"/>
        </w:rPr>
        <w:t>ПТ</w:t>
      </w:r>
      <w:r w:rsidRPr="000F055B">
        <w:rPr>
          <w:sz w:val="28"/>
          <w:szCs w:val="28"/>
        </w:rPr>
        <w:t xml:space="preserve"> фиксировать в журнале сработки АУ</w:t>
      </w:r>
      <w:r w:rsidR="009714B1" w:rsidRPr="000F055B">
        <w:rPr>
          <w:sz w:val="28"/>
          <w:szCs w:val="28"/>
        </w:rPr>
        <w:t>ПТ</w:t>
      </w:r>
      <w:r w:rsidRPr="000F055B">
        <w:rPr>
          <w:sz w:val="28"/>
          <w:szCs w:val="28"/>
        </w:rPr>
        <w:t xml:space="preserve"> и СПС;</w:t>
      </w:r>
    </w:p>
    <w:p w:rsidR="00D8774D" w:rsidRPr="000F055B" w:rsidRDefault="00D8774D" w:rsidP="000F055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при ложном срабатывании пожарной сигнализации обследовать помещения совместно с инструктором отдела техники безопасности или представителем охраны и дать заключение о ложном срабатывании;</w:t>
      </w:r>
    </w:p>
    <w:p w:rsidR="00D8774D" w:rsidRPr="000F055B" w:rsidRDefault="00D8774D" w:rsidP="000F055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уходя по служебным делам, оставлять на своем месте дежурного энергетика, точно указать свое местонахождение;</w:t>
      </w:r>
    </w:p>
    <w:p w:rsidR="00D8774D" w:rsidRPr="000F055B" w:rsidRDefault="00D8774D" w:rsidP="000F055B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уметь в случае необходимости включить систему пожаротушения согласно инструкции.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3.2.4. При возникновении пожара на объекте оперативный персонал обязан:</w:t>
      </w:r>
    </w:p>
    <w:p w:rsidR="00D8774D" w:rsidRPr="000F055B" w:rsidRDefault="00D8774D" w:rsidP="000F055B">
      <w:pPr>
        <w:numPr>
          <w:ilvl w:val="0"/>
          <w:numId w:val="5"/>
        </w:numPr>
        <w:tabs>
          <w:tab w:val="clear" w:pos="40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вызвать пожарную службу;</w:t>
      </w:r>
    </w:p>
    <w:p w:rsidR="00D8774D" w:rsidRPr="000F055B" w:rsidRDefault="00D8774D" w:rsidP="000F055B">
      <w:pPr>
        <w:numPr>
          <w:ilvl w:val="0"/>
          <w:numId w:val="5"/>
        </w:numPr>
        <w:tabs>
          <w:tab w:val="clear" w:pos="40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оповестить работников предприятия о пожаре;</w:t>
      </w:r>
    </w:p>
    <w:p w:rsidR="00D8774D" w:rsidRPr="000F055B" w:rsidRDefault="00D8774D" w:rsidP="000F055B">
      <w:pPr>
        <w:numPr>
          <w:ilvl w:val="0"/>
          <w:numId w:val="5"/>
        </w:numPr>
        <w:tabs>
          <w:tab w:val="clear" w:pos="400"/>
        </w:tabs>
        <w:spacing w:line="360" w:lineRule="auto"/>
        <w:ind w:left="0" w:firstLine="709"/>
        <w:rPr>
          <w:sz w:val="28"/>
          <w:szCs w:val="28"/>
        </w:rPr>
      </w:pPr>
      <w:r w:rsidRPr="000F055B">
        <w:rPr>
          <w:sz w:val="28"/>
          <w:szCs w:val="28"/>
        </w:rPr>
        <w:t>проконтролировать включение АУ</w:t>
      </w:r>
      <w:r w:rsidR="00DD68FC" w:rsidRPr="000F055B">
        <w:rPr>
          <w:sz w:val="28"/>
          <w:szCs w:val="28"/>
        </w:rPr>
        <w:t>ПТ</w:t>
      </w:r>
      <w:r w:rsidRPr="000F055B">
        <w:rPr>
          <w:sz w:val="28"/>
          <w:szCs w:val="28"/>
        </w:rPr>
        <w:t xml:space="preserve"> и при необходимости включить вручную.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3.3. По окончанию работы: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3.3.1 дежурный обязан привести в порядок инструкции и рабочее место;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3.3.2 сменяющийся и заступающий дежурные совместно проводят осмотр АУП</w:t>
      </w:r>
      <w:r w:rsidR="00DD68FC" w:rsidRPr="000F055B">
        <w:rPr>
          <w:sz w:val="28"/>
          <w:szCs w:val="28"/>
        </w:rPr>
        <w:t>Т</w:t>
      </w:r>
      <w:r w:rsidRPr="000F055B">
        <w:rPr>
          <w:sz w:val="28"/>
          <w:szCs w:val="28"/>
        </w:rPr>
        <w:t>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3.3.3 дежурство сдается и принимается только при исправном УПА. В случае неисправности оборудования сдача производится с разрешения ответственного за УПА объекта или дежурного по предприятию;</w:t>
      </w:r>
    </w:p>
    <w:p w:rsidR="00D8774D" w:rsidRPr="000F055B" w:rsidRDefault="00D8774D" w:rsidP="000F055B">
      <w:pPr>
        <w:pStyle w:val="1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IV. Заключительное положение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4.1. Оперативному персоналу запрещается: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- проводить мероприятия, ухудшающие действие УПА;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- оставлять аппаратуру без присмотра.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4.2. Оперативный персонал несет персональную ответственность за выполнение требований данной инструкции, сохранность аппаратуры и противопожарное состояние помещений пожарного поста.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  <w:r w:rsidRPr="000F055B">
        <w:rPr>
          <w:sz w:val="28"/>
          <w:szCs w:val="28"/>
        </w:rPr>
        <w:t>4.3. Контроль за исполнением требований настоящей инструкции возложен на начальника смены объекта, назначенного ответственным за УПА.</w:t>
      </w:r>
    </w:p>
    <w:p w:rsidR="00D8774D" w:rsidRPr="000F055B" w:rsidRDefault="00D8774D" w:rsidP="000F055B">
      <w:pPr>
        <w:spacing w:line="360" w:lineRule="auto"/>
        <w:ind w:firstLine="709"/>
        <w:rPr>
          <w:sz w:val="28"/>
          <w:szCs w:val="28"/>
        </w:rPr>
      </w:pPr>
    </w:p>
    <w:p w:rsidR="007E721C" w:rsidRPr="000F055B" w:rsidRDefault="00DD68FC" w:rsidP="000F055B">
      <w:pPr>
        <w:pStyle w:val="a7"/>
        <w:ind w:firstLine="709"/>
        <w:rPr>
          <w:i w:val="0"/>
          <w:sz w:val="28"/>
          <w:szCs w:val="28"/>
        </w:rPr>
      </w:pPr>
      <w:r w:rsidRPr="000F055B">
        <w:rPr>
          <w:i w:val="0"/>
          <w:sz w:val="28"/>
          <w:szCs w:val="28"/>
        </w:rPr>
        <w:br w:type="page"/>
      </w:r>
      <w:r w:rsidR="000F055B">
        <w:rPr>
          <w:i w:val="0"/>
          <w:sz w:val="28"/>
          <w:szCs w:val="28"/>
        </w:rPr>
        <w:t>ВЫВОД</w:t>
      </w:r>
    </w:p>
    <w:p w:rsidR="000F055B" w:rsidRDefault="000F055B" w:rsidP="000F055B">
      <w:pPr>
        <w:pStyle w:val="a7"/>
        <w:ind w:firstLine="709"/>
        <w:jc w:val="both"/>
        <w:rPr>
          <w:b w:val="0"/>
          <w:i w:val="0"/>
          <w:sz w:val="28"/>
          <w:szCs w:val="28"/>
        </w:rPr>
      </w:pPr>
    </w:p>
    <w:p w:rsidR="007E721C" w:rsidRPr="000F055B" w:rsidRDefault="007E721C" w:rsidP="000F055B">
      <w:pPr>
        <w:pStyle w:val="a7"/>
        <w:ind w:firstLine="709"/>
        <w:jc w:val="both"/>
        <w:rPr>
          <w:b w:val="0"/>
          <w:i w:val="0"/>
          <w:sz w:val="28"/>
          <w:szCs w:val="28"/>
        </w:rPr>
      </w:pPr>
      <w:r w:rsidRPr="000F055B">
        <w:rPr>
          <w:b w:val="0"/>
          <w:i w:val="0"/>
          <w:sz w:val="28"/>
          <w:szCs w:val="28"/>
        </w:rPr>
        <w:t xml:space="preserve">В данном курсовом проекте были рассмотрены вопросы проектирования АППЗ помещения окрасочной камеры с использованием ЛВЖ и ГЖ. </w:t>
      </w:r>
      <w:r w:rsidR="00B16B91" w:rsidRPr="000F055B">
        <w:rPr>
          <w:b w:val="0"/>
          <w:i w:val="0"/>
          <w:sz w:val="28"/>
          <w:szCs w:val="28"/>
        </w:rPr>
        <w:t xml:space="preserve">Проанализирована </w:t>
      </w:r>
      <w:r w:rsidR="00524EE3" w:rsidRPr="000F055B">
        <w:rPr>
          <w:b w:val="0"/>
          <w:i w:val="0"/>
          <w:sz w:val="28"/>
          <w:szCs w:val="28"/>
        </w:rPr>
        <w:t xml:space="preserve">пожарная опасность данного помещения. На основании этих данных был произведен выбор и расчет системы АППЗ данного помещения. </w:t>
      </w:r>
      <w:r w:rsidR="00FF080D" w:rsidRPr="000F055B">
        <w:rPr>
          <w:b w:val="0"/>
          <w:i w:val="0"/>
          <w:sz w:val="28"/>
          <w:szCs w:val="28"/>
        </w:rPr>
        <w:t>Были приведены инструкции по эксплуатации установок АППЗ объекта.</w:t>
      </w:r>
    </w:p>
    <w:p w:rsidR="000F055B" w:rsidRDefault="000F055B" w:rsidP="000F055B">
      <w:pPr>
        <w:pStyle w:val="a7"/>
        <w:ind w:firstLine="709"/>
        <w:jc w:val="both"/>
        <w:rPr>
          <w:i w:val="0"/>
          <w:sz w:val="28"/>
          <w:szCs w:val="28"/>
        </w:rPr>
      </w:pPr>
    </w:p>
    <w:p w:rsidR="00D8774D" w:rsidRDefault="007E721C" w:rsidP="000F055B">
      <w:pPr>
        <w:pStyle w:val="a7"/>
        <w:ind w:firstLine="709"/>
        <w:rPr>
          <w:i w:val="0"/>
          <w:sz w:val="28"/>
          <w:szCs w:val="28"/>
        </w:rPr>
      </w:pPr>
      <w:r w:rsidRPr="000F055B">
        <w:rPr>
          <w:i w:val="0"/>
          <w:sz w:val="28"/>
          <w:szCs w:val="28"/>
        </w:rPr>
        <w:br w:type="page"/>
      </w:r>
      <w:r w:rsidR="00D8774D" w:rsidRPr="000F055B">
        <w:rPr>
          <w:i w:val="0"/>
          <w:sz w:val="28"/>
          <w:szCs w:val="28"/>
        </w:rPr>
        <w:t>ЛИТЕРАТУРА</w:t>
      </w:r>
    </w:p>
    <w:p w:rsidR="000F055B" w:rsidRPr="000F055B" w:rsidRDefault="000F055B" w:rsidP="000F055B">
      <w:pPr>
        <w:pStyle w:val="a7"/>
        <w:ind w:firstLine="709"/>
        <w:jc w:val="both"/>
        <w:rPr>
          <w:i w:val="0"/>
          <w:sz w:val="28"/>
          <w:szCs w:val="28"/>
        </w:rPr>
      </w:pP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Мисюкевич И.С. Пожарная автоматика. Практикум. Учебное пособие. МИТСО,</w:t>
      </w:r>
      <w:r w:rsidR="007D2865" w:rsidRP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Мн.: 2002.</w:t>
      </w:r>
    </w:p>
    <w:p w:rsidR="00D8774D" w:rsidRPr="000F055B" w:rsidRDefault="00DC3730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СНБ</w:t>
      </w:r>
      <w:r w:rsidR="00D8774D" w:rsidRPr="000F055B">
        <w:rPr>
          <w:sz w:val="28"/>
          <w:szCs w:val="28"/>
        </w:rPr>
        <w:t xml:space="preserve"> </w:t>
      </w:r>
      <w:r w:rsidRPr="000F055B">
        <w:rPr>
          <w:sz w:val="28"/>
          <w:szCs w:val="28"/>
        </w:rPr>
        <w:t>2</w:t>
      </w:r>
      <w:r w:rsidR="00D8774D" w:rsidRPr="000F055B">
        <w:rPr>
          <w:sz w:val="28"/>
          <w:szCs w:val="28"/>
        </w:rPr>
        <w:t>.0</w:t>
      </w:r>
      <w:r w:rsidRPr="000F055B">
        <w:rPr>
          <w:sz w:val="28"/>
          <w:szCs w:val="28"/>
        </w:rPr>
        <w:t>2</w:t>
      </w:r>
      <w:r w:rsidR="00D8774D" w:rsidRPr="000F055B">
        <w:rPr>
          <w:sz w:val="28"/>
          <w:szCs w:val="28"/>
        </w:rPr>
        <w:t>.0</w:t>
      </w:r>
      <w:r w:rsidRPr="000F055B">
        <w:rPr>
          <w:sz w:val="28"/>
          <w:szCs w:val="28"/>
        </w:rPr>
        <w:t>5</w:t>
      </w:r>
      <w:r w:rsidR="00D8774D" w:rsidRPr="000F055B">
        <w:rPr>
          <w:sz w:val="28"/>
          <w:szCs w:val="28"/>
        </w:rPr>
        <w:t>-</w:t>
      </w:r>
      <w:r w:rsidRPr="000F055B">
        <w:rPr>
          <w:sz w:val="28"/>
          <w:szCs w:val="28"/>
        </w:rPr>
        <w:t>0</w:t>
      </w:r>
      <w:r w:rsidR="00D8774D" w:rsidRPr="000F055B">
        <w:rPr>
          <w:sz w:val="28"/>
          <w:szCs w:val="28"/>
        </w:rPr>
        <w:t>4 Пожарная автоматика.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ППБ РБ 1.02-94 Правила пожарной безопасности Республики Беларусь при эксплуатации технических средств противопожарной защиты.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Пожароопасные свойства веществ и материалов. Справочник. М.: 1970.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Бубырь Н.Ф., Бабуров В.П., Мангасаров В.И. Пожарная автоматика. М.: Стройиздат, 1984.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Баратов А.П. и др. Пожароопасные свойства веществ и материалов. Часть 1. Москва.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Бубырь Н.Ф., Воробьев Р.П., Быстров Ю.В., Зуйков Г.М. Эксплуатация установок пожарной автоматики. М.: Стройиздат, 1986.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Богданович П.А., Аушев И.Ю. Сборник задач по пожарной автоматике. Мн.:2001.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Перечень средств противопожарной защиты, разрешенных для применения на территории Республики Беларусь (выпуск 3). Мн.: НИИ ПБ и ЧС МЧС Беларуси. 2004.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НПБ 5-2000 Нормы пожарной безопасности Республики Беларусь. Категорирование помещений, зданий и наружных установок по взрывопожарной и пожарной опасности.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Правила устройства электроустановок. - М.: Энергоатомиздат, 1986.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РД 25.953-90 Системы автоматические пожаротушения, пожарной, охранной и охранно-пожарной сигнализации. Обозначения условные графические элементы связи.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Сборник правил по пожарной автоматике. Часть 1. Проектирование. М.: Стройиздат, 1988.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Сборник правил по пожарной автоматике. Часть 2. Монтаж и техническая эксплуатация. М.: Стройиздат, 1988.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ГОСТ 12.1.004 – 91 Пожарная безопасность. Общие требования. 1992.</w:t>
      </w:r>
    </w:p>
    <w:p w:rsidR="00E07C03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Перечни проектируемых, реконструируемых и техперевооружаемых зданий и помещений объектов народного хозяйства, республиканских министерств, ведомств и обществ, подлежащих оборудованию автоматическими средствами пожаротушения и автоматической пожарной сигнализацией. М.: Стройиздат, 1988.</w:t>
      </w:r>
    </w:p>
    <w:p w:rsidR="00D8774D" w:rsidRPr="000F055B" w:rsidRDefault="00D8774D" w:rsidP="000F055B">
      <w:pPr>
        <w:pStyle w:val="2"/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rPr>
          <w:sz w:val="28"/>
          <w:szCs w:val="28"/>
        </w:rPr>
      </w:pPr>
      <w:r w:rsidRPr="000F055B">
        <w:rPr>
          <w:sz w:val="28"/>
          <w:szCs w:val="28"/>
        </w:rPr>
        <w:t>НПБ 26-2000 Нормы пожарной безопасности Республики Беларусь. Установки газового пожаротушения автоматические. Нормы и правила проектирования и применения.</w:t>
      </w:r>
      <w:bookmarkStart w:id="0" w:name="_GoBack"/>
      <w:bookmarkEnd w:id="0"/>
    </w:p>
    <w:sectPr w:rsidR="00D8774D" w:rsidRPr="000F055B" w:rsidSect="000F055B">
      <w:headerReference w:type="default" r:id="rId27"/>
      <w:footerReference w:type="even" r:id="rId28"/>
      <w:pgSz w:w="11906" w:h="16838" w:code="9"/>
      <w:pgMar w:top="1134" w:right="851" w:bottom="1134" w:left="1701" w:header="357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8B" w:rsidRDefault="0077368B">
      <w:r>
        <w:separator/>
      </w:r>
    </w:p>
  </w:endnote>
  <w:endnote w:type="continuationSeparator" w:id="0">
    <w:p w:rsidR="0077368B" w:rsidRDefault="0077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FF" w:rsidRDefault="00CD0AFF" w:rsidP="00CD0AFF">
    <w:pPr>
      <w:pStyle w:val="aa"/>
      <w:framePr w:wrap="around" w:vAnchor="text" w:hAnchor="margin" w:xAlign="right" w:y="1"/>
      <w:rPr>
        <w:rStyle w:val="ac"/>
      </w:rPr>
    </w:pPr>
  </w:p>
  <w:p w:rsidR="00CD0AFF" w:rsidRDefault="00CD0AFF" w:rsidP="00F567D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8B" w:rsidRDefault="0077368B">
      <w:r>
        <w:separator/>
      </w:r>
    </w:p>
  </w:footnote>
  <w:footnote w:type="continuationSeparator" w:id="0">
    <w:p w:rsidR="0077368B" w:rsidRDefault="0077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FF" w:rsidRDefault="0058519F">
    <w:pPr>
      <w:pStyle w:val="ad"/>
    </w:pPr>
    <w:r>
      <w:rPr>
        <w:noProof/>
      </w:rPr>
      <w:pict>
        <v:line id="_x0000_s2049" style="position:absolute;left:0;text-align:left;flip:x y;z-index:251657728" from="535.5pt,3.25pt" to="537.75pt,740pt" strokeweight="3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F0F"/>
    <w:multiLevelType w:val="multilevel"/>
    <w:tmpl w:val="C810C874"/>
    <w:lvl w:ilvl="0">
      <w:start w:val="1"/>
      <w:numFmt w:val="bullet"/>
      <w:lvlText w:val="­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  <w:b/>
        <w:i w:val="0"/>
        <w:color w:val="auto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6589B"/>
    <w:multiLevelType w:val="multilevel"/>
    <w:tmpl w:val="B47EDED8"/>
    <w:lvl w:ilvl="0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E2D55"/>
    <w:multiLevelType w:val="hybridMultilevel"/>
    <w:tmpl w:val="C14E4C10"/>
    <w:lvl w:ilvl="0" w:tplc="86C0D4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6493E"/>
    <w:multiLevelType w:val="hybridMultilevel"/>
    <w:tmpl w:val="2DE61726"/>
    <w:lvl w:ilvl="0" w:tplc="53C28C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61798"/>
    <w:multiLevelType w:val="hybridMultilevel"/>
    <w:tmpl w:val="C994D6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E9805F6"/>
    <w:multiLevelType w:val="hybridMultilevel"/>
    <w:tmpl w:val="D76CC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2713F9"/>
    <w:multiLevelType w:val="hybridMultilevel"/>
    <w:tmpl w:val="B47EDED8"/>
    <w:lvl w:ilvl="0" w:tplc="0DE8BD22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D54D4"/>
    <w:multiLevelType w:val="hybridMultilevel"/>
    <w:tmpl w:val="7102F776"/>
    <w:lvl w:ilvl="0" w:tplc="8A043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6C0D4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A43264"/>
    <w:multiLevelType w:val="hybridMultilevel"/>
    <w:tmpl w:val="CD5A81DC"/>
    <w:lvl w:ilvl="0" w:tplc="86C0D4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B8700F"/>
    <w:multiLevelType w:val="hybridMultilevel"/>
    <w:tmpl w:val="997CBC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6F1059B"/>
    <w:multiLevelType w:val="hybridMultilevel"/>
    <w:tmpl w:val="54B4CEB4"/>
    <w:lvl w:ilvl="0" w:tplc="0419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1">
    <w:nsid w:val="6FF84FBA"/>
    <w:multiLevelType w:val="hybridMultilevel"/>
    <w:tmpl w:val="C810C874"/>
    <w:lvl w:ilvl="0" w:tplc="03E83D60">
      <w:start w:val="1"/>
      <w:numFmt w:val="bullet"/>
      <w:lvlText w:val="­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  <w:b/>
        <w:i w:val="0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0624F7"/>
    <w:multiLevelType w:val="hybridMultilevel"/>
    <w:tmpl w:val="F96E8538"/>
    <w:lvl w:ilvl="0" w:tplc="F4588DB6">
      <w:start w:val="3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35"/>
    <w:rsid w:val="000437E5"/>
    <w:rsid w:val="0006544E"/>
    <w:rsid w:val="000A0267"/>
    <w:rsid w:val="000D344E"/>
    <w:rsid w:val="000D6C07"/>
    <w:rsid w:val="000F055B"/>
    <w:rsid w:val="00111D9D"/>
    <w:rsid w:val="001207D2"/>
    <w:rsid w:val="00154812"/>
    <w:rsid w:val="001738D3"/>
    <w:rsid w:val="00195EC5"/>
    <w:rsid w:val="00197A5E"/>
    <w:rsid w:val="001A396D"/>
    <w:rsid w:val="001B7A59"/>
    <w:rsid w:val="001C7F30"/>
    <w:rsid w:val="00245814"/>
    <w:rsid w:val="002570DE"/>
    <w:rsid w:val="00264380"/>
    <w:rsid w:val="002711DB"/>
    <w:rsid w:val="00293BD3"/>
    <w:rsid w:val="002B17F8"/>
    <w:rsid w:val="002B72CC"/>
    <w:rsid w:val="002C00FD"/>
    <w:rsid w:val="003327BF"/>
    <w:rsid w:val="00334835"/>
    <w:rsid w:val="00335C15"/>
    <w:rsid w:val="003606C8"/>
    <w:rsid w:val="00361653"/>
    <w:rsid w:val="00361E4A"/>
    <w:rsid w:val="003702CF"/>
    <w:rsid w:val="003C47F0"/>
    <w:rsid w:val="0041017A"/>
    <w:rsid w:val="00423ED5"/>
    <w:rsid w:val="00467E4D"/>
    <w:rsid w:val="00482A9A"/>
    <w:rsid w:val="004B3CCC"/>
    <w:rsid w:val="004C2426"/>
    <w:rsid w:val="004D77C1"/>
    <w:rsid w:val="004F6E0C"/>
    <w:rsid w:val="00504682"/>
    <w:rsid w:val="00524EE3"/>
    <w:rsid w:val="00525D22"/>
    <w:rsid w:val="00540679"/>
    <w:rsid w:val="0058519F"/>
    <w:rsid w:val="005A45AB"/>
    <w:rsid w:val="005D1F11"/>
    <w:rsid w:val="005E19A2"/>
    <w:rsid w:val="006028E4"/>
    <w:rsid w:val="00606820"/>
    <w:rsid w:val="0061714A"/>
    <w:rsid w:val="00625EFA"/>
    <w:rsid w:val="006337F0"/>
    <w:rsid w:val="00636A44"/>
    <w:rsid w:val="00642956"/>
    <w:rsid w:val="00651E1A"/>
    <w:rsid w:val="00680DE2"/>
    <w:rsid w:val="00685AE3"/>
    <w:rsid w:val="00692F13"/>
    <w:rsid w:val="00694573"/>
    <w:rsid w:val="006E5FA6"/>
    <w:rsid w:val="006F68A4"/>
    <w:rsid w:val="006F7D8A"/>
    <w:rsid w:val="00715516"/>
    <w:rsid w:val="007215C9"/>
    <w:rsid w:val="00731A19"/>
    <w:rsid w:val="0073656D"/>
    <w:rsid w:val="007723F5"/>
    <w:rsid w:val="0077368B"/>
    <w:rsid w:val="007756BA"/>
    <w:rsid w:val="00794658"/>
    <w:rsid w:val="00796D87"/>
    <w:rsid w:val="007B5530"/>
    <w:rsid w:val="007D2865"/>
    <w:rsid w:val="007D621A"/>
    <w:rsid w:val="007D6B21"/>
    <w:rsid w:val="007E721C"/>
    <w:rsid w:val="00800118"/>
    <w:rsid w:val="008135E7"/>
    <w:rsid w:val="008249ED"/>
    <w:rsid w:val="00846ACC"/>
    <w:rsid w:val="00860507"/>
    <w:rsid w:val="00870415"/>
    <w:rsid w:val="00880F83"/>
    <w:rsid w:val="00882103"/>
    <w:rsid w:val="0088239D"/>
    <w:rsid w:val="00885669"/>
    <w:rsid w:val="00894A7B"/>
    <w:rsid w:val="008A2849"/>
    <w:rsid w:val="008B47D8"/>
    <w:rsid w:val="008C5579"/>
    <w:rsid w:val="008E3502"/>
    <w:rsid w:val="00907B42"/>
    <w:rsid w:val="00912C0A"/>
    <w:rsid w:val="00921D02"/>
    <w:rsid w:val="009714B1"/>
    <w:rsid w:val="009953A6"/>
    <w:rsid w:val="0099739D"/>
    <w:rsid w:val="009D5C15"/>
    <w:rsid w:val="009E2ED5"/>
    <w:rsid w:val="009F50B7"/>
    <w:rsid w:val="00A039C2"/>
    <w:rsid w:val="00A2415C"/>
    <w:rsid w:val="00A404A4"/>
    <w:rsid w:val="00A50151"/>
    <w:rsid w:val="00A7564D"/>
    <w:rsid w:val="00A92A50"/>
    <w:rsid w:val="00A97032"/>
    <w:rsid w:val="00AA7F93"/>
    <w:rsid w:val="00AC65AE"/>
    <w:rsid w:val="00AF5167"/>
    <w:rsid w:val="00B006B1"/>
    <w:rsid w:val="00B0406C"/>
    <w:rsid w:val="00B05468"/>
    <w:rsid w:val="00B15567"/>
    <w:rsid w:val="00B16379"/>
    <w:rsid w:val="00B16B91"/>
    <w:rsid w:val="00B2613B"/>
    <w:rsid w:val="00B27CD5"/>
    <w:rsid w:val="00B45851"/>
    <w:rsid w:val="00B47A2E"/>
    <w:rsid w:val="00B85DB2"/>
    <w:rsid w:val="00B93AC3"/>
    <w:rsid w:val="00BA0401"/>
    <w:rsid w:val="00BD5E47"/>
    <w:rsid w:val="00BE04B7"/>
    <w:rsid w:val="00C01775"/>
    <w:rsid w:val="00C33510"/>
    <w:rsid w:val="00C47555"/>
    <w:rsid w:val="00C7677D"/>
    <w:rsid w:val="00C91274"/>
    <w:rsid w:val="00C93D23"/>
    <w:rsid w:val="00CD0AFF"/>
    <w:rsid w:val="00CD1C47"/>
    <w:rsid w:val="00D22C2C"/>
    <w:rsid w:val="00D3587F"/>
    <w:rsid w:val="00D6210A"/>
    <w:rsid w:val="00D713F2"/>
    <w:rsid w:val="00D8774D"/>
    <w:rsid w:val="00D87BEF"/>
    <w:rsid w:val="00D91944"/>
    <w:rsid w:val="00D95EBB"/>
    <w:rsid w:val="00DC3730"/>
    <w:rsid w:val="00DD42AA"/>
    <w:rsid w:val="00DD68FC"/>
    <w:rsid w:val="00DE0338"/>
    <w:rsid w:val="00E07C03"/>
    <w:rsid w:val="00E360B3"/>
    <w:rsid w:val="00E42605"/>
    <w:rsid w:val="00E765F1"/>
    <w:rsid w:val="00E8099E"/>
    <w:rsid w:val="00ED6F30"/>
    <w:rsid w:val="00ED7F06"/>
    <w:rsid w:val="00EE1936"/>
    <w:rsid w:val="00EF725E"/>
    <w:rsid w:val="00F01146"/>
    <w:rsid w:val="00F11ADA"/>
    <w:rsid w:val="00F40092"/>
    <w:rsid w:val="00F42440"/>
    <w:rsid w:val="00F46FAA"/>
    <w:rsid w:val="00F567DC"/>
    <w:rsid w:val="00FA528A"/>
    <w:rsid w:val="00FC7147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3D68E629-C974-489D-AC7F-3431B2F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autoSpaceDE w:val="0"/>
      <w:autoSpaceDN w:val="0"/>
      <w:adjustRightInd w:val="0"/>
      <w:spacing w:line="440" w:lineRule="auto"/>
      <w:ind w:firstLine="86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774D"/>
    <w:pPr>
      <w:keepNext/>
      <w:spacing w:line="360" w:lineRule="auto"/>
      <w:ind w:firstLine="720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8774D"/>
    <w:pPr>
      <w:spacing w:line="360" w:lineRule="auto"/>
      <w:ind w:firstLine="0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2"/>
      <w:szCs w:val="22"/>
    </w:rPr>
  </w:style>
  <w:style w:type="paragraph" w:styleId="a5">
    <w:name w:val="Body Text Indent"/>
    <w:basedOn w:val="a"/>
    <w:link w:val="a6"/>
    <w:uiPriority w:val="99"/>
    <w:rsid w:val="00D8774D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D877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2"/>
      <w:szCs w:val="22"/>
    </w:rPr>
  </w:style>
  <w:style w:type="paragraph" w:styleId="a7">
    <w:name w:val="Title"/>
    <w:basedOn w:val="a"/>
    <w:link w:val="a8"/>
    <w:uiPriority w:val="10"/>
    <w:qFormat/>
    <w:rsid w:val="00D8774D"/>
    <w:pPr>
      <w:spacing w:line="360" w:lineRule="auto"/>
      <w:ind w:firstLine="0"/>
      <w:jc w:val="center"/>
    </w:pPr>
    <w:rPr>
      <w:b/>
      <w:bCs/>
      <w:i/>
      <w:iCs/>
      <w:sz w:val="24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870415"/>
    <w:pPr>
      <w:widowControl w:val="0"/>
      <w:autoSpaceDE w:val="0"/>
      <w:autoSpaceDN w:val="0"/>
      <w:adjustRightInd w:val="0"/>
      <w:spacing w:line="440" w:lineRule="auto"/>
      <w:ind w:firstLine="8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567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2"/>
      <w:szCs w:val="22"/>
    </w:rPr>
  </w:style>
  <w:style w:type="character" w:styleId="ac">
    <w:name w:val="page number"/>
    <w:uiPriority w:val="99"/>
    <w:rsid w:val="00F567DC"/>
    <w:rPr>
      <w:rFonts w:cs="Times New Roman"/>
    </w:rPr>
  </w:style>
  <w:style w:type="paragraph" w:styleId="ad">
    <w:name w:val="header"/>
    <w:basedOn w:val="a"/>
    <w:link w:val="ae"/>
    <w:uiPriority w:val="99"/>
    <w:rsid w:val="00F567D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КИИ</Company>
  <LinksUpToDate>false</LinksUpToDate>
  <CharactersWithSpaces>24450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Стешин</dc:creator>
  <cp:keywords/>
  <dc:description/>
  <cp:lastModifiedBy>admin</cp:lastModifiedBy>
  <cp:revision>2</cp:revision>
  <cp:lastPrinted>2006-05-02T18:00:00Z</cp:lastPrinted>
  <dcterms:created xsi:type="dcterms:W3CDTF">2014-03-02T10:12:00Z</dcterms:created>
  <dcterms:modified xsi:type="dcterms:W3CDTF">2014-03-02T10:12:00Z</dcterms:modified>
</cp:coreProperties>
</file>