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C2" w:rsidRPr="00EF736F" w:rsidRDefault="009D49C2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36F">
        <w:rPr>
          <w:b/>
          <w:sz w:val="28"/>
          <w:szCs w:val="28"/>
        </w:rPr>
        <w:t>СОДЕРЖАНИЕ</w:t>
      </w:r>
    </w:p>
    <w:p w:rsidR="009D49C2" w:rsidRPr="00EF736F" w:rsidRDefault="009D49C2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F736F" w:rsidRPr="00EF736F" w:rsidRDefault="00EF736F" w:rsidP="00EF736F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ВВЕДЕНИЕ</w:t>
      </w:r>
      <w:r w:rsidR="008901D6">
        <w:rPr>
          <w:sz w:val="28"/>
          <w:szCs w:val="28"/>
        </w:rPr>
        <w:t xml:space="preserve"> </w:t>
      </w:r>
    </w:p>
    <w:p w:rsidR="00EF736F" w:rsidRPr="00EF736F" w:rsidRDefault="00EF736F" w:rsidP="00EF736F">
      <w:pPr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1.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ТЕОРЕТИЧЕСКИЕ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АСПЕКТЫ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</w:p>
    <w:p w:rsidR="00EF736F" w:rsidRPr="00EF736F" w:rsidRDefault="00EF736F" w:rsidP="00EF736F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1.1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Понятие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</w:p>
    <w:p w:rsidR="00EF736F" w:rsidRPr="00EF736F" w:rsidRDefault="00EF736F" w:rsidP="00EF736F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1.2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</w:p>
    <w:p w:rsidR="00EF736F" w:rsidRPr="00EF736F" w:rsidRDefault="00EF736F" w:rsidP="00EF736F">
      <w:pPr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1.3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зарубежных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</w:p>
    <w:p w:rsidR="00EF736F" w:rsidRPr="00EF736F" w:rsidRDefault="00EF736F" w:rsidP="00EF736F">
      <w:pPr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2.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АНАЛИЗ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</w:p>
    <w:p w:rsidR="00EF736F" w:rsidRPr="00EF736F" w:rsidRDefault="00EF736F" w:rsidP="00EF736F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2.1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показатели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</w:p>
    <w:p w:rsidR="00EF736F" w:rsidRPr="00EF736F" w:rsidRDefault="00EF736F" w:rsidP="00EF736F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2.2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портфель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</w:p>
    <w:p w:rsidR="00EF736F" w:rsidRPr="00EF736F" w:rsidRDefault="00EF736F" w:rsidP="00EF736F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2.3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выплаты</w:t>
      </w:r>
    </w:p>
    <w:p w:rsidR="00EF736F" w:rsidRPr="00EF736F" w:rsidRDefault="00EF736F" w:rsidP="00EF736F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3.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</w:p>
    <w:p w:rsidR="00EF736F" w:rsidRPr="00EF736F" w:rsidRDefault="00EF736F" w:rsidP="00EF736F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3.1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эффективности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</w:p>
    <w:p w:rsidR="00EF736F" w:rsidRPr="00EF736F" w:rsidRDefault="00EF736F" w:rsidP="00EF736F">
      <w:pPr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3.2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деятельностью</w:t>
      </w:r>
    </w:p>
    <w:p w:rsidR="00EF736F" w:rsidRPr="00EF736F" w:rsidRDefault="00EF736F" w:rsidP="00EF736F">
      <w:pPr>
        <w:tabs>
          <w:tab w:val="left" w:pos="92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F736F" w:rsidRPr="00EF736F" w:rsidRDefault="00EF736F" w:rsidP="00EF736F">
      <w:pPr>
        <w:tabs>
          <w:tab w:val="left" w:pos="9288"/>
        </w:tabs>
        <w:spacing w:line="360" w:lineRule="auto"/>
        <w:rPr>
          <w:sz w:val="28"/>
          <w:szCs w:val="28"/>
        </w:rPr>
      </w:pPr>
      <w:r w:rsidRPr="00EF736F">
        <w:rPr>
          <w:sz w:val="28"/>
          <w:szCs w:val="28"/>
        </w:rPr>
        <w:t>СПИСОК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ИСПОЛЬЗОВАННЫХ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ИСТОЧНИКОВ</w:t>
      </w:r>
    </w:p>
    <w:p w:rsidR="007C6EC2" w:rsidRPr="00EF736F" w:rsidRDefault="00EF736F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C6EC2" w:rsidRPr="00EF736F">
        <w:rPr>
          <w:b/>
          <w:sz w:val="28"/>
          <w:szCs w:val="28"/>
        </w:rPr>
        <w:t>ВВЕДЕНИЕ</w:t>
      </w:r>
    </w:p>
    <w:p w:rsidR="007C6EC2" w:rsidRPr="00EF736F" w:rsidRDefault="007C6EC2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3E2BDF" w:rsidRPr="00EF736F" w:rsidRDefault="003E2BDF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Необходимым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безопасности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рыночных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рыночных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возмещение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ущерба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хозяйствующих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субъектов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неблагоприятных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событий,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стихийных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бедствий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катастроф.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Инструментом,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возмещать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возникающие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убытки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потери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процессе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рыночных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страхование.</w:t>
      </w:r>
    </w:p>
    <w:p w:rsidR="003E2BDF" w:rsidRPr="00EF736F" w:rsidRDefault="003E2BDF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один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управления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рисками,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направленный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физических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обеспечивающий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стабильность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безопасность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предпринимательства.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способствуя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перераспределению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позволяет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эффективность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экономики.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Отсюда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политика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стратегических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задач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области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инфраструктуры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рынка.</w:t>
      </w:r>
    </w:p>
    <w:p w:rsidR="00B84ADB" w:rsidRPr="00EF736F" w:rsidRDefault="00B84AD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Проблема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актуальных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теории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практике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современного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отечественного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Важность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исследования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окончательно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сформировалась: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изменяется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состояние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самого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идет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постоянное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базы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претерпевает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изменения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регулирующих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ab/>
        <w:t>Неустойчивость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вызвана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только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внутренними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факторами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прямым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следствием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макроэкономических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процессов,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проблем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целом,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ходом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интеграционных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тенденций.</w:t>
      </w:r>
    </w:p>
    <w:p w:rsidR="00B84ADB" w:rsidRPr="00EF736F" w:rsidRDefault="00B84AD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Отношение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вообще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нашей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последние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10-15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менялось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крайне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динамично,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избежав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впадения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крайности.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начале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90-х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вспоминать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было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вообще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принято»,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настоящий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момент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наблюдается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противоположная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тенденция,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когда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ставшем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почти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«публицистической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модой»,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говорит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ленивый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экономист.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разумеется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применительно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повторялось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зеркальном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отражении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макропроцессов.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менее,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сегодня,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смотря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масштабный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комплексного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единого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научного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исследования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представлено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было.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Заполнить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нишу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призвана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монография.</w:t>
      </w:r>
      <w:r w:rsidR="008901D6">
        <w:rPr>
          <w:sz w:val="28"/>
          <w:szCs w:val="28"/>
        </w:rPr>
        <w:t xml:space="preserve"> </w:t>
      </w:r>
    </w:p>
    <w:p w:rsidR="000B01E8" w:rsidRPr="00EF736F" w:rsidRDefault="00B84AD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Основной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всестороннее,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комплексное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рассмотрение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Казахстан.</w:t>
      </w:r>
      <w:r w:rsidR="008901D6">
        <w:rPr>
          <w:sz w:val="28"/>
          <w:szCs w:val="28"/>
        </w:rPr>
        <w:t xml:space="preserve"> </w:t>
      </w:r>
    </w:p>
    <w:p w:rsidR="00B84ADB" w:rsidRPr="00EF736F" w:rsidRDefault="00B84AD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Задачами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являются:</w:t>
      </w:r>
    </w:p>
    <w:p w:rsidR="00ED7425" w:rsidRPr="00EF736F" w:rsidRDefault="00ED742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раскрыть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понятие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рынка;</w:t>
      </w:r>
    </w:p>
    <w:p w:rsidR="00B84ADB" w:rsidRPr="00EF736F" w:rsidRDefault="00ED742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определение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понятия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роли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системе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рыночных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отношений,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рассмотрение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основных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особенностей,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характерных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соврем</w:t>
      </w:r>
      <w:r w:rsidRPr="00EF736F">
        <w:rPr>
          <w:sz w:val="28"/>
          <w:szCs w:val="28"/>
        </w:rPr>
        <w:t>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рынков;</w:t>
      </w:r>
    </w:p>
    <w:p w:rsidR="00ED7425" w:rsidRPr="00EF736F" w:rsidRDefault="00ED742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обоснование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характеристики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системы,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подвергающейся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действию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обоснование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влияния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специфики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особенности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регулирования</w:t>
      </w:r>
      <w:r w:rsidRPr="00EF736F">
        <w:rPr>
          <w:sz w:val="28"/>
          <w:szCs w:val="28"/>
        </w:rPr>
        <w:t>;</w:t>
      </w:r>
    </w:p>
    <w:p w:rsidR="00ED7425" w:rsidRPr="00EF736F" w:rsidRDefault="00ED742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анализ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Казахстан;</w:t>
      </w:r>
    </w:p>
    <w:p w:rsidR="00ED7425" w:rsidRPr="00EF736F" w:rsidRDefault="00ED742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исследовать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портфель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организаций;</w:t>
      </w:r>
    </w:p>
    <w:p w:rsidR="00ED7425" w:rsidRPr="00EF736F" w:rsidRDefault="00ED742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рассмотреть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динамику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выплат;</w:t>
      </w:r>
    </w:p>
    <w:p w:rsidR="00B84ADB" w:rsidRPr="00EF736F" w:rsidRDefault="00ED742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определение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возможных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путей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совершенствования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отечественной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="00B84ADB" w:rsidRPr="00EF736F">
        <w:rPr>
          <w:sz w:val="28"/>
          <w:szCs w:val="28"/>
        </w:rPr>
        <w:t>рынка</w:t>
      </w:r>
      <w:r w:rsidRPr="00EF736F">
        <w:rPr>
          <w:sz w:val="28"/>
          <w:szCs w:val="28"/>
        </w:rPr>
        <w:t>.</w:t>
      </w:r>
      <w:r w:rsidR="008901D6">
        <w:rPr>
          <w:sz w:val="28"/>
          <w:szCs w:val="28"/>
        </w:rPr>
        <w:t xml:space="preserve"> </w:t>
      </w:r>
    </w:p>
    <w:p w:rsidR="00ED7425" w:rsidRPr="00EF736F" w:rsidRDefault="00ED742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написания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использован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диалектический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познание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действительности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целостности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сохранности.</w:t>
      </w:r>
    </w:p>
    <w:p w:rsidR="000B01E8" w:rsidRPr="00EF736F" w:rsidRDefault="00B84AD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Предмет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исследования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рынка.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Объект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исследования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Казахстан.</w:t>
      </w:r>
      <w:r w:rsidR="008901D6">
        <w:rPr>
          <w:sz w:val="28"/>
          <w:szCs w:val="28"/>
        </w:rPr>
        <w:t xml:space="preserve"> </w:t>
      </w:r>
    </w:p>
    <w:p w:rsidR="00ED7425" w:rsidRPr="00EF736F" w:rsidRDefault="00ED742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Структура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состоит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введения,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глав,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включающих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восемь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параграфов,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заключения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списка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использованных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источников.</w:t>
      </w:r>
      <w:r w:rsidR="008901D6">
        <w:rPr>
          <w:sz w:val="28"/>
          <w:szCs w:val="28"/>
        </w:rPr>
        <w:t xml:space="preserve"> </w:t>
      </w:r>
    </w:p>
    <w:p w:rsidR="007C6EC2" w:rsidRPr="00EF736F" w:rsidRDefault="00EF736F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C6EC2" w:rsidRPr="00EF736F">
        <w:rPr>
          <w:b/>
          <w:sz w:val="28"/>
          <w:szCs w:val="28"/>
        </w:rPr>
        <w:t>1.</w:t>
      </w:r>
      <w:r w:rsidR="008901D6">
        <w:rPr>
          <w:b/>
          <w:sz w:val="28"/>
          <w:szCs w:val="28"/>
        </w:rPr>
        <w:t xml:space="preserve"> </w:t>
      </w:r>
      <w:r w:rsidR="007C6EC2" w:rsidRPr="00EF736F">
        <w:rPr>
          <w:b/>
          <w:sz w:val="28"/>
          <w:szCs w:val="28"/>
        </w:rPr>
        <w:t>ТЕОРЕТИЧЕСКИЕ</w:t>
      </w:r>
      <w:r w:rsidR="008901D6">
        <w:rPr>
          <w:b/>
          <w:sz w:val="28"/>
          <w:szCs w:val="28"/>
        </w:rPr>
        <w:t xml:space="preserve"> </w:t>
      </w:r>
      <w:r w:rsidR="007C6EC2" w:rsidRPr="00EF736F">
        <w:rPr>
          <w:b/>
          <w:sz w:val="28"/>
          <w:szCs w:val="28"/>
        </w:rPr>
        <w:t>АСПЕКТЫ</w:t>
      </w:r>
      <w:r w:rsidR="008901D6">
        <w:rPr>
          <w:b/>
          <w:sz w:val="28"/>
          <w:szCs w:val="28"/>
        </w:rPr>
        <w:t xml:space="preserve"> </w:t>
      </w:r>
      <w:r w:rsidR="007C6EC2" w:rsidRPr="00EF736F">
        <w:rPr>
          <w:b/>
          <w:sz w:val="28"/>
          <w:szCs w:val="28"/>
        </w:rPr>
        <w:t>ГОСУДАРСТВЕННОГО</w:t>
      </w:r>
      <w:r w:rsidR="008901D6">
        <w:rPr>
          <w:b/>
          <w:sz w:val="28"/>
          <w:szCs w:val="28"/>
        </w:rPr>
        <w:t xml:space="preserve"> </w:t>
      </w:r>
      <w:r w:rsidR="007C6EC2" w:rsidRPr="00EF736F">
        <w:rPr>
          <w:b/>
          <w:sz w:val="28"/>
          <w:szCs w:val="28"/>
        </w:rPr>
        <w:t>РЕГУЛИРОВАНИЯ</w:t>
      </w:r>
      <w:r w:rsidR="008901D6">
        <w:rPr>
          <w:b/>
          <w:sz w:val="28"/>
          <w:szCs w:val="28"/>
        </w:rPr>
        <w:t xml:space="preserve"> </w:t>
      </w:r>
      <w:r w:rsidR="007C6EC2" w:rsidRPr="00EF736F">
        <w:rPr>
          <w:b/>
          <w:sz w:val="28"/>
          <w:szCs w:val="28"/>
        </w:rPr>
        <w:t>СТРАХОВОГО</w:t>
      </w:r>
      <w:r w:rsidR="008901D6">
        <w:rPr>
          <w:b/>
          <w:sz w:val="28"/>
          <w:szCs w:val="28"/>
        </w:rPr>
        <w:t xml:space="preserve"> </w:t>
      </w:r>
      <w:r w:rsidR="007C6EC2" w:rsidRPr="00EF736F">
        <w:rPr>
          <w:b/>
          <w:sz w:val="28"/>
          <w:szCs w:val="28"/>
        </w:rPr>
        <w:t>РЫНКА</w:t>
      </w:r>
    </w:p>
    <w:p w:rsidR="007C6EC2" w:rsidRPr="00EF736F" w:rsidRDefault="007C6EC2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6EC2" w:rsidRPr="00EF736F" w:rsidRDefault="007C6EC2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36F">
        <w:rPr>
          <w:b/>
          <w:sz w:val="28"/>
          <w:szCs w:val="28"/>
        </w:rPr>
        <w:t>1.1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Понятие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и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сущность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страхового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рынка</w:t>
      </w:r>
    </w:p>
    <w:p w:rsidR="007C6EC2" w:rsidRPr="00EF736F" w:rsidRDefault="007C6EC2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возникло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развивалось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осознанная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объективная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потребность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человека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случайных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опасностей.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Потребность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носит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всеобщий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характер,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охватывает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фазы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воспроизводства,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звенья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социально-экономической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хозяйствующих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субъектов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население.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только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способствует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воспроизводства,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воздействует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через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фонд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потоки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народном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хозяйстве.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Место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обусловлено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двумя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обстоятельствами.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стороны,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объективная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потребность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приводит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образованию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социально-экономической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денежная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связывает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рынком.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Объективная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потребность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предопределяет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непосредственную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предприятий,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населения,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банковской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системой,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бюджетом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институтами,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рамках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реализуются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соответствующие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институты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выступают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потребители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Специфические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складываются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бюджетом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внебюджетными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фондами,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Устойчивые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банковской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системой,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валютным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рынком,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региональными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финансами,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размещают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ресурсы.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Функционирование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происходит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рамках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="00EF736F" w:rsidRPr="00EF736F">
        <w:rPr>
          <w:sz w:val="28"/>
          <w:szCs w:val="28"/>
        </w:rPr>
        <w:t>системы,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партнерской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конкуренции.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касается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конкурентной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борьбы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различными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институтами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свободные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денежные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населения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хозяйствующих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субъектов.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например,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предлагает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депозиты,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фондовый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т.д.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узком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смысле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представить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экономическое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пространство,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систему,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управляемую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соотношением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спроса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покупателей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услуги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предложением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продавцов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защиты.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широком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смысле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сфера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денежных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купли-продажи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выступает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формируются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спрос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предложение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нее.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представляет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сложную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развивающуюся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интерированную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систему,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звеньям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относятся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посредники,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профессиональные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оценщики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убытков,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объединения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объединения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институциональная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экономически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обособленное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звено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выражается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обособленности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ресурсов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самостоятельности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структурируются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принадлежности,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характеру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выполняемых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зоне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обслуживания.</w:t>
      </w:r>
    </w:p>
    <w:p w:rsid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принадлежности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делят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акционерные,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частные,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взаимного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Акционерная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негосударственная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организационная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качестве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выступает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акционерного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Уставный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акционерного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формируется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позволяет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ограниченных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средствах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значительно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потенциал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Акционерная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доминирует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принадлежат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собственнику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семье.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уникальной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отнести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английскую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корпорацию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Lloyd,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представляющую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объединение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физических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качестве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выступает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государство.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круг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входит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монополия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любых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отдельных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соответствующим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статусе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организации.</w:t>
      </w:r>
      <w:r w:rsidR="008901D6">
        <w:rPr>
          <w:sz w:val="28"/>
          <w:szCs w:val="28"/>
        </w:rPr>
        <w:t xml:space="preserve"> 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Осуществление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представляет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взаимного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особая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негосударственная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организационная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выражающая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договоренность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группой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физических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возмещении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будущих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возможных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убытков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ab/>
        <w:t>Взаимное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некоммерческая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фонда,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обеспечивающая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членов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позиций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каждый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член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взаимного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одновременно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страхователь.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Документом,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удостоверяющим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владение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взаимного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дохода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защиту,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служит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полис.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характеру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выполняемых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различают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специализированные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универсальные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организации.</w:t>
      </w:r>
      <w:r w:rsidR="008901D6">
        <w:rPr>
          <w:sz w:val="28"/>
          <w:szCs w:val="28"/>
        </w:rPr>
        <w:t xml:space="preserve"> 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Специализированные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проводят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отдельные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(жизни,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огневое,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ядерное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др.).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специализированным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относятся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перестраховочные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принимающие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определенную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застрахованного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сбалансированного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портфеля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рентабельности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Универсальные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предлагают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перечень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услуг.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зоне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обслуживания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различают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местные,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региональные,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(транснациональные)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Спрос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предъявляет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страхователь,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дееспособное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физическое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страхующее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заключающее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личного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уплачивает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взносы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получение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наступлении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случая.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Товар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Потребительная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стоимость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состоит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защиты.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затратами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возмещение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расходами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размером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прибыли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всякая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зависит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спроса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предложения.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Продвижение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реализацию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преимущественно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посредники: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агенты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брокеры.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агенты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физические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действующие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поручению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предоставленными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полномочиями.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брокерами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могут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независимые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физические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посреднических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поручений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либо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брокер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участвует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состоит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оказании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посреднической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услуги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содействии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исполнении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Функционирование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предполагает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наличие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профессиональных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оценщиков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убытков,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качестве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выступают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сюрвейеры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аджастеры.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Сюрвейеры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инспекторы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агенты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осмотр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принимаемого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качестве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сюрвейера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выступают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специализированные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фирмы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противопожарной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безопасности,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охране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труда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т.д.,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взаимодействующие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заключению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сюрвейера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принимает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заключении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Аджастеры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уполномоченные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физические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занима-ющнеся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характера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убытков.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результатам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проведенной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аджастер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составляет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(аварийный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сертификат).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разработки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подготовки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сбора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публикации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статистики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совместных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объединения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(ассоциации)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региональном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уровнях.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Кроме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того,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объединяются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специализированные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объединения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могут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заниматься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деятельностью.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Защищают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объединения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страхователей.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выражают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пострадавших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недобросовестных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оказывают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потерпевшим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помощь,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участвуют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Важным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звеном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выступает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необходимость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очередь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страхователей,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предотвращением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потерь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вследствие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неплатежеспособности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Таким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образом,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охарактеризовать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институциональном,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территориальном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отраслевом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аспектах.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институциональном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аспекте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организационно-правовых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масштабам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охвату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территорий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(зон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выделяют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мировой,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международные,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национальные,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региональные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локальные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рынки.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отраслевом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аспекте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делится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отдельным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(например,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личного,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каждый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очередь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разделить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обособленные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сегменты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физических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т.д.).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Сравнивая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современное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состояние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следует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отметить,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несмотря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предпринимаемые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последние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усилия,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отечественный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значительно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отстает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экономически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стран.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7C6EC2" w:rsidRPr="00EF736F" w:rsidRDefault="007C6EC2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36F">
        <w:rPr>
          <w:b/>
          <w:sz w:val="28"/>
          <w:szCs w:val="28"/>
        </w:rPr>
        <w:t>1.2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Регулирование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страхового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рынка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в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Республике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Казахстан</w:t>
      </w:r>
    </w:p>
    <w:p w:rsidR="00F249C1" w:rsidRPr="00EF736F" w:rsidRDefault="00F249C1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Значительным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шагом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явилась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передача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функций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полномочий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Казахстан.</w:t>
      </w:r>
      <w:r w:rsidR="008901D6">
        <w:rPr>
          <w:sz w:val="28"/>
          <w:szCs w:val="28"/>
        </w:rPr>
        <w:t xml:space="preserve"> 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октября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2000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уполномоченный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полноправным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членом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Ассоциации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(IAIS).</w:t>
      </w:r>
      <w:r w:rsidR="008901D6">
        <w:rPr>
          <w:sz w:val="28"/>
          <w:szCs w:val="28"/>
        </w:rPr>
        <w:t xml:space="preserve"> 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Республика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выделяется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СНГ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высоким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уровнем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базы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несмотря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показатели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сбора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еще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ниже,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соседей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когда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«лучше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меньше,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лучше».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обеспечивается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гарантия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возмещения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наступлении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случая.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Участие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решении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проблем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придает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актуальность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степень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страхователей.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последние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улучшилась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дисциплина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перечень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уровень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представляемых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услуг.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Политика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стратегия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определяемая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последовательно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ведет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Европейского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Союза,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сохранении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конструктивных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Определяющим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моментом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движении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рыночным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прозрачность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корреляция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действующего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Европейского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Союза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Всемирной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торговой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относительно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короткий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период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времени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проведена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существенная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индустрии: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Совершенствовалась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действующая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база,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регулирующая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2.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разработаны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внедрены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(перестраховочным)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3.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платежеспособность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4.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доступность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услуг,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прозрачность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операций.</w:t>
      </w:r>
      <w:r w:rsidR="008901D6">
        <w:rPr>
          <w:sz w:val="28"/>
          <w:szCs w:val="28"/>
        </w:rPr>
        <w:t xml:space="preserve"> 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Позитивными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моментами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последних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явились: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введение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запрета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совмещение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иным,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позиции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платежеспособности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момент,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предусматривает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долгосрочные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второе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краткосрочные;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жестких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уставному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Казахстан;</w:t>
      </w:r>
      <w:r w:rsidR="008901D6">
        <w:rPr>
          <w:sz w:val="28"/>
          <w:szCs w:val="28"/>
        </w:rPr>
        <w:t xml:space="preserve"> 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соблюдение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определенным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квалификационным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руководителя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исполнительного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главного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бухгалтера;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строгие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добросовестности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акционеров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учредителей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назвать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наиболее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динамично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развивающихся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способствовала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Программа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Обязательным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осуществляемое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силу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Каждый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отдельным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классом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Содержание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каждого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класса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дополнительные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проведения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устанавливаются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актом,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регулирующим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класс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Виды,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порядок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проведения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определяются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Казахстан.</w:t>
      </w:r>
      <w:r w:rsidR="008901D6">
        <w:rPr>
          <w:sz w:val="28"/>
          <w:szCs w:val="28"/>
        </w:rPr>
        <w:t xml:space="preserve"> 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Инициатором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выступает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обязывает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физических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заключать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Распоряжением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Премьер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Министра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21.03.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38-р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утвержден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оптимальный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перечень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="00EF736F"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работодателя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здоровью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работника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исполнении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трудовых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(служебных)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обязанностей,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растениеводстве,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экологическом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владельцев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транспортных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средств,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перевозчика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пассажирами,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="00EF736F"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аудиторов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аудиторских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нотариусов,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туроператора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турагента,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владельцев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опасностью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третьим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лицам,</w:t>
      </w:r>
      <w:r w:rsidR="008901D6">
        <w:rPr>
          <w:sz w:val="28"/>
          <w:szCs w:val="28"/>
        </w:rPr>
        <w:t xml:space="preserve"> 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Обязательному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подлежат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работники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исключением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работающих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пенсионеров,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самостоятельно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занятые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включая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иностранцев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без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гражданства,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постоянно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проживающих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территории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приносящую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доход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территории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Плательщик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(работодатель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самостоятельно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занятое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осуществляющее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исчисление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уплату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возврат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ошибочно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уплаченных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сумм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своевременно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уплачивать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представлять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налоговые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расчеты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начисленным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перечисленным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отчислениям.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Обязательное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подразделяется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следующие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виды:</w:t>
      </w:r>
      <w:r w:rsidR="008901D6">
        <w:rPr>
          <w:sz w:val="28"/>
          <w:szCs w:val="28"/>
        </w:rPr>
        <w:t xml:space="preserve"> </w:t>
      </w:r>
    </w:p>
    <w:p w:rsidR="000B01E8" w:rsidRPr="00EF736F" w:rsidRDefault="000B01E8" w:rsidP="00EF736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утраты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трудоспособности;</w:t>
      </w:r>
      <w:r w:rsidR="008901D6">
        <w:rPr>
          <w:sz w:val="28"/>
          <w:szCs w:val="28"/>
        </w:rPr>
        <w:t xml:space="preserve"> </w:t>
      </w:r>
    </w:p>
    <w:p w:rsidR="000B01E8" w:rsidRPr="00EF736F" w:rsidRDefault="000B01E8" w:rsidP="00EF736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потери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кормильца;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3)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потери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работы.</w:t>
      </w:r>
      <w:r w:rsidR="008901D6">
        <w:rPr>
          <w:sz w:val="28"/>
          <w:szCs w:val="28"/>
        </w:rPr>
        <w:t xml:space="preserve"> 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Государство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гарантирует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получение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наступлении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Законом.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Постановлением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Правительства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21.06.04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№683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изменениями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дополнениями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31.12.2004г.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1149;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31.05.2005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533;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30.06.2005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662)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утверждены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исчисления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отчислений.</w:t>
      </w:r>
      <w:r w:rsidR="008901D6">
        <w:rPr>
          <w:sz w:val="28"/>
          <w:szCs w:val="28"/>
        </w:rPr>
        <w:t xml:space="preserve"> 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Социальные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подлежащие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уплате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фонд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участников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размере: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января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исчисления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отчислений;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января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исчисления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отчислений.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работодателя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расходы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выплачиваемые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работнику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доходов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выполненные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оказанные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услуги.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самостоятельно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занятых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распространяется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специальный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налоговый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режим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налоговым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уплачиваемый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пользу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составляет:</w:t>
      </w:r>
      <w:r w:rsidR="008901D6">
        <w:rPr>
          <w:sz w:val="28"/>
          <w:szCs w:val="28"/>
        </w:rPr>
        <w:t xml:space="preserve"> 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января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минимальной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заработной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платы;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января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минимальной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заработной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платы.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индивидуальных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предпринимателей,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применяющих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налоговые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режимы,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нотариусов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адвокатов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исчисления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доходы.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ежемесячный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доход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принимается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исчисления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размере,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превышающем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10-ти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кратного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минимальной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заработной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платы.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Механизм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показывает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опыт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рыночной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экономикой,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широко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используется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стабильности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ускорения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экономики.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Данный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опыт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получил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применение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расширилась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сфера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решения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задач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природных,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техногенных,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разрешения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проблем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ab/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место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Обязательное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владельцев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транспортных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средств.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владельцев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транспортных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застрахованного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обязанностью,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возместить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вред,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здоровью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(или)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третьих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результате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эксплуатации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транспортного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источника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опасности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Обязательное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перевозчика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пассажирами.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перевозчика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пассажирами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перевозчика,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обязанностью,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возместить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ущерб,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здоровью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(или)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пассажиров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перевозке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Обязательное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аудиторов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аудиторских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аудиторов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аудиторских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аудитора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аудиторской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возместить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вред,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аудируемым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субъектам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проведении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аудита.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Обязательное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нотариусов.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нотариусов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нотариуса,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возместить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вред,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третьим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результате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нотариальных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действий.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нотариальных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нотариус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заключить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нотариуса.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Обязательное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туроператора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турагента.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туроператора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турагента,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обязанностью,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возместить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вред,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(или)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туриста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реализации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туристического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выплат.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Обязательное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владельцев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опасностью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третьим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лицам».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владельца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возместить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вред,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здоровью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(или)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третьих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результате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аварии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выплат.</w:t>
      </w:r>
    </w:p>
    <w:p w:rsidR="0086570F" w:rsidRPr="00EF736F" w:rsidRDefault="0086570F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7C6EC2" w:rsidRPr="00EF736F" w:rsidRDefault="007C6EC2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36F">
        <w:rPr>
          <w:b/>
          <w:sz w:val="28"/>
          <w:szCs w:val="28"/>
        </w:rPr>
        <w:t>1.3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Государственное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регулирование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страхового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рынка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в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зарубежных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странах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финансово-кредитной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мира.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баланса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клиентов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(страхователей)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комплексе,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единую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систему.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Формы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делятся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группы: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административные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(прямые)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(косвенные),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преобладающими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современной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административные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методы.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административного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базируется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центральное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звено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регуляторы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косвенного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воздействия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через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сферы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звенья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финансово-кредитной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(налогообложение,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политику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Центрального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т.п.).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сожалению,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узкие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рамки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статьи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позволяют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рассмотреть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систему,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поэтому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остановимся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подробно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административном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регулировании.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Центральное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место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любой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занимают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статус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исполнительной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власти,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функционально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обособлены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сочетают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функции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контроля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могут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подчиняться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включаться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различных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ведомств,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однако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обладают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достаточной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степенью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самостоятельности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принятии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решений.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многих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Европы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институционально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обособлены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независимы,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Франции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(комиссия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контроля),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Германии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(федеральное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ведомство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деятельностью)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Швеции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инспекторат).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США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штатах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действуют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отделы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операциями.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Великобритании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функции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возложены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департамент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торговли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промышленности,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входящий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отдел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ведет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практическую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регулирующую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Канаде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производится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структурами,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подведомственными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министерству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Правовые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закладываются,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федеральных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и/или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Франции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сосредоточено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кодексе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1976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регламентирующем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стороны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США,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напротив,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вообще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федеральных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надзоре.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Законом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регламентируются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статус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задачи,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функции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центральных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территориальных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подразделений.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пределах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компетенции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единого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путем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регистрации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лицензированию,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контроля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учета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отчетности,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ведения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методологических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разработок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области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т.п.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современных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особенно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отдают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приоритет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изучению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Раньше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внимание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уделялось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допуску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практика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сохранилась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переходной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день.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главный,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далеко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единственный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субъект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пределах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компетенции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участвуют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(налоговые,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антимонопольные,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Центральный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банк).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Государственное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начинается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этапе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допуска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выступают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здесь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процедуры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регистрации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Регистрация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принципиально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отличается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обычной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процедуры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регистрации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проходит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этапа.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Сначала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проходит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регистрацию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предпринимательская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территории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(исключение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составляют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сейчас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допускают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без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регистрации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каких-либо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коммерческого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присутствия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территории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страны).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Затем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должна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пройти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регистрацию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внесена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реестр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параллельно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регистрацией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производится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лицензирование.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Лицензирование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процедура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получения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разрешения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определенным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(классам).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большинстве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США,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Японии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исключение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составляют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лишь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молодые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Балтии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СНГ)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специализации: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"life"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"non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life"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(иные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Запрещается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композитных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т.е.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занимающихся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одновременно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порядке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исключения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иногда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разрешается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продолжать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ранее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композитным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компаниям).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Кроме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того,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занимающихся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медицинским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банковских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специализация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складывалась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десятилетиями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явилась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результатом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естественных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рыночных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процессов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только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затем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узаконена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актах.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обращении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комплект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документов,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проверяются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точки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зрения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экономического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содержания,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представленных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расчетов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принятым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большинстве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проверяются:</w:t>
      </w:r>
      <w:r w:rsidR="008901D6">
        <w:rPr>
          <w:sz w:val="28"/>
          <w:szCs w:val="28"/>
        </w:rPr>
        <w:t xml:space="preserve"> 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учредительные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документы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документы,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подтверждающие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регистрацию;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справки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документы,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подтверждающие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оплату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уставного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(размер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уставного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особенно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важен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вновь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создаваемых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еще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следовательно,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сформировали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резервы),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наличие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активов;</w:t>
      </w:r>
      <w:r w:rsidR="008901D6">
        <w:rPr>
          <w:sz w:val="28"/>
          <w:szCs w:val="28"/>
        </w:rPr>
        <w:t xml:space="preserve"> 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«входной»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баланс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вновь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текущую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отчетность,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включая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расчет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действующих);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ближайшую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перспективу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1—3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отражающий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предполагаемые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поступлений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планируемые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покрытие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заключаемым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договорам;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страхования;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типовые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(полисов);</w:t>
      </w:r>
      <w:r w:rsidR="008901D6">
        <w:rPr>
          <w:sz w:val="28"/>
          <w:szCs w:val="28"/>
        </w:rPr>
        <w:t xml:space="preserve"> 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математически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статистически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обоснованные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ставок;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порядок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размещения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предупредительных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мероприятий;</w:t>
      </w:r>
      <w:r w:rsidR="008901D6">
        <w:rPr>
          <w:sz w:val="28"/>
          <w:szCs w:val="28"/>
        </w:rPr>
        <w:t xml:space="preserve"> 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иногда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(например,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Великобритании)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приложением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перестрахования;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сведения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управленческом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Великобритании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США)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сведения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предполагаемых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посредниках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каналах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сбыта.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Кроме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того,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частности,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Великобритании,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Германии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др.)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обращении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предоставляют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документы,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подтверждающие,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должности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руководителей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ключевых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сотрудников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занимают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специалисты,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профессиональной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подготовке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соответствующие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подвергавшиеся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судебным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преследованиям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нарушениями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Иногда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требуется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представить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рекомендательное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письмо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какого-либо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известного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финансово-кредитной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сфере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лица.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Регулированию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стадии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подвергается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прежде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процесса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составляет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утверждение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(правил)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решению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задачи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принципиальных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подхода.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Первый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утверждение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каждой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индивидуальном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порядке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(такое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положение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сейчас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США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России).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Второй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подход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типовых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каждому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хочет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проводить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предусмотренных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типовыми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правилами,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ввести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дополнительные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заниматься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новым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типовых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порядке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документы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утверждение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Самый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характерный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пример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подхода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Германия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(условия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каждому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утверждаются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федеральном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уровне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силу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закона).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Кроме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того,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типовые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широко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применяются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Франции,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Канаде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Согласно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директивам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утверждаются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типовые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крупных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транспортных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образом,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остается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предлагать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дифференцированную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утверждения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отклонений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надзора).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стадии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содержания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различную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степень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детализации: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отсутствие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предварительной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проверке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содержания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(полисов)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Великобритания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др.;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предварительная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проверка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типовых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(полисов)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факт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наличия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Франция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др.;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предварительное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утверждение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содержания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(полисов)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точки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зрения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Германия.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существенным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без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наличия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юридической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силы,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большинства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России)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относят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стороны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застрахованные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суммы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сроки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(например,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Германии)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перечень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шире,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частности,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Великобритании),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напротив,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никаких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конкретных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договора.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Регулированию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процессе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частично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могут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подвергаться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т.е.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тарифы.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Слишком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высокие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ущемляют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недобросовестной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конкуренции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ведомственной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подчиненности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слишком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низкие—опасны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иногда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служат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орудием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демпинга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захвата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монополизации.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затем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продолжается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ходе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контроля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действующей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отличие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товарных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контролем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политикой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занимаются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столько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антимонопольные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сколько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практике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долгого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времени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ставки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жесткие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рамки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колебаний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устанавливались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непосредственно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Иногда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функции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ставок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передаются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объединениям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(саморегулируемым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конце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80-х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начале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90-х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большинство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отказалось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прямого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контроля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тарифами.</w:t>
      </w:r>
    </w:p>
    <w:p w:rsid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Государственное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текущей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направлено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очередь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достаточно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жестки.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Приоритетным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направлением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здесь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контроль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размещения).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определяют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количество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добровольные,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утверждают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устанавливают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порядок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отражения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состояния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отчетности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организации.</w:t>
      </w:r>
      <w:r w:rsidR="008901D6">
        <w:rPr>
          <w:sz w:val="28"/>
          <w:szCs w:val="28"/>
        </w:rPr>
        <w:t xml:space="preserve"> 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Современные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формируют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группы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математические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технические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(фонды)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предупредительных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мероприятий.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менее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актуальным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современных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очередь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счет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фактически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деньги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страхователей),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счет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могут: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определять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круг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разрешенных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запрещенных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инвестирования;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устанавливать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максимальные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и/или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минимальные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размещения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каждый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(банковские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депозиты,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корпоративные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недвижимость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др.),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ограничения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инвестированию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один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объект;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утверждать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расчета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показателей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надежности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ликвидности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каждому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объекту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портфелю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устанавливать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показателей;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устанавливать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ограничения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рубежом.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размещения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служит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достижения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ряда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целей.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Во-первых,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значение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прямой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результат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гарантий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выполнения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клиентами.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Во-вторых,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регламентация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размещения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косвенные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последствия,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результате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использоваться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регулятор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частности,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ужесточение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отражается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очередь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мелких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уступают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позиции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конкурентам,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образом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происходит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укрупнение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компаний),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регулятор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инструмент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стимулирования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покупки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покупка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долговых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обязывая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вкладывать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самым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обеспечивает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спрос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стороны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превращает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перераспределяет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8—10%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ВВП)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стабильного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заимодавца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могут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использоваться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считаются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«безрисковыми».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Прямой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поддержание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правопорядка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полномочия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применение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санкций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нарушителям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включая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возможность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направлять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предписания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устранению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нарушений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соответствующими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механизмами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контроля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исполнением),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приостанавливать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ограничивать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устранения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нарушений,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отзывать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обращаться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ликвидации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жалобы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обращения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проводить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целевые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проверки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текущей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(особенно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широко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практика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применяется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США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Германии).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используются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гарантийные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фонды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внесение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гарантийных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депозитов.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Максимального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достигли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США,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вводятся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уровне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каждого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штата.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Германии,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напротив,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гарантийных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инструментов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нет.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отечественной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практике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подобные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инструменты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применяются.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Механизм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стороны.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стороны,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несут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положительный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эффект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Здесь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свойственный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принцип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замкнутой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раскладки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ущерба: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фондов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крупных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катастроф,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банкротств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т.д.,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поэтому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способствуют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надежности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функционирования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потребителей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услуг.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Кроме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того,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конъюнктурное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изменение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гарантийных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депозитов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отчислений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гарантийные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фонды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(так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банковских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косвенно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либо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стимулирует,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либо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сдерживает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отрасли.</w:t>
      </w:r>
      <w:r w:rsidR="008901D6">
        <w:rPr>
          <w:sz w:val="28"/>
          <w:szCs w:val="28"/>
        </w:rPr>
        <w:t xml:space="preserve"> 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Однако,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стороны,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обанкротившегося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(вследствие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непродуманной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тарифной,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андеррайтинговой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политики)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фактически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оплачиваются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благополучными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компаниями,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стимулы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поиску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надежных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обдуманному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подходу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выбору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следовательно,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принципам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свободной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рыночной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экономики.</w:t>
      </w:r>
    </w:p>
    <w:p w:rsidR="00AD2874" w:rsidRPr="00EF736F" w:rsidRDefault="00AD287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Разумеется,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рамках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рассмотрены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далеко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существующие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лишь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наиболее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широко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используются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практике.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Опыт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нашему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мнению,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должен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сыграть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положительную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роль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дальнейшей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интеграции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мировой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рынок.</w:t>
      </w:r>
    </w:p>
    <w:p w:rsidR="00EB340B" w:rsidRPr="00EF736F" w:rsidRDefault="00EF736F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EB340B" w:rsidRPr="00EF736F">
        <w:rPr>
          <w:b/>
          <w:sz w:val="28"/>
          <w:szCs w:val="28"/>
        </w:rPr>
        <w:t>2.</w:t>
      </w:r>
      <w:r w:rsidR="008901D6">
        <w:rPr>
          <w:b/>
          <w:sz w:val="28"/>
          <w:szCs w:val="28"/>
        </w:rPr>
        <w:t xml:space="preserve"> </w:t>
      </w:r>
      <w:r w:rsidR="00EB340B" w:rsidRPr="00EF736F">
        <w:rPr>
          <w:b/>
          <w:sz w:val="28"/>
          <w:szCs w:val="28"/>
        </w:rPr>
        <w:t>АНАЛИЗ</w:t>
      </w:r>
      <w:r w:rsidR="008901D6">
        <w:rPr>
          <w:b/>
          <w:sz w:val="28"/>
          <w:szCs w:val="28"/>
        </w:rPr>
        <w:t xml:space="preserve"> </w:t>
      </w:r>
      <w:r w:rsidR="00EB340B" w:rsidRPr="00EF736F">
        <w:rPr>
          <w:b/>
          <w:sz w:val="28"/>
          <w:szCs w:val="28"/>
        </w:rPr>
        <w:t>ДЕЯТЕЛЬНОСТИ</w:t>
      </w:r>
      <w:r w:rsidR="008901D6">
        <w:rPr>
          <w:b/>
          <w:sz w:val="28"/>
          <w:szCs w:val="28"/>
        </w:rPr>
        <w:t xml:space="preserve"> </w:t>
      </w:r>
      <w:r w:rsidR="00EB340B" w:rsidRPr="00EF736F">
        <w:rPr>
          <w:b/>
          <w:sz w:val="28"/>
          <w:szCs w:val="28"/>
        </w:rPr>
        <w:t>СТРАХОВОГО</w:t>
      </w:r>
      <w:r w:rsidR="008901D6">
        <w:rPr>
          <w:b/>
          <w:sz w:val="28"/>
          <w:szCs w:val="28"/>
        </w:rPr>
        <w:t xml:space="preserve"> </w:t>
      </w:r>
      <w:r w:rsidR="00EB340B" w:rsidRPr="00EF736F">
        <w:rPr>
          <w:b/>
          <w:sz w:val="28"/>
          <w:szCs w:val="28"/>
        </w:rPr>
        <w:t>РЫНКА</w:t>
      </w:r>
      <w:r w:rsidR="008901D6">
        <w:rPr>
          <w:b/>
          <w:sz w:val="28"/>
          <w:szCs w:val="28"/>
        </w:rPr>
        <w:t xml:space="preserve"> </w:t>
      </w:r>
      <w:r w:rsidR="00EB340B" w:rsidRPr="00EF736F">
        <w:rPr>
          <w:b/>
          <w:sz w:val="28"/>
          <w:szCs w:val="28"/>
        </w:rPr>
        <w:t>РЕСПУБЛИКИ</w:t>
      </w:r>
      <w:r w:rsidR="008901D6">
        <w:rPr>
          <w:b/>
          <w:sz w:val="28"/>
          <w:szCs w:val="28"/>
        </w:rPr>
        <w:t xml:space="preserve"> </w:t>
      </w:r>
      <w:r w:rsidR="00EB340B" w:rsidRPr="00EF736F">
        <w:rPr>
          <w:b/>
          <w:sz w:val="28"/>
          <w:szCs w:val="28"/>
        </w:rPr>
        <w:t>КАЗАХСТАН</w:t>
      </w:r>
    </w:p>
    <w:p w:rsidR="00EB340B" w:rsidRPr="00EF736F" w:rsidRDefault="00EB340B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36F">
        <w:rPr>
          <w:b/>
          <w:sz w:val="28"/>
          <w:szCs w:val="28"/>
        </w:rPr>
        <w:t>2.1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Основные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показатели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страхового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рынка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состоянию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января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</w:t>
      </w:r>
      <w:r w:rsidRPr="00EF736F">
        <w:rPr>
          <w:sz w:val="28"/>
          <w:szCs w:val="28"/>
        </w:rPr>
        <w:softHyphen/>
        <w:t>ховом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лицензированную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(перестраховочная)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14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брокеров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44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актуария,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выданы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</w:t>
      </w:r>
      <w:r w:rsidRPr="00EF736F">
        <w:rPr>
          <w:sz w:val="28"/>
          <w:szCs w:val="28"/>
        </w:rPr>
        <w:softHyphen/>
        <w:t>зии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</w:t>
      </w:r>
      <w:r w:rsidRPr="00EF736F">
        <w:rPr>
          <w:sz w:val="28"/>
          <w:szCs w:val="28"/>
        </w:rPr>
        <w:softHyphen/>
        <w:t>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Региональная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представлена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191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филиалом.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Совокупный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января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223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556,1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увеличившись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прошедший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65,0%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88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064,4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(Таблица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1).</w:t>
      </w:r>
      <w:r w:rsidR="008901D6">
        <w:rPr>
          <w:sz w:val="28"/>
          <w:szCs w:val="28"/>
        </w:rPr>
        <w:t xml:space="preserve"> </w:t>
      </w:r>
    </w:p>
    <w:p w:rsidR="00EF736F" w:rsidRDefault="00EF736F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jc w:val="both"/>
        <w:rPr>
          <w:sz w:val="20"/>
          <w:szCs w:val="20"/>
        </w:rPr>
      </w:pPr>
      <w:r w:rsidRPr="00EF736F">
        <w:rPr>
          <w:sz w:val="20"/>
          <w:szCs w:val="20"/>
        </w:rPr>
        <w:t>Таблица</w:t>
      </w:r>
      <w:r w:rsidR="008901D6">
        <w:rPr>
          <w:sz w:val="20"/>
          <w:szCs w:val="20"/>
        </w:rPr>
        <w:t xml:space="preserve"> </w:t>
      </w:r>
      <w:r w:rsidRPr="00EF736F">
        <w:rPr>
          <w:sz w:val="20"/>
          <w:szCs w:val="20"/>
        </w:rPr>
        <w:t>1</w:t>
      </w:r>
      <w:r w:rsidR="008901D6">
        <w:rPr>
          <w:sz w:val="20"/>
          <w:szCs w:val="20"/>
        </w:rPr>
        <w:t xml:space="preserve"> </w:t>
      </w:r>
      <w:r w:rsidRPr="00EF736F">
        <w:rPr>
          <w:sz w:val="20"/>
          <w:szCs w:val="20"/>
        </w:rPr>
        <w:t>–</w:t>
      </w:r>
      <w:r w:rsidR="008901D6">
        <w:rPr>
          <w:sz w:val="20"/>
          <w:szCs w:val="20"/>
        </w:rPr>
        <w:t xml:space="preserve"> </w:t>
      </w:r>
      <w:r w:rsidRPr="00EF736F">
        <w:rPr>
          <w:sz w:val="20"/>
          <w:szCs w:val="20"/>
        </w:rPr>
        <w:t>Структура</w:t>
      </w:r>
      <w:r w:rsidR="008901D6">
        <w:rPr>
          <w:sz w:val="20"/>
          <w:szCs w:val="20"/>
        </w:rPr>
        <w:t xml:space="preserve"> </w:t>
      </w:r>
      <w:r w:rsidRPr="00EF736F">
        <w:rPr>
          <w:sz w:val="20"/>
          <w:szCs w:val="20"/>
        </w:rPr>
        <w:t>активов</w:t>
      </w:r>
      <w:r w:rsidR="008901D6">
        <w:rPr>
          <w:sz w:val="20"/>
          <w:szCs w:val="20"/>
        </w:rPr>
        <w:t xml:space="preserve"> </w:t>
      </w:r>
      <w:r w:rsidRPr="00EF736F">
        <w:rPr>
          <w:sz w:val="20"/>
          <w:szCs w:val="20"/>
        </w:rPr>
        <w:t>страховых</w:t>
      </w:r>
      <w:r w:rsidR="008901D6">
        <w:rPr>
          <w:sz w:val="20"/>
          <w:szCs w:val="20"/>
        </w:rPr>
        <w:t xml:space="preserve"> </w:t>
      </w:r>
      <w:r w:rsidRPr="00EF736F">
        <w:rPr>
          <w:sz w:val="20"/>
          <w:szCs w:val="20"/>
        </w:rPr>
        <w:t>организаций,</w:t>
      </w:r>
      <w:r w:rsidR="008901D6">
        <w:rPr>
          <w:sz w:val="20"/>
          <w:szCs w:val="20"/>
        </w:rPr>
        <w:t xml:space="preserve"> </w:t>
      </w:r>
      <w:r w:rsidRPr="00EF736F">
        <w:rPr>
          <w:sz w:val="20"/>
          <w:szCs w:val="20"/>
        </w:rPr>
        <w:t>млн.</w:t>
      </w:r>
      <w:r w:rsidR="008901D6">
        <w:rPr>
          <w:sz w:val="20"/>
          <w:szCs w:val="20"/>
        </w:rPr>
        <w:t xml:space="preserve"> </w:t>
      </w:r>
      <w:r w:rsidRPr="00EF736F">
        <w:rPr>
          <w:sz w:val="20"/>
          <w:szCs w:val="20"/>
        </w:rPr>
        <w:t>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242"/>
        <w:gridCol w:w="1028"/>
        <w:gridCol w:w="1242"/>
        <w:gridCol w:w="884"/>
        <w:gridCol w:w="1387"/>
      </w:tblGrid>
      <w:tr w:rsidR="00EB340B" w:rsidRPr="00B573D4" w:rsidTr="00B573D4">
        <w:tc>
          <w:tcPr>
            <w:tcW w:w="3367" w:type="dxa"/>
            <w:vMerge w:val="restart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Активы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01.01.2008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2007/2006</w:t>
            </w:r>
          </w:p>
        </w:tc>
      </w:tr>
      <w:tr w:rsidR="00EB340B" w:rsidRPr="00B573D4" w:rsidTr="00B573D4">
        <w:tc>
          <w:tcPr>
            <w:tcW w:w="3367" w:type="dxa"/>
            <w:vMerge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</w:p>
        </w:tc>
        <w:tc>
          <w:tcPr>
            <w:tcW w:w="102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доля,%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</w:p>
        </w:tc>
        <w:tc>
          <w:tcPr>
            <w:tcW w:w="88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доля,%</w:t>
            </w:r>
          </w:p>
        </w:tc>
        <w:tc>
          <w:tcPr>
            <w:tcW w:w="1387" w:type="dxa"/>
            <w:vMerge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40B" w:rsidRPr="00B573D4" w:rsidTr="00B573D4">
        <w:tc>
          <w:tcPr>
            <w:tcW w:w="33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Деньги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9131,1</w:t>
            </w:r>
          </w:p>
        </w:tc>
        <w:tc>
          <w:tcPr>
            <w:tcW w:w="102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6,8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7359,0</w:t>
            </w:r>
          </w:p>
        </w:tc>
        <w:tc>
          <w:tcPr>
            <w:tcW w:w="88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3,3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-20,0%</w:t>
            </w:r>
          </w:p>
        </w:tc>
      </w:tr>
      <w:tr w:rsidR="00EB340B" w:rsidRPr="00B573D4" w:rsidTr="00B573D4">
        <w:tc>
          <w:tcPr>
            <w:tcW w:w="33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Вклады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размещенные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25554,5</w:t>
            </w:r>
          </w:p>
        </w:tc>
        <w:tc>
          <w:tcPr>
            <w:tcW w:w="102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18,9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63747,1</w:t>
            </w:r>
          </w:p>
        </w:tc>
        <w:tc>
          <w:tcPr>
            <w:tcW w:w="88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28,5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2,5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раза</w:t>
            </w:r>
          </w:p>
        </w:tc>
      </w:tr>
      <w:tr w:rsidR="00EB340B" w:rsidRPr="00B573D4" w:rsidTr="00B573D4">
        <w:tc>
          <w:tcPr>
            <w:tcW w:w="33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Ценные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бумаги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66259,2</w:t>
            </w:r>
          </w:p>
        </w:tc>
        <w:tc>
          <w:tcPr>
            <w:tcW w:w="102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48,9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78162,3</w:t>
            </w:r>
          </w:p>
        </w:tc>
        <w:tc>
          <w:tcPr>
            <w:tcW w:w="88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35,0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18,0%</w:t>
            </w:r>
          </w:p>
        </w:tc>
      </w:tr>
      <w:tr w:rsidR="00EB340B" w:rsidRPr="00B573D4" w:rsidTr="00B573D4">
        <w:tc>
          <w:tcPr>
            <w:tcW w:w="33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Операция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«обратное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РЕПО»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13360,0</w:t>
            </w:r>
          </w:p>
        </w:tc>
        <w:tc>
          <w:tcPr>
            <w:tcW w:w="102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9,9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20664,7</w:t>
            </w:r>
          </w:p>
        </w:tc>
        <w:tc>
          <w:tcPr>
            <w:tcW w:w="88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9,2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1,5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раза</w:t>
            </w:r>
          </w:p>
        </w:tc>
      </w:tr>
      <w:tr w:rsidR="00EB340B" w:rsidRPr="00B573D4" w:rsidTr="00B573D4">
        <w:tc>
          <w:tcPr>
            <w:tcW w:w="33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Страховые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премии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к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получению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от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страхователей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посредников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10638,0</w:t>
            </w:r>
          </w:p>
        </w:tc>
        <w:tc>
          <w:tcPr>
            <w:tcW w:w="102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7,8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11472,6</w:t>
            </w:r>
          </w:p>
        </w:tc>
        <w:tc>
          <w:tcPr>
            <w:tcW w:w="88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5,1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7,8</w:t>
            </w:r>
          </w:p>
        </w:tc>
      </w:tr>
      <w:tr w:rsidR="00EB340B" w:rsidRPr="00B573D4" w:rsidTr="00B573D4">
        <w:tc>
          <w:tcPr>
            <w:tcW w:w="33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Основные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средства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2920,2</w:t>
            </w:r>
          </w:p>
        </w:tc>
        <w:tc>
          <w:tcPr>
            <w:tcW w:w="102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2,2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4195,4</w:t>
            </w:r>
          </w:p>
        </w:tc>
        <w:tc>
          <w:tcPr>
            <w:tcW w:w="88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1,9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43,7%</w:t>
            </w:r>
          </w:p>
        </w:tc>
      </w:tr>
      <w:tr w:rsidR="00EB340B" w:rsidRPr="00B573D4" w:rsidTr="00B573D4">
        <w:tc>
          <w:tcPr>
            <w:tcW w:w="33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Активы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перестрахования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21138,5</w:t>
            </w:r>
          </w:p>
        </w:tc>
        <w:tc>
          <w:tcPr>
            <w:tcW w:w="88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13,0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-</w:t>
            </w:r>
          </w:p>
        </w:tc>
      </w:tr>
      <w:tr w:rsidR="00EB340B" w:rsidRPr="00B573D4" w:rsidTr="00B573D4">
        <w:tc>
          <w:tcPr>
            <w:tcW w:w="33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Прочая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дебиторская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3455,5</w:t>
            </w:r>
          </w:p>
        </w:tc>
        <w:tc>
          <w:tcPr>
            <w:tcW w:w="102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2,5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6027,2</w:t>
            </w:r>
          </w:p>
        </w:tc>
        <w:tc>
          <w:tcPr>
            <w:tcW w:w="88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2,7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74,7%</w:t>
            </w:r>
          </w:p>
        </w:tc>
      </w:tr>
      <w:tr w:rsidR="00EB340B" w:rsidRPr="00B573D4" w:rsidTr="00B573D4">
        <w:tc>
          <w:tcPr>
            <w:tcW w:w="33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Другие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активы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4109,2</w:t>
            </w:r>
          </w:p>
        </w:tc>
        <w:tc>
          <w:tcPr>
            <w:tcW w:w="102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3,0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2789,4</w:t>
            </w:r>
          </w:p>
        </w:tc>
        <w:tc>
          <w:tcPr>
            <w:tcW w:w="88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1,3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-32,1%</w:t>
            </w:r>
          </w:p>
        </w:tc>
      </w:tr>
      <w:tr w:rsidR="00EB340B" w:rsidRPr="00B573D4" w:rsidTr="00B573D4">
        <w:tc>
          <w:tcPr>
            <w:tcW w:w="33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Итого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активов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135489,7</w:t>
            </w:r>
          </w:p>
        </w:tc>
        <w:tc>
          <w:tcPr>
            <w:tcW w:w="102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223556,1</w:t>
            </w:r>
          </w:p>
        </w:tc>
        <w:tc>
          <w:tcPr>
            <w:tcW w:w="88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100,0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65,0%</w:t>
            </w:r>
          </w:p>
        </w:tc>
      </w:tr>
    </w:tbl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Значительное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совокупных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произошло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изменениями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ноября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совокупные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увеличились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перестраховщика,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января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29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138,5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наблюдается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вкладов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БВУ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554,5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63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747,1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«обратное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РЕПО»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664,7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прочей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дебиторской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задолженности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455,5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02.7,2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тенге.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состоянию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января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сумма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97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279,3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75,9%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аналогичную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прошлого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совокупных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произошло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счет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роста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отчетную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сформиро</w:t>
      </w:r>
      <w:r w:rsidRPr="00EF736F">
        <w:rPr>
          <w:sz w:val="28"/>
          <w:szCs w:val="28"/>
        </w:rPr>
        <w:softHyphen/>
        <w:t>ванных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(перестраховочными)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принятых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действующим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86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359,8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88,8%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сформированных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января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года.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совокупный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увеличился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076,1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57,5%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состоянию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января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126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276,8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(Таблица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2).</w:t>
      </w:r>
      <w:r w:rsidR="008901D6">
        <w:rPr>
          <w:sz w:val="28"/>
          <w:szCs w:val="28"/>
        </w:rPr>
        <w:t xml:space="preserve"> 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ab/>
        <w:t>Таблица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показатели,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76"/>
        <w:gridCol w:w="1476"/>
        <w:gridCol w:w="1414"/>
      </w:tblGrid>
      <w:tr w:rsidR="00EB340B" w:rsidRPr="00B573D4" w:rsidTr="00B573D4">
        <w:tc>
          <w:tcPr>
            <w:tcW w:w="46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01.01.2007</w:t>
            </w: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01.01.2008</w:t>
            </w:r>
          </w:p>
        </w:tc>
        <w:tc>
          <w:tcPr>
            <w:tcW w:w="141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2007/2006</w:t>
            </w:r>
          </w:p>
        </w:tc>
      </w:tr>
      <w:tr w:rsidR="00EB340B" w:rsidRPr="00B573D4" w:rsidTr="00B573D4">
        <w:tc>
          <w:tcPr>
            <w:tcW w:w="46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Совокупные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активы</w:t>
            </w: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135489,7</w:t>
            </w: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223556,1</w:t>
            </w:r>
          </w:p>
        </w:tc>
        <w:tc>
          <w:tcPr>
            <w:tcW w:w="141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65,0</w:t>
            </w:r>
          </w:p>
        </w:tc>
      </w:tr>
      <w:tr w:rsidR="00EB340B" w:rsidRPr="00B573D4" w:rsidTr="00B573D4">
        <w:tc>
          <w:tcPr>
            <w:tcW w:w="46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55289,0</w:t>
            </w: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97279,3</w:t>
            </w:r>
          </w:p>
        </w:tc>
        <w:tc>
          <w:tcPr>
            <w:tcW w:w="141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76,9</w:t>
            </w:r>
          </w:p>
        </w:tc>
      </w:tr>
      <w:tr w:rsidR="00EB340B" w:rsidRPr="00B573D4" w:rsidTr="00B573D4">
        <w:tc>
          <w:tcPr>
            <w:tcW w:w="46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т..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резервы</w:t>
            </w: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45749,5</w:t>
            </w: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86359,8</w:t>
            </w:r>
          </w:p>
        </w:tc>
        <w:tc>
          <w:tcPr>
            <w:tcW w:w="141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88,8</w:t>
            </w:r>
          </w:p>
        </w:tc>
      </w:tr>
      <w:tr w:rsidR="00EB340B" w:rsidRPr="00B573D4" w:rsidTr="00B573D4">
        <w:tc>
          <w:tcPr>
            <w:tcW w:w="46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прочие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обязательства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9539,5</w:t>
            </w: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10919,5</w:t>
            </w:r>
          </w:p>
        </w:tc>
        <w:tc>
          <w:tcPr>
            <w:tcW w:w="141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14,5</w:t>
            </w:r>
          </w:p>
        </w:tc>
      </w:tr>
      <w:tr w:rsidR="00EB340B" w:rsidRPr="00B573D4" w:rsidTr="00B573D4">
        <w:tc>
          <w:tcPr>
            <w:tcW w:w="46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Собственный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капитал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(по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балансу)</w:t>
            </w: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80200,7</w:t>
            </w:r>
          </w:p>
        </w:tc>
        <w:tc>
          <w:tcPr>
            <w:tcW w:w="14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126276,8</w:t>
            </w:r>
          </w:p>
        </w:tc>
        <w:tc>
          <w:tcPr>
            <w:tcW w:w="141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57,5</w:t>
            </w:r>
          </w:p>
        </w:tc>
      </w:tr>
    </w:tbl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Данное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произошло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счет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услуг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(перестраховочных)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организаций.</w:t>
      </w:r>
    </w:p>
    <w:p w:rsidR="00EB340B" w:rsidRPr="00EF736F" w:rsidRDefault="00EF736F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340B" w:rsidRPr="00EF736F">
        <w:rPr>
          <w:b/>
          <w:sz w:val="28"/>
          <w:szCs w:val="28"/>
        </w:rPr>
        <w:t>2.2</w:t>
      </w:r>
      <w:r w:rsidR="008901D6">
        <w:rPr>
          <w:b/>
          <w:sz w:val="28"/>
          <w:szCs w:val="28"/>
        </w:rPr>
        <w:t xml:space="preserve"> </w:t>
      </w:r>
      <w:r w:rsidR="00EB340B" w:rsidRPr="00EF736F">
        <w:rPr>
          <w:b/>
          <w:sz w:val="28"/>
          <w:szCs w:val="28"/>
        </w:rPr>
        <w:t>Инвестиционный</w:t>
      </w:r>
      <w:r w:rsidR="008901D6">
        <w:rPr>
          <w:b/>
          <w:sz w:val="28"/>
          <w:szCs w:val="28"/>
        </w:rPr>
        <w:t xml:space="preserve"> </w:t>
      </w:r>
      <w:r w:rsidR="00EB340B" w:rsidRPr="00EF736F">
        <w:rPr>
          <w:b/>
          <w:sz w:val="28"/>
          <w:szCs w:val="28"/>
        </w:rPr>
        <w:t>портфель</w:t>
      </w:r>
      <w:r w:rsidR="008901D6">
        <w:rPr>
          <w:b/>
          <w:sz w:val="28"/>
          <w:szCs w:val="28"/>
        </w:rPr>
        <w:t xml:space="preserve"> </w:t>
      </w:r>
      <w:r w:rsidR="00EB340B" w:rsidRPr="00EF736F">
        <w:rPr>
          <w:b/>
          <w:sz w:val="28"/>
          <w:szCs w:val="28"/>
        </w:rPr>
        <w:t>страховых</w:t>
      </w:r>
      <w:r w:rsidR="008901D6">
        <w:rPr>
          <w:b/>
          <w:sz w:val="28"/>
          <w:szCs w:val="28"/>
        </w:rPr>
        <w:t xml:space="preserve"> </w:t>
      </w:r>
      <w:r w:rsidR="00EB340B" w:rsidRPr="00EF736F">
        <w:rPr>
          <w:b/>
          <w:sz w:val="28"/>
          <w:szCs w:val="28"/>
        </w:rPr>
        <w:t>организаций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Основную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портфеле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занимают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вклады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БВУ,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увеличились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сравнению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2,5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тенденция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прежде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обусловлена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ростом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135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489,7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223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556,1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65%,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дефицитом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высоколиквидных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инструмен</w:t>
      </w:r>
      <w:r w:rsidRPr="00EF736F">
        <w:rPr>
          <w:sz w:val="28"/>
          <w:szCs w:val="28"/>
        </w:rPr>
        <w:softHyphen/>
        <w:t>тов,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исключением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вкладов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БВУ.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вкладов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БВУ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могла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ситуация,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ликвидностью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банковском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(увеличение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вознаграждения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банковским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вкладам,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размещение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дочерними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материнские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банки).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Наблюдается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негосударственные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нерезидентов.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следует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отметить,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негосударственных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портфеле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уменьшилась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43,11%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36,75%,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59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219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наблюдается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отменой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Агентства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размещению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ГЦБ.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снизилась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17,46%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10,23%.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(Таблица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3).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Таблица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портфеля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972"/>
        <w:gridCol w:w="1167"/>
        <w:gridCol w:w="1101"/>
        <w:gridCol w:w="1167"/>
        <w:gridCol w:w="1387"/>
      </w:tblGrid>
      <w:tr w:rsidR="00EB340B" w:rsidRPr="00B573D4" w:rsidTr="00B573D4">
        <w:tc>
          <w:tcPr>
            <w:tcW w:w="3389" w:type="dxa"/>
            <w:vMerge w:val="restart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Инвестиционный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портфель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01.01.2008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2007/2006</w:t>
            </w:r>
          </w:p>
        </w:tc>
      </w:tr>
      <w:tr w:rsidR="00EB340B" w:rsidRPr="00B573D4" w:rsidTr="00B573D4">
        <w:tc>
          <w:tcPr>
            <w:tcW w:w="3389" w:type="dxa"/>
            <w:vMerge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доля,%</w:t>
            </w:r>
          </w:p>
        </w:tc>
        <w:tc>
          <w:tcPr>
            <w:tcW w:w="110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доля,%</w:t>
            </w:r>
          </w:p>
        </w:tc>
        <w:tc>
          <w:tcPr>
            <w:tcW w:w="1387" w:type="dxa"/>
            <w:vMerge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40B" w:rsidRPr="00B573D4" w:rsidTr="00B573D4">
        <w:tc>
          <w:tcPr>
            <w:tcW w:w="338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Государственные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ценные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бумаги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РК</w:t>
            </w:r>
          </w:p>
        </w:tc>
        <w:tc>
          <w:tcPr>
            <w:tcW w:w="97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17008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17,46</w:t>
            </w:r>
          </w:p>
        </w:tc>
        <w:tc>
          <w:tcPr>
            <w:tcW w:w="110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16491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10,23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-3,0%</w:t>
            </w:r>
          </w:p>
        </w:tc>
      </w:tr>
      <w:tr w:rsidR="00EB340B" w:rsidRPr="00B573D4" w:rsidTr="00B573D4">
        <w:tc>
          <w:tcPr>
            <w:tcW w:w="338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Вклады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БВУ</w:t>
            </w:r>
          </w:p>
        </w:tc>
        <w:tc>
          <w:tcPr>
            <w:tcW w:w="97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25555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21,96</w:t>
            </w:r>
          </w:p>
        </w:tc>
        <w:tc>
          <w:tcPr>
            <w:tcW w:w="110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63747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39,56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2,5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раза</w:t>
            </w:r>
          </w:p>
        </w:tc>
      </w:tr>
      <w:tr w:rsidR="00EB340B" w:rsidRPr="00B573D4" w:rsidTr="00B573D4">
        <w:tc>
          <w:tcPr>
            <w:tcW w:w="338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Ценные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бумаги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МФО</w:t>
            </w:r>
          </w:p>
        </w:tc>
        <w:tc>
          <w:tcPr>
            <w:tcW w:w="97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0,0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-</w:t>
            </w:r>
          </w:p>
        </w:tc>
      </w:tr>
      <w:tr w:rsidR="00EB340B" w:rsidRPr="00B573D4" w:rsidTr="00B573D4">
        <w:tc>
          <w:tcPr>
            <w:tcW w:w="338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Паи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иностранных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инвестиционных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фондов</w:t>
            </w:r>
          </w:p>
        </w:tc>
        <w:tc>
          <w:tcPr>
            <w:tcW w:w="97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11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0,01</w:t>
            </w:r>
          </w:p>
        </w:tc>
        <w:tc>
          <w:tcPr>
            <w:tcW w:w="110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21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0,01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-</w:t>
            </w:r>
          </w:p>
        </w:tc>
      </w:tr>
      <w:tr w:rsidR="00EB340B" w:rsidRPr="00B573D4" w:rsidTr="00B573D4">
        <w:tc>
          <w:tcPr>
            <w:tcW w:w="338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Негосударственные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ценные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бумаги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эмитентов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РК</w:t>
            </w:r>
          </w:p>
        </w:tc>
        <w:tc>
          <w:tcPr>
            <w:tcW w:w="97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41956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43,11</w:t>
            </w:r>
          </w:p>
        </w:tc>
        <w:tc>
          <w:tcPr>
            <w:tcW w:w="110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59219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36,75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41,1%</w:t>
            </w:r>
          </w:p>
        </w:tc>
      </w:tr>
      <w:tr w:rsidR="00EB340B" w:rsidRPr="00B573D4" w:rsidTr="00B573D4">
        <w:tc>
          <w:tcPr>
            <w:tcW w:w="338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Государственные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ценные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бумаги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эмитентов</w:t>
            </w:r>
          </w:p>
        </w:tc>
        <w:tc>
          <w:tcPr>
            <w:tcW w:w="97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6140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1,31</w:t>
            </w:r>
          </w:p>
        </w:tc>
        <w:tc>
          <w:tcPr>
            <w:tcW w:w="110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599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0,37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-90,2%</w:t>
            </w:r>
          </w:p>
        </w:tc>
      </w:tr>
      <w:tr w:rsidR="00EB340B" w:rsidRPr="00B573D4" w:rsidTr="00B573D4">
        <w:tc>
          <w:tcPr>
            <w:tcW w:w="338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Негосударственные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ценные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бумаги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эмитентов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нерезидентов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РК</w:t>
            </w:r>
          </w:p>
        </w:tc>
        <w:tc>
          <w:tcPr>
            <w:tcW w:w="97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5,14</w:t>
            </w:r>
          </w:p>
        </w:tc>
        <w:tc>
          <w:tcPr>
            <w:tcW w:w="110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426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0,26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5,1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раза</w:t>
            </w:r>
          </w:p>
        </w:tc>
      </w:tr>
      <w:tr w:rsidR="00EB340B" w:rsidRPr="00B573D4" w:rsidTr="00B573D4">
        <w:tc>
          <w:tcPr>
            <w:tcW w:w="338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Операции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«Обратное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РЕПО»</w:t>
            </w:r>
          </w:p>
        </w:tc>
        <w:tc>
          <w:tcPr>
            <w:tcW w:w="97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13782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11,01</w:t>
            </w:r>
          </w:p>
        </w:tc>
        <w:tc>
          <w:tcPr>
            <w:tcW w:w="110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20665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12,82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51,1%</w:t>
            </w:r>
          </w:p>
        </w:tc>
      </w:tr>
      <w:tr w:rsidR="00EB340B" w:rsidRPr="00B573D4" w:rsidTr="00B573D4">
        <w:tc>
          <w:tcPr>
            <w:tcW w:w="338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Итого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104535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100,0</w:t>
            </w:r>
          </w:p>
        </w:tc>
        <w:tc>
          <w:tcPr>
            <w:tcW w:w="110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160350</w:t>
            </w:r>
          </w:p>
        </w:tc>
        <w:tc>
          <w:tcPr>
            <w:tcW w:w="116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100,0</w:t>
            </w:r>
          </w:p>
        </w:tc>
        <w:tc>
          <w:tcPr>
            <w:tcW w:w="1387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54,1</w:t>
            </w:r>
          </w:p>
        </w:tc>
      </w:tr>
    </w:tbl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36F">
        <w:rPr>
          <w:b/>
          <w:sz w:val="28"/>
          <w:szCs w:val="28"/>
        </w:rPr>
        <w:t>2.3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Страховые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премии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и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выплаты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Совокупный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принятых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(перестраховочными)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прямого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147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343,3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22,5%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собранного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ВВП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1,16%.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Распределение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выглядит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следующим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образом.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Наибольшая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приходится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111482,1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составляет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75,7%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рынку.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Высокие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показатели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обеспечиваются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преимущественно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счет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прочих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убытков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(например,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«экспресс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кредитов»,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неисполнение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заемщиков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прочие)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37,9%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поступлений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29,5%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18,5%;.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Премия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остальным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невелика.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собрано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19667,8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13,3%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совокупного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личному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16193,4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11,0%.</w:t>
      </w:r>
    </w:p>
    <w:p w:rsidR="00EB340B" w:rsidRPr="00EF736F" w:rsidRDefault="00EF736F" w:rsidP="00EF73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340B" w:rsidRPr="00EF736F">
        <w:rPr>
          <w:sz w:val="28"/>
          <w:szCs w:val="28"/>
        </w:rPr>
        <w:t>Таблица</w:t>
      </w:r>
      <w:r w:rsidR="008901D6">
        <w:rPr>
          <w:sz w:val="28"/>
          <w:szCs w:val="28"/>
        </w:rPr>
        <w:t xml:space="preserve"> </w:t>
      </w:r>
      <w:r w:rsidR="00EB340B" w:rsidRPr="00EF736F">
        <w:rPr>
          <w:sz w:val="28"/>
          <w:szCs w:val="28"/>
        </w:rPr>
        <w:t>4</w:t>
      </w:r>
      <w:r w:rsidR="008901D6">
        <w:rPr>
          <w:sz w:val="28"/>
          <w:szCs w:val="28"/>
        </w:rPr>
        <w:t xml:space="preserve"> </w:t>
      </w:r>
      <w:r w:rsidR="00EB340B"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="00EB340B" w:rsidRPr="00EF736F">
        <w:rPr>
          <w:sz w:val="28"/>
          <w:szCs w:val="28"/>
        </w:rPr>
        <w:t>Структура</w:t>
      </w:r>
      <w:r w:rsidR="008901D6">
        <w:rPr>
          <w:sz w:val="28"/>
          <w:szCs w:val="28"/>
        </w:rPr>
        <w:t xml:space="preserve"> </w:t>
      </w:r>
      <w:r w:rsidR="00EB340B"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="00EB340B" w:rsidRPr="00EF736F">
        <w:rPr>
          <w:sz w:val="28"/>
          <w:szCs w:val="28"/>
        </w:rPr>
        <w:t>премий</w:t>
      </w:r>
      <w:r w:rsidR="008901D6">
        <w:rPr>
          <w:sz w:val="28"/>
          <w:szCs w:val="28"/>
        </w:rPr>
        <w:t xml:space="preserve"> </w:t>
      </w:r>
      <w:r w:rsidR="00EB340B"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="00EB340B"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="00EB340B"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="00EB340B"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="00EB340B" w:rsidRPr="00EF736F">
        <w:rPr>
          <w:sz w:val="28"/>
          <w:szCs w:val="28"/>
        </w:rPr>
        <w:t>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1242"/>
        <w:gridCol w:w="885"/>
        <w:gridCol w:w="1136"/>
        <w:gridCol w:w="1166"/>
        <w:gridCol w:w="1386"/>
      </w:tblGrid>
      <w:tr w:rsidR="00EB340B" w:rsidRPr="00B573D4" w:rsidTr="00B573D4">
        <w:tc>
          <w:tcPr>
            <w:tcW w:w="3368" w:type="dxa"/>
            <w:vMerge w:val="restart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Поступление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премий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01.01.2007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01.01.2008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2007/2006</w:t>
            </w:r>
          </w:p>
        </w:tc>
      </w:tr>
      <w:tr w:rsidR="00EB340B" w:rsidRPr="00B573D4" w:rsidTr="00B573D4">
        <w:tc>
          <w:tcPr>
            <w:tcW w:w="3368" w:type="dxa"/>
            <w:vMerge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</w:p>
        </w:tc>
        <w:tc>
          <w:tcPr>
            <w:tcW w:w="88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доля,%</w:t>
            </w:r>
          </w:p>
        </w:tc>
        <w:tc>
          <w:tcPr>
            <w:tcW w:w="113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</w:p>
        </w:tc>
        <w:tc>
          <w:tcPr>
            <w:tcW w:w="116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доля,%</w:t>
            </w:r>
          </w:p>
        </w:tc>
        <w:tc>
          <w:tcPr>
            <w:tcW w:w="1386" w:type="dxa"/>
            <w:vMerge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40B" w:rsidRPr="00B573D4" w:rsidTr="00B573D4">
        <w:tc>
          <w:tcPr>
            <w:tcW w:w="33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Всего,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т.ч.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по: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120265,9</w:t>
            </w:r>
          </w:p>
        </w:tc>
        <w:tc>
          <w:tcPr>
            <w:tcW w:w="88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100,0</w:t>
            </w:r>
          </w:p>
        </w:tc>
        <w:tc>
          <w:tcPr>
            <w:tcW w:w="113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147343,3</w:t>
            </w:r>
          </w:p>
        </w:tc>
        <w:tc>
          <w:tcPr>
            <w:tcW w:w="116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100,0</w:t>
            </w:r>
          </w:p>
        </w:tc>
        <w:tc>
          <w:tcPr>
            <w:tcW w:w="138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22,5</w:t>
            </w:r>
          </w:p>
        </w:tc>
      </w:tr>
      <w:tr w:rsidR="00EB340B" w:rsidRPr="00B573D4" w:rsidTr="00B573D4">
        <w:tc>
          <w:tcPr>
            <w:tcW w:w="33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обязательному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17884,6</w:t>
            </w:r>
          </w:p>
        </w:tc>
        <w:tc>
          <w:tcPr>
            <w:tcW w:w="88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14,9</w:t>
            </w:r>
          </w:p>
        </w:tc>
        <w:tc>
          <w:tcPr>
            <w:tcW w:w="113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19667,8</w:t>
            </w:r>
          </w:p>
        </w:tc>
        <w:tc>
          <w:tcPr>
            <w:tcW w:w="116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13,3</w:t>
            </w:r>
          </w:p>
        </w:tc>
        <w:tc>
          <w:tcPr>
            <w:tcW w:w="138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10,0</w:t>
            </w:r>
          </w:p>
        </w:tc>
      </w:tr>
      <w:tr w:rsidR="00EB340B" w:rsidRPr="00B573D4" w:rsidTr="00B573D4">
        <w:tc>
          <w:tcPr>
            <w:tcW w:w="33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добровольному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личному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12888,1</w:t>
            </w:r>
          </w:p>
        </w:tc>
        <w:tc>
          <w:tcPr>
            <w:tcW w:w="88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10,7</w:t>
            </w:r>
          </w:p>
        </w:tc>
        <w:tc>
          <w:tcPr>
            <w:tcW w:w="113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16193,4</w:t>
            </w:r>
          </w:p>
        </w:tc>
        <w:tc>
          <w:tcPr>
            <w:tcW w:w="116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11,0</w:t>
            </w:r>
          </w:p>
        </w:tc>
        <w:tc>
          <w:tcPr>
            <w:tcW w:w="138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25,6</w:t>
            </w:r>
          </w:p>
        </w:tc>
      </w:tr>
      <w:tr w:rsidR="00EB340B" w:rsidRPr="00B573D4" w:rsidTr="00B573D4">
        <w:tc>
          <w:tcPr>
            <w:tcW w:w="33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добровольному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имущественному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</w:p>
        </w:tc>
        <w:tc>
          <w:tcPr>
            <w:tcW w:w="124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89493,2</w:t>
            </w:r>
          </w:p>
        </w:tc>
        <w:tc>
          <w:tcPr>
            <w:tcW w:w="88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74,4</w:t>
            </w:r>
          </w:p>
        </w:tc>
        <w:tc>
          <w:tcPr>
            <w:tcW w:w="113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111482,1</w:t>
            </w:r>
          </w:p>
        </w:tc>
        <w:tc>
          <w:tcPr>
            <w:tcW w:w="116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75,7</w:t>
            </w:r>
          </w:p>
        </w:tc>
        <w:tc>
          <w:tcPr>
            <w:tcW w:w="138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24,6</w:t>
            </w:r>
          </w:p>
        </w:tc>
      </w:tr>
    </w:tbl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Таблица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классам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4"/>
        <w:gridCol w:w="1181"/>
        <w:gridCol w:w="1382"/>
      </w:tblGrid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%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обязательному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где: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19667,8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владельцев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транспортных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средств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8063,1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41,0</w:t>
            </w:r>
          </w:p>
        </w:tc>
      </w:tr>
      <w:tr w:rsidR="00EB340B" w:rsidRPr="00B573D4" w:rsidTr="00B573D4">
        <w:trPr>
          <w:trHeight w:val="631"/>
        </w:trPr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работодателя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за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причинение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вреда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жизни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здоровью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работника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при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исполнении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им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трудовых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обязанностей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7962,1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40,5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владельцев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объектов,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деятельность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которых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связана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опасностью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причинения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вреда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третьим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лицам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1166,5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5,9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прочие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2476,1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12,6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добровольному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личному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т.ч.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16193,4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на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случай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болезни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4578,7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28,3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от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несчастных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случаев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6949,3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42,9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аннуитетному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1990,8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12,3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жизни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2672,4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16,5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добровольному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имущественному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т.ч.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111482,1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(за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исключением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владельцев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автомобильного,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воздушного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водного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транспорта)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20580,9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18,5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от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прочих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финансовых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убытков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42241,8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37,9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имущества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(за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исключением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автомобильного,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воздушного,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железнодорожного,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водного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транспорта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груза)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32925,0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29,5</w:t>
            </w:r>
          </w:p>
        </w:tc>
      </w:tr>
      <w:tr w:rsidR="00EB340B" w:rsidRPr="00B573D4" w:rsidTr="00B573D4">
        <w:tc>
          <w:tcPr>
            <w:tcW w:w="672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прочие</w:t>
            </w:r>
          </w:p>
        </w:tc>
        <w:tc>
          <w:tcPr>
            <w:tcW w:w="118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15734,4</w:t>
            </w:r>
          </w:p>
        </w:tc>
        <w:tc>
          <w:tcPr>
            <w:tcW w:w="1382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14,1</w:t>
            </w:r>
          </w:p>
        </w:tc>
      </w:tr>
    </w:tbl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Объем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увеличился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22,5%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01.01.2008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147343,3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превысил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аналогичный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показатель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прошлого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10,0%.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личному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превышение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25,6%,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24,6%.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состоянию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01.01.2008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собранных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4663,3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25,9%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аналогичную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прошлого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года.</w:t>
      </w:r>
      <w:r w:rsidR="008901D6">
        <w:rPr>
          <w:sz w:val="28"/>
          <w:szCs w:val="28"/>
        </w:rPr>
        <w:t xml:space="preserve"> 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Таблица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1244"/>
        <w:gridCol w:w="1169"/>
        <w:gridCol w:w="1244"/>
        <w:gridCol w:w="1169"/>
        <w:gridCol w:w="1141"/>
      </w:tblGrid>
      <w:tr w:rsidR="00EB340B" w:rsidRPr="00B573D4" w:rsidTr="00B573D4">
        <w:tc>
          <w:tcPr>
            <w:tcW w:w="3355" w:type="dxa"/>
            <w:vMerge w:val="restart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Поступление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премий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01.01.2007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01.01.2008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2007/2006</w:t>
            </w:r>
          </w:p>
        </w:tc>
      </w:tr>
      <w:tr w:rsidR="00EB340B" w:rsidRPr="00B573D4" w:rsidTr="00B573D4">
        <w:tc>
          <w:tcPr>
            <w:tcW w:w="3355" w:type="dxa"/>
            <w:vMerge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</w:p>
        </w:tc>
        <w:tc>
          <w:tcPr>
            <w:tcW w:w="116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доля,%</w:t>
            </w:r>
          </w:p>
        </w:tc>
        <w:tc>
          <w:tcPr>
            <w:tcW w:w="12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</w:p>
        </w:tc>
        <w:tc>
          <w:tcPr>
            <w:tcW w:w="116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доля,%</w:t>
            </w:r>
          </w:p>
        </w:tc>
        <w:tc>
          <w:tcPr>
            <w:tcW w:w="1141" w:type="dxa"/>
            <w:vMerge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40B" w:rsidRPr="00B573D4" w:rsidTr="00B573D4">
        <w:tc>
          <w:tcPr>
            <w:tcW w:w="335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Всего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отраслям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страхования</w:t>
            </w:r>
          </w:p>
        </w:tc>
        <w:tc>
          <w:tcPr>
            <w:tcW w:w="12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120265,9</w:t>
            </w:r>
          </w:p>
        </w:tc>
        <w:tc>
          <w:tcPr>
            <w:tcW w:w="116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100,0</w:t>
            </w:r>
          </w:p>
        </w:tc>
        <w:tc>
          <w:tcPr>
            <w:tcW w:w="12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147343,3</w:t>
            </w:r>
          </w:p>
        </w:tc>
        <w:tc>
          <w:tcPr>
            <w:tcW w:w="116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100,0</w:t>
            </w:r>
          </w:p>
        </w:tc>
        <w:tc>
          <w:tcPr>
            <w:tcW w:w="114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22,5</w:t>
            </w:r>
          </w:p>
        </w:tc>
      </w:tr>
      <w:tr w:rsidR="00EB340B" w:rsidRPr="00B573D4" w:rsidTr="00B573D4">
        <w:tc>
          <w:tcPr>
            <w:tcW w:w="335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Страхование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жизни</w:t>
            </w:r>
          </w:p>
        </w:tc>
        <w:tc>
          <w:tcPr>
            <w:tcW w:w="12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3702,7</w:t>
            </w:r>
          </w:p>
        </w:tc>
        <w:tc>
          <w:tcPr>
            <w:tcW w:w="116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3,1</w:t>
            </w:r>
          </w:p>
        </w:tc>
        <w:tc>
          <w:tcPr>
            <w:tcW w:w="12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4663,3</w:t>
            </w:r>
          </w:p>
        </w:tc>
        <w:tc>
          <w:tcPr>
            <w:tcW w:w="116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3,2</w:t>
            </w:r>
          </w:p>
        </w:tc>
        <w:tc>
          <w:tcPr>
            <w:tcW w:w="114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25,9</w:t>
            </w:r>
          </w:p>
        </w:tc>
      </w:tr>
      <w:tr w:rsidR="00EB340B" w:rsidRPr="00B573D4" w:rsidTr="00B573D4">
        <w:tc>
          <w:tcPr>
            <w:tcW w:w="335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Общее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страхование</w:t>
            </w:r>
          </w:p>
        </w:tc>
        <w:tc>
          <w:tcPr>
            <w:tcW w:w="12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116563,2</w:t>
            </w:r>
          </w:p>
        </w:tc>
        <w:tc>
          <w:tcPr>
            <w:tcW w:w="116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96,9</w:t>
            </w:r>
          </w:p>
        </w:tc>
        <w:tc>
          <w:tcPr>
            <w:tcW w:w="1244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142680,0</w:t>
            </w:r>
          </w:p>
        </w:tc>
        <w:tc>
          <w:tcPr>
            <w:tcW w:w="1169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96,8</w:t>
            </w:r>
          </w:p>
        </w:tc>
        <w:tc>
          <w:tcPr>
            <w:tcW w:w="1141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22,4</w:t>
            </w:r>
          </w:p>
        </w:tc>
      </w:tr>
    </w:tbl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собранных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совокупных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премиях,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3,2%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против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3,1%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году.</w:t>
      </w:r>
      <w:r w:rsidR="008901D6">
        <w:rPr>
          <w:sz w:val="28"/>
          <w:szCs w:val="28"/>
        </w:rPr>
        <w:t xml:space="preserve"> 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Объем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собранных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«общее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страхование»,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142680,0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22,4%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году.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наибольшая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приходится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несмотря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низкую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премиях,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демонстрирует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положительную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динамику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роста.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Общий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произведенных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49179,6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</w:t>
      </w:r>
      <w:r w:rsidRPr="00EF736F">
        <w:rPr>
          <w:sz w:val="28"/>
          <w:szCs w:val="28"/>
        </w:rPr>
        <w:softHyphen/>
        <w:t>личившись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сравнению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аналогичным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периодом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прошлого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3,5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(Таблица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7).</w:t>
      </w:r>
      <w:r w:rsidR="008901D6">
        <w:rPr>
          <w:sz w:val="28"/>
          <w:szCs w:val="28"/>
        </w:rPr>
        <w:t xml:space="preserve"> 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Таблица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985"/>
        <w:gridCol w:w="1168"/>
        <w:gridCol w:w="1235"/>
        <w:gridCol w:w="1168"/>
        <w:gridCol w:w="1388"/>
      </w:tblGrid>
      <w:tr w:rsidR="00EB340B" w:rsidRPr="00B573D4" w:rsidTr="00B573D4">
        <w:tc>
          <w:tcPr>
            <w:tcW w:w="3376" w:type="dxa"/>
            <w:vMerge w:val="restart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Страховые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выплаты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01.01.2007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01.01.2008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2007/2006</w:t>
            </w:r>
          </w:p>
        </w:tc>
      </w:tr>
      <w:tr w:rsidR="00EB340B" w:rsidRPr="00B573D4" w:rsidTr="00B573D4">
        <w:tc>
          <w:tcPr>
            <w:tcW w:w="3376" w:type="dxa"/>
            <w:vMerge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</w:p>
        </w:tc>
        <w:tc>
          <w:tcPr>
            <w:tcW w:w="11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доля,%</w:t>
            </w:r>
          </w:p>
        </w:tc>
        <w:tc>
          <w:tcPr>
            <w:tcW w:w="123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</w:p>
        </w:tc>
        <w:tc>
          <w:tcPr>
            <w:tcW w:w="11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доля,%</w:t>
            </w:r>
          </w:p>
        </w:tc>
        <w:tc>
          <w:tcPr>
            <w:tcW w:w="1388" w:type="dxa"/>
            <w:vMerge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340B" w:rsidRPr="00B573D4" w:rsidTr="00B573D4">
        <w:tc>
          <w:tcPr>
            <w:tcW w:w="33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Всего,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т.ч.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по:</w:t>
            </w:r>
          </w:p>
        </w:tc>
        <w:tc>
          <w:tcPr>
            <w:tcW w:w="98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14092,2</w:t>
            </w:r>
          </w:p>
        </w:tc>
        <w:tc>
          <w:tcPr>
            <w:tcW w:w="11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100,0</w:t>
            </w:r>
          </w:p>
        </w:tc>
        <w:tc>
          <w:tcPr>
            <w:tcW w:w="123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49179,6</w:t>
            </w:r>
          </w:p>
        </w:tc>
        <w:tc>
          <w:tcPr>
            <w:tcW w:w="11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100,0</w:t>
            </w:r>
          </w:p>
        </w:tc>
        <w:tc>
          <w:tcPr>
            <w:tcW w:w="138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3,5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раза</w:t>
            </w:r>
          </w:p>
        </w:tc>
      </w:tr>
      <w:tr w:rsidR="00EB340B" w:rsidRPr="00B573D4" w:rsidTr="00B573D4">
        <w:tc>
          <w:tcPr>
            <w:tcW w:w="33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обязательному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</w:p>
        </w:tc>
        <w:tc>
          <w:tcPr>
            <w:tcW w:w="98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4973,7</w:t>
            </w:r>
          </w:p>
        </w:tc>
        <w:tc>
          <w:tcPr>
            <w:tcW w:w="11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35,5</w:t>
            </w:r>
          </w:p>
        </w:tc>
        <w:tc>
          <w:tcPr>
            <w:tcW w:w="123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5484,4</w:t>
            </w:r>
          </w:p>
        </w:tc>
        <w:tc>
          <w:tcPr>
            <w:tcW w:w="11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11,1</w:t>
            </w:r>
          </w:p>
        </w:tc>
        <w:tc>
          <w:tcPr>
            <w:tcW w:w="138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10,3%</w:t>
            </w:r>
          </w:p>
        </w:tc>
      </w:tr>
      <w:tr w:rsidR="00EB340B" w:rsidRPr="00B573D4" w:rsidTr="00B573D4">
        <w:tc>
          <w:tcPr>
            <w:tcW w:w="33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добровольному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личному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</w:p>
        </w:tc>
        <w:tc>
          <w:tcPr>
            <w:tcW w:w="98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2012,8</w:t>
            </w:r>
          </w:p>
        </w:tc>
        <w:tc>
          <w:tcPr>
            <w:tcW w:w="11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14,3</w:t>
            </w:r>
          </w:p>
        </w:tc>
        <w:tc>
          <w:tcPr>
            <w:tcW w:w="123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4158,9</w:t>
            </w:r>
          </w:p>
        </w:tc>
        <w:tc>
          <w:tcPr>
            <w:tcW w:w="11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8,5</w:t>
            </w:r>
          </w:p>
        </w:tc>
        <w:tc>
          <w:tcPr>
            <w:tcW w:w="138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2,1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раза</w:t>
            </w:r>
          </w:p>
        </w:tc>
      </w:tr>
      <w:tr w:rsidR="00EB340B" w:rsidRPr="00B573D4" w:rsidTr="00B573D4">
        <w:tc>
          <w:tcPr>
            <w:tcW w:w="3376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добровольному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имущественному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</w:p>
        </w:tc>
        <w:tc>
          <w:tcPr>
            <w:tcW w:w="98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7105,7</w:t>
            </w:r>
          </w:p>
        </w:tc>
        <w:tc>
          <w:tcPr>
            <w:tcW w:w="11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50,4</w:t>
            </w:r>
          </w:p>
        </w:tc>
        <w:tc>
          <w:tcPr>
            <w:tcW w:w="123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39536,4</w:t>
            </w:r>
          </w:p>
        </w:tc>
        <w:tc>
          <w:tcPr>
            <w:tcW w:w="116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80,4</w:t>
            </w:r>
          </w:p>
        </w:tc>
        <w:tc>
          <w:tcPr>
            <w:tcW w:w="1388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5,6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раза</w:t>
            </w:r>
          </w:p>
        </w:tc>
      </w:tr>
    </w:tbl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счет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возмещения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перестраховочных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19,6%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(9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667,1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Подробное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описание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содержания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приведено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таблице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8.</w:t>
      </w: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Таблица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8–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классам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1175"/>
        <w:gridCol w:w="1383"/>
      </w:tblGrid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сумма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доля,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%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обязательному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где: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5484,4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владельцев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транспортных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средств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3261,2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59,5</w:t>
            </w:r>
          </w:p>
        </w:tc>
      </w:tr>
      <w:tr w:rsidR="00EB340B" w:rsidRPr="00B573D4" w:rsidTr="00B573D4">
        <w:trPr>
          <w:trHeight w:val="678"/>
        </w:trPr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работодателя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за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причинение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вреда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жизни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здоровью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работника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при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исполнении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им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трудовых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обязанностей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1672,0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30,5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владельцев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объектов,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деятельность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которых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связана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опасностью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причинения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вреда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третьим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лицам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497,6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9,1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прочие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53,6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0,9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добровольному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личному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т.ч.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4158,9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на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случай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болезни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2977,5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71,6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от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несчастных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случаев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558,6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13,4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аннуитетному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360,3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8,7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жизни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261,5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6,3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прочие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1,0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-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добровольному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имущественному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т.ч.</w:t>
            </w:r>
            <w:r w:rsidR="008901D6" w:rsidRPr="00B57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39536,4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100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(за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исключением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владельцев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автомобильного,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воздушного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водного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транспорта)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34947,1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88,4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от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прочих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финансовых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убытков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1818,0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4,6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страхованию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имущества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(за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исключением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автомобильного,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воздушного,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железнодорожного,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водного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транспорта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и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страхование</w:t>
            </w:r>
            <w:r w:rsidR="008901D6" w:rsidRPr="00B573D4">
              <w:rPr>
                <w:sz w:val="20"/>
                <w:szCs w:val="20"/>
              </w:rPr>
              <w:t xml:space="preserve"> </w:t>
            </w:r>
            <w:r w:rsidRPr="00B573D4">
              <w:rPr>
                <w:sz w:val="20"/>
                <w:szCs w:val="20"/>
              </w:rPr>
              <w:t>груза)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1143,5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2,9</w:t>
            </w:r>
          </w:p>
        </w:tc>
      </w:tr>
      <w:tr w:rsidR="00EB340B" w:rsidRPr="00B573D4" w:rsidTr="00B573D4">
        <w:tc>
          <w:tcPr>
            <w:tcW w:w="6730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прочие</w:t>
            </w:r>
          </w:p>
        </w:tc>
        <w:tc>
          <w:tcPr>
            <w:tcW w:w="1175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1627,8</w:t>
            </w:r>
          </w:p>
        </w:tc>
        <w:tc>
          <w:tcPr>
            <w:tcW w:w="1383" w:type="dxa"/>
            <w:shd w:val="clear" w:color="auto" w:fill="auto"/>
          </w:tcPr>
          <w:p w:rsidR="00EB340B" w:rsidRPr="00B573D4" w:rsidRDefault="00EB340B" w:rsidP="00B573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3D4">
              <w:rPr>
                <w:sz w:val="20"/>
                <w:szCs w:val="20"/>
              </w:rPr>
              <w:t>4,1</w:t>
            </w:r>
          </w:p>
        </w:tc>
      </w:tr>
    </w:tbl>
    <w:p w:rsidR="00EB340B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ED7425" w:rsidRPr="00EF736F" w:rsidRDefault="00EB340B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суммы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произведенных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наибольшую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занимают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80,4%,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наибольший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</w:t>
      </w:r>
      <w:r w:rsidRPr="00EF736F">
        <w:rPr>
          <w:sz w:val="28"/>
          <w:szCs w:val="28"/>
        </w:rPr>
        <w:softHyphen/>
        <w:t>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приходится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прочих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убытков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88,4%,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личному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8,5%,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EF736F">
        <w:rPr>
          <w:sz w:val="28"/>
          <w:szCs w:val="28"/>
        </w:rPr>
        <w:t>бя</w:t>
      </w:r>
      <w:r w:rsidRPr="00EF736F">
        <w:rPr>
          <w:sz w:val="28"/>
          <w:szCs w:val="28"/>
        </w:rPr>
        <w:t>зательному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11,1%.</w:t>
      </w:r>
    </w:p>
    <w:p w:rsidR="00BA0330" w:rsidRPr="00EF736F" w:rsidRDefault="00EF736F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A0330" w:rsidRPr="00EF736F">
        <w:rPr>
          <w:b/>
          <w:sz w:val="28"/>
          <w:szCs w:val="28"/>
        </w:rPr>
        <w:t>3.</w:t>
      </w:r>
      <w:r w:rsidR="008901D6">
        <w:rPr>
          <w:b/>
          <w:sz w:val="28"/>
          <w:szCs w:val="28"/>
        </w:rPr>
        <w:t xml:space="preserve"> </w:t>
      </w:r>
      <w:r w:rsidR="00BA0330" w:rsidRPr="00EF736F">
        <w:rPr>
          <w:b/>
          <w:sz w:val="28"/>
          <w:szCs w:val="28"/>
        </w:rPr>
        <w:t>СОВЕРШЕНСТВОВАНИЕ</w:t>
      </w:r>
      <w:r w:rsidR="008901D6">
        <w:rPr>
          <w:b/>
          <w:sz w:val="28"/>
          <w:szCs w:val="28"/>
        </w:rPr>
        <w:t xml:space="preserve"> </w:t>
      </w:r>
      <w:r w:rsidR="00BA0330" w:rsidRPr="00EF736F">
        <w:rPr>
          <w:b/>
          <w:sz w:val="28"/>
          <w:szCs w:val="28"/>
        </w:rPr>
        <w:t>ДЕЯТЕЛЬНОСТИ</w:t>
      </w:r>
      <w:r w:rsidR="008901D6">
        <w:rPr>
          <w:b/>
          <w:sz w:val="28"/>
          <w:szCs w:val="28"/>
        </w:rPr>
        <w:t xml:space="preserve"> </w:t>
      </w:r>
      <w:r w:rsidR="00BA0330" w:rsidRPr="00EF736F">
        <w:rPr>
          <w:b/>
          <w:sz w:val="28"/>
          <w:szCs w:val="28"/>
        </w:rPr>
        <w:t>СТРАХОВОГО</w:t>
      </w:r>
      <w:r w:rsidR="008901D6">
        <w:rPr>
          <w:b/>
          <w:sz w:val="28"/>
          <w:szCs w:val="28"/>
        </w:rPr>
        <w:t xml:space="preserve"> </w:t>
      </w:r>
      <w:r w:rsidR="00BA0330" w:rsidRPr="00EF736F">
        <w:rPr>
          <w:b/>
          <w:sz w:val="28"/>
          <w:szCs w:val="28"/>
        </w:rPr>
        <w:t>РЫНКА</w:t>
      </w:r>
    </w:p>
    <w:p w:rsidR="00BA0330" w:rsidRPr="00EF736F" w:rsidRDefault="00BA0330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A0330" w:rsidRPr="00EF736F" w:rsidRDefault="00BA0330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36F">
        <w:rPr>
          <w:b/>
          <w:sz w:val="28"/>
          <w:szCs w:val="28"/>
        </w:rPr>
        <w:t>3.1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Развитие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и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повышение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эффективности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страхового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надзора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Действующее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достаточно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эффективным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инструментом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обеспечив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уполномоченный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независимостью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достаточными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полномочиями.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Урегулированы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многие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вопросы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взаимоотношений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участниками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отношений.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Вместе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развиваются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технологии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реализации,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наблюдаются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тенденции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предпринимательства,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интегрирующегося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мировой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приобретая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характер.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требуют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учетом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принципов.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известно,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задачами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являются: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эффективности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страхователей,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должны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уверены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исполнении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поддержание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конкурентной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инфраструктуры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практикой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дела.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очередь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равных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будет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способствовать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улучшению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качества,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расширению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перечня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стоимости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предлагаемых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услуг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страхователей.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Решению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описанных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выше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проблем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будет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способствовать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поэтапная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гармонизация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европейскими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директивами,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регулирующими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принципами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ассоциации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надзоров.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требуется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максимальное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стандартам,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направленным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поддержание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оказание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содействия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эффективного,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справедливого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стабильного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дальнейшее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сотрудничества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настоящее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время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общем,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проверки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выполнения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субъектами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пруденциальных,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называемое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пруденциальное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подход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заключается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поиске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имеющихся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проблем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последующих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попытках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решения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(устранения).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необходимости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подхода,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учитывая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опыт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многих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один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недостатков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отмечается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возникновения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какой-либо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проблемы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(перестраховочной)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велика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степень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вероятности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того,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слишком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поздно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прилагать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усилия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успешного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решения.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(перестраховочных)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необходимо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разрабатывать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механизмы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выявить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возможные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ранних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этапах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возникновения.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Одним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решений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проблемы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эффективности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концепции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основанного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оценке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(Risk-Based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Supervision),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призвана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уменьшить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областях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(перестраховочной)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имеющих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высокую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концентрацию,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еще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фактического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возникновения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проблемы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нарушения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пруденциальных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нормативов).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Надзор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оценки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характеризовать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процесс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комплекс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последовательных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процедур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направленный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выявление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классификацию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ключевых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сталкивается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каждая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(перестраховочная)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процессе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выбор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инструментов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оценки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разработка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программ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мероприятий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предупреждению,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предотвращению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результатам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исследований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странах,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использующих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рассматриваемую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концепцию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США),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выявлено,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помощью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небольшого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коэффициентов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соотношений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пределах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12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15)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взятых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совокупности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прогнозировать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75%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несостоятельности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меньше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мере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того,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неплатежеспособными,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предсказывать,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крайней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мере,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95%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несостоятельности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один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банкротства.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Государственное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способствуют: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укреплению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стабильности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надежности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индустрии;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долгосрочной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политики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области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учетом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потребностей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приоритетных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поддержки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населения,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позволит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построить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эффективную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страхования;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полноценной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инфраструктуры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улучшение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кадрового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потенциала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сфере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страхования;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внедрение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технологий,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улучшение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качества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услуг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расширению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переченя;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субъектов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рынка;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углублению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процесса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интеграции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схемы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(перестрахования).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индустрии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будет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способствовать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необходимых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предпосылок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экономической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безопасности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государства.</w:t>
      </w:r>
      <w:r w:rsidR="008901D6">
        <w:rPr>
          <w:sz w:val="28"/>
          <w:szCs w:val="28"/>
        </w:rPr>
        <w:t xml:space="preserve"> </w:t>
      </w:r>
    </w:p>
    <w:p w:rsidR="00BA0330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рамках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реализации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задач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необходимо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экспертизу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существующей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базы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подзаконных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оказывающих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непосредственное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влияние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осуществляемую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последующим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внесением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изменений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дополнений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действующие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уполномоченного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органа.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BA0330" w:rsidRPr="00EF736F" w:rsidRDefault="00BA0330" w:rsidP="00EF73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36F">
        <w:rPr>
          <w:b/>
          <w:sz w:val="28"/>
          <w:szCs w:val="28"/>
        </w:rPr>
        <w:t>3.2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Совершенствование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регулирования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и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надзора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за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страховой</w:t>
      </w:r>
      <w:r w:rsidR="008901D6">
        <w:rPr>
          <w:b/>
          <w:sz w:val="28"/>
          <w:szCs w:val="28"/>
        </w:rPr>
        <w:t xml:space="preserve"> </w:t>
      </w:r>
      <w:r w:rsidRPr="00EF736F">
        <w:rPr>
          <w:b/>
          <w:sz w:val="28"/>
          <w:szCs w:val="28"/>
        </w:rPr>
        <w:t>деятельностью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рамках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реализации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задач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необходимо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экспертизу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существующей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базы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подзаконных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оказывающих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непосредственное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влияние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осуществляемую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последующим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внесением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изменений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дополнений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действующие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уполномоченного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органа.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частности,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направлении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планируется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рассмотреть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следующие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задачи: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обеспечение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сближения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режима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принципами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учетом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необходимости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интеграции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Всемирную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торговую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числе: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путем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поэтапного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ограничений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иностранное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присутствие;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усиление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перестраховочной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брокеров,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путем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наличию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брокеров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нерезидентов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кредитных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рейтингов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(Credit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Rating);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уточнение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участников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(аварийных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комиссаров,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аджастеров,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андеррайтеров,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сюрвейеров,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диспашеров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далее),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разграничение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уточнение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брокеров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агентов;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дальнейшее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платежеспособности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(перестраховочных)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организаций;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разработка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руководств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актуариев,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внутренних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внешних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аудиторов,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внутренним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регламентирующим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взаимоотношения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посредниками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агентами;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разработка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корпоративного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управления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управления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рисками,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наличию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четкой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регламентации,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осуществляемых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операций;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бухгалтерского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учета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прозрачности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отчетности;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порядку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расчета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тарифов;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унификация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стандартизация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определяемых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лицензировании,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согласовании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профессиональных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участников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предъявляемыми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организациям;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проведение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тестов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раннего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предупреждения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оценки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рисков;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автоматизация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сбора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обработки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данных.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Перед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уполномоченным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субъектов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дальнейшего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стимулирования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задача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пересмотру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отдельных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соблюдению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пруденциальных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иных,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соблюдению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лимитов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целом,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разделению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подходов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осуществляющими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различных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бизнеса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(«общее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жизни»).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Необходимо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отметить,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определяющим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фактором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жизни»,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наличие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полноценного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отечественного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долгосрочных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бумаг.</w:t>
      </w:r>
      <w:r w:rsidR="008901D6">
        <w:rPr>
          <w:sz w:val="28"/>
          <w:szCs w:val="28"/>
        </w:rPr>
        <w:t xml:space="preserve"> </w:t>
      </w:r>
    </w:p>
    <w:p w:rsidR="00BA0330" w:rsidRPr="00EF736F" w:rsidRDefault="00BA033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Эта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проблема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одной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проблем,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долгосрочных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инструментов,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крайне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важных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отрасли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жизни»,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должна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решаться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комплексом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мероприятий,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участием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Правительства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страны.</w:t>
      </w:r>
      <w:r w:rsidR="008901D6">
        <w:rPr>
          <w:sz w:val="28"/>
          <w:szCs w:val="28"/>
        </w:rPr>
        <w:t xml:space="preserve"> 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Реализация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будет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способствовать: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сближения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национального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режима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международными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принципами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учетом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необходимости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интеграции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Всемирную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торговую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организацию,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путем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поэтапного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ограничений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иностранное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присутствие;</w:t>
      </w:r>
      <w:r w:rsidR="008901D6">
        <w:rPr>
          <w:sz w:val="28"/>
          <w:szCs w:val="28"/>
        </w:rPr>
        <w:t xml:space="preserve"> 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усилению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перестраховочной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брокеров,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путем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наличию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брокеров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—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нерезидентов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кредитных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рейтингов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(Credit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Rating);</w:t>
      </w:r>
      <w:r w:rsidR="008901D6">
        <w:rPr>
          <w:sz w:val="28"/>
          <w:szCs w:val="28"/>
        </w:rPr>
        <w:t xml:space="preserve"> 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уточнению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участников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(аварийных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комиссаров,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аджастеров,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андеррайтеров,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сюрвейеров,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диспашеров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далее),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разграничение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уточнение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брокеров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агентов;</w:t>
      </w:r>
      <w:r w:rsidR="008901D6">
        <w:rPr>
          <w:sz w:val="28"/>
          <w:szCs w:val="28"/>
        </w:rPr>
        <w:t xml:space="preserve"> 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дальнейшее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платежеспособности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(перестраховочных)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организаций;</w:t>
      </w:r>
      <w:r w:rsidR="008901D6">
        <w:rPr>
          <w:sz w:val="28"/>
          <w:szCs w:val="28"/>
        </w:rPr>
        <w:t xml:space="preserve"> 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разработке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руководств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актуариев,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внутренних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внешних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аудиторов,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внутренним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правилам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регламентирующим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взаимоотношения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посредниками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агентами;</w:t>
      </w:r>
      <w:r w:rsidR="008901D6">
        <w:rPr>
          <w:sz w:val="28"/>
          <w:szCs w:val="28"/>
        </w:rPr>
        <w:t xml:space="preserve"> 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разработке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корпоративного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управления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управления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рисками,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наличию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четкой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регламентации,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осуществляемых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операций;</w:t>
      </w:r>
      <w:r w:rsidR="008901D6">
        <w:rPr>
          <w:sz w:val="28"/>
          <w:szCs w:val="28"/>
        </w:rPr>
        <w:t xml:space="preserve"> 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бухгалтерского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учета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прозрачности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отчетности;</w:t>
      </w:r>
      <w:r w:rsidR="008901D6">
        <w:rPr>
          <w:sz w:val="28"/>
          <w:szCs w:val="28"/>
        </w:rPr>
        <w:t xml:space="preserve"> 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порядку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расчета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тарифов;</w:t>
      </w:r>
      <w:r w:rsidR="008901D6">
        <w:rPr>
          <w:sz w:val="28"/>
          <w:szCs w:val="28"/>
        </w:rPr>
        <w:t xml:space="preserve"> 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унификации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определяемых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лицензировании,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согласовании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профессиональных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участников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требованиями,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предъявляемыми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организациям;</w:t>
      </w:r>
      <w:r w:rsidR="008901D6">
        <w:rPr>
          <w:sz w:val="28"/>
          <w:szCs w:val="28"/>
        </w:rPr>
        <w:t xml:space="preserve"> 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проведению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тестов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раннего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предупреждения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оценки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рисков;</w:t>
      </w:r>
      <w:r w:rsidR="008901D6">
        <w:rPr>
          <w:sz w:val="28"/>
          <w:szCs w:val="28"/>
        </w:rPr>
        <w:t xml:space="preserve"> </w:t>
      </w:r>
    </w:p>
    <w:p w:rsidR="00E82AE0" w:rsidRPr="00EF736F" w:rsidRDefault="00E82AE0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автоматизации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сбора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обработки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данных.</w:t>
      </w:r>
      <w:r w:rsidR="008901D6">
        <w:rPr>
          <w:sz w:val="28"/>
          <w:szCs w:val="28"/>
        </w:rPr>
        <w:t xml:space="preserve"> </w:t>
      </w:r>
    </w:p>
    <w:p w:rsidR="00750C75" w:rsidRPr="00EF736F" w:rsidRDefault="00750C7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заключение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следует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сделать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вывод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несмотря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сформировалась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стандартная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мировой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практики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процесс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считать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окончательно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завершенным.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Становление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продолжается,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разнообразие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взаимоотношений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сообщества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содержание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постоянно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видоизменяется.</w:t>
      </w:r>
      <w:r w:rsidR="008901D6">
        <w:rPr>
          <w:sz w:val="28"/>
          <w:szCs w:val="28"/>
        </w:rPr>
        <w:t xml:space="preserve"> </w:t>
      </w:r>
    </w:p>
    <w:p w:rsidR="00750C75" w:rsidRPr="00EF736F" w:rsidRDefault="00750C7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следует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фаталистически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смотреть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вектор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исключительную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волю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самих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зависит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очень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многое.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того,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обратную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получает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многом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зависит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характер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принимаемых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регулирующих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решений.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Если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западных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формирование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отношений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уходили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десятилетия,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стоит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делать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поправку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относительную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молодость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рынка.</w:t>
      </w:r>
    </w:p>
    <w:p w:rsidR="00750C75" w:rsidRPr="00EF736F" w:rsidRDefault="00750C75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Тем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менее,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большинством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специалистов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признается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достаточно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перспективным,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степени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потенциал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будет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использован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зависит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слаженности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грамотности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решений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регулирующих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действий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нем.</w:t>
      </w:r>
    </w:p>
    <w:p w:rsidR="00C76914" w:rsidRPr="008901D6" w:rsidRDefault="008901D6" w:rsidP="008901D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6914" w:rsidRPr="008901D6">
        <w:rPr>
          <w:b/>
          <w:sz w:val="28"/>
          <w:szCs w:val="28"/>
        </w:rPr>
        <w:t>ЗАКЛЮЧЕНИЕ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Мировой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кризис,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вызванный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нарастанием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операциях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банкротством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крупнейших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мировых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институтов,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спровоцировавший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усиление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волатильности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фондовых,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товарных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углубление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кризиса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доверия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денежных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рынках,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оказал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негативное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влияние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сегменты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ключевые</w:t>
      </w:r>
      <w:r w:rsidR="008901D6">
        <w:rPr>
          <w:sz w:val="28"/>
          <w:szCs w:val="28"/>
        </w:rPr>
        <w:t xml:space="preserve"> </w:t>
      </w:r>
      <w:r w:rsidR="008901D6" w:rsidRPr="00EF736F">
        <w:rPr>
          <w:sz w:val="28"/>
          <w:szCs w:val="28"/>
        </w:rPr>
        <w:t>показатели,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продемонстрировали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низкие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темпы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роста.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стремительно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развивавшийся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последние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бурного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роста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сегментов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особенности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банковского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потребителя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услуг,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демонстрировал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замедление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темпов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оказался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менее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уязвимым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влиянию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мирового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кризиса,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биржевых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котировок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несущественно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отразилось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показателях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рентабельности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(перестраховочных)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поскольку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источником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дохода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являю</w:t>
      </w:r>
      <w:r w:rsidRPr="00EF736F">
        <w:rPr>
          <w:sz w:val="28"/>
          <w:szCs w:val="28"/>
        </w:rPr>
        <w:softHyphen/>
        <w:t>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доходы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Наиболее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чувствительным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доходов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являются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накопительные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настоящее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время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получили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всеобщего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распространения.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Полагаем,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основными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факторами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ближайшую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перспективу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станут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инвестиционные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продаж.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Отрицательное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воздействие,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спроса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продукты,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оказать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сокращение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производства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уровня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безработицы.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Меры,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предпринимаемые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Правительством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позволят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сгладить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эффект.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Финансовые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показатели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демонстрируют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относительную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стабильность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устойчивость.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января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2009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166</w:t>
      </w:r>
      <w:r w:rsidR="008901D6">
        <w:rPr>
          <w:sz w:val="28"/>
          <w:szCs w:val="28"/>
        </w:rPr>
        <w:t xml:space="preserve"> </w:t>
      </w:r>
      <w:r w:rsidR="008901D6" w:rsidRPr="00EF736F">
        <w:rPr>
          <w:sz w:val="28"/>
          <w:szCs w:val="28"/>
        </w:rPr>
        <w:t>млрд.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увеличившись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процент,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269</w:t>
      </w:r>
      <w:r w:rsidR="008901D6">
        <w:rPr>
          <w:sz w:val="28"/>
          <w:szCs w:val="28"/>
        </w:rPr>
        <w:t xml:space="preserve"> </w:t>
      </w:r>
      <w:r w:rsidR="008901D6" w:rsidRPr="00EF736F">
        <w:rPr>
          <w:sz w:val="28"/>
          <w:szCs w:val="28"/>
        </w:rPr>
        <w:t>млрд.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увеличившись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процентов.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прошедшую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пятилетку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собственный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увеличились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Бурному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росту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способствовали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факторы,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низкие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показатели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убыточности,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поэтапное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капитализации,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появление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игроков,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иност</w:t>
      </w:r>
      <w:r w:rsidRPr="00EF736F">
        <w:rPr>
          <w:sz w:val="28"/>
          <w:szCs w:val="28"/>
        </w:rPr>
        <w:softHyphen/>
        <w:t>ранным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участием,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аккумуляция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прибыли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Рассматривая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поступления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премий,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можно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увидеть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поступлений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многом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связано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банковского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кредитования.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секрет,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устанавливают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наличию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договора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желающих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получить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займ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банке.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сегменте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личного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напротив,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наблюдается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рост,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обусловленный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расширением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охвата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повышением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Влияние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кризиса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банковского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кредитования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несущественно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отразится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сегментах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2009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году.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Общий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объем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произведенных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увеличился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13,6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%,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</w:t>
      </w:r>
      <w:r w:rsidRPr="00EF736F">
        <w:rPr>
          <w:sz w:val="28"/>
          <w:szCs w:val="28"/>
        </w:rPr>
        <w:softHyphen/>
        <w:t>вив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56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млрд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тенге.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</w:t>
      </w:r>
      <w:r w:rsidRPr="00EF736F">
        <w:rPr>
          <w:sz w:val="28"/>
          <w:szCs w:val="28"/>
        </w:rPr>
        <w:softHyphen/>
        <w:t>плат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составила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16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%,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личному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15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%,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имущественному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69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%.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поддержания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роста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среднесрочной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перспективе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необходимо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привлекать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клиентов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других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экономики.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многообещающим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представляется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субъектов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малого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среднего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предпринимательства,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медицинское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домовладельцев.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настоящее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время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добровольным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охвачена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лишь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незначительная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населения.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сохранения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расширения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клиентской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базы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адекватной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платежеспособности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могут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предпринять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ряд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мер,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направленных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стимулирование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культуры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населения.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Возможно,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следует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пересмотреть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свою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политику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тарифов.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необходимо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принимать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внимание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уровень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доходов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населения,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оптимально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балансируя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между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доходностью.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настоящее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время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воспринимае</w:t>
      </w:r>
      <w:r w:rsidRPr="00EF736F">
        <w:rPr>
          <w:sz w:val="28"/>
          <w:szCs w:val="28"/>
        </w:rPr>
        <w:softHyphen/>
        <w:t>тся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дополнительный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налог,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инструмент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неблагоприятных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непредвиденных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событий.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фактор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тормозит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особенно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розничное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Необходимо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расширять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охват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счет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справедливых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тарифов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массовым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болезни,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несчастных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случаев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имущества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домовладельцев.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Политика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изменение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зависимости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аффилиированных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банков,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управления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должны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факторами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роста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либо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замедления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темпов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долгосрочную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перспективу.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2008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Агентство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предприняло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комплекс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рамках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пруденциального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уровня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был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разработан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принят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ряд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числе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внесении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изменений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дополнений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некоторые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вопросам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устойчивости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системы»,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соответствии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которым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установлен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порядок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применения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мер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раннего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реагирования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методика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определения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факторов,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влияющих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ухудшение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положения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(перестраховочной)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введены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запрету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предоставление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льготных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условий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аффилиированным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лицам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(перестраховочной)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организацией,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уточнен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порядок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передачи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портфеля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ликвидации.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пруденциального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характера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внесены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изменения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расчет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маржи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платежеспособности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диверсификации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активов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целях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поддержания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адекватного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уровня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капитала.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дальнейшем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политика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области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будет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направлена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прежде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всего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интересов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страхователей,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равной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конкуренции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обеспечение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стабильности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сектора.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2009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Агентство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продолжит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законодательные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требования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надзору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задач,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поставленных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Концепцией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сектора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Республики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2007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2011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годы.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Направляющими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векторами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станут: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совершенствование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пруденциального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повышение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уровня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капитализации;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улучшение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управления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рисками;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снижение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нагрузки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страхователей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</w:t>
      </w:r>
      <w:r w:rsidRPr="00EF736F">
        <w:rPr>
          <w:sz w:val="28"/>
          <w:szCs w:val="28"/>
        </w:rPr>
        <w:softHyphen/>
        <w:t>зательным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видам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страхования;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реализация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положений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единой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базе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страхованию;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системы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гарантирования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омбудсмана;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дальнейшее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перестраховочной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деятельности;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качественное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развитие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посредников;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-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создание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оптимального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размера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резервов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осуществления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выплат.</w:t>
      </w:r>
    </w:p>
    <w:p w:rsidR="00C76914" w:rsidRPr="00EF736F" w:rsidRDefault="00C76914" w:rsidP="00EF736F">
      <w:pPr>
        <w:spacing w:line="360" w:lineRule="auto"/>
        <w:ind w:firstLine="709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Мы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надеемся,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что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благодаря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совместным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усилиям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государственных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структур,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также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изменению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ориентиров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самих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страховщиков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рынок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культура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будут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вместе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степень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защиты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населения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Казахстана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неблагоприятных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событий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уверенность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будущем.</w:t>
      </w:r>
    </w:p>
    <w:p w:rsidR="000B01E8" w:rsidRPr="008901D6" w:rsidRDefault="008901D6" w:rsidP="008901D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01E8" w:rsidRPr="008901D6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="000B01E8" w:rsidRPr="008901D6">
        <w:rPr>
          <w:b/>
          <w:sz w:val="28"/>
          <w:szCs w:val="28"/>
        </w:rPr>
        <w:t>ИСПОЛЬЗОВАННЫХ</w:t>
      </w:r>
      <w:r>
        <w:rPr>
          <w:b/>
          <w:sz w:val="28"/>
          <w:szCs w:val="28"/>
        </w:rPr>
        <w:t xml:space="preserve"> </w:t>
      </w:r>
      <w:r w:rsidR="000B01E8" w:rsidRPr="008901D6">
        <w:rPr>
          <w:b/>
          <w:sz w:val="28"/>
          <w:szCs w:val="28"/>
        </w:rPr>
        <w:t>ИСТОЧНИКОВ</w:t>
      </w:r>
    </w:p>
    <w:p w:rsidR="000B01E8" w:rsidRPr="00EF736F" w:rsidRDefault="000B01E8" w:rsidP="00EF736F">
      <w:pPr>
        <w:spacing w:line="360" w:lineRule="auto"/>
        <w:ind w:firstLine="709"/>
        <w:jc w:val="both"/>
        <w:rPr>
          <w:sz w:val="28"/>
          <w:szCs w:val="28"/>
        </w:rPr>
      </w:pPr>
    </w:p>
    <w:p w:rsidR="00C76914" w:rsidRPr="00EF736F" w:rsidRDefault="000B01E8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1.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Закон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07.02.2005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г.,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30-III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(введен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действие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01.07.2005</w:t>
      </w:r>
      <w:r w:rsidR="008901D6">
        <w:rPr>
          <w:sz w:val="28"/>
          <w:szCs w:val="28"/>
        </w:rPr>
        <w:t xml:space="preserve"> </w:t>
      </w:r>
      <w:r w:rsidR="00C76914" w:rsidRPr="00EF736F">
        <w:rPr>
          <w:sz w:val="28"/>
          <w:szCs w:val="28"/>
        </w:rPr>
        <w:t>года)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="008901D6"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работодателя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причинение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вреда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жизни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здоровью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работника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исполнении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трудовых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(служебных)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обязанностей».</w:t>
      </w:r>
      <w:r w:rsidR="008901D6">
        <w:rPr>
          <w:sz w:val="28"/>
          <w:szCs w:val="28"/>
        </w:rPr>
        <w:t xml:space="preserve"> </w:t>
      </w:r>
    </w:p>
    <w:p w:rsidR="000B01E8" w:rsidRPr="00EF736F" w:rsidRDefault="00C76914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2.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Закон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РК</w:t>
      </w:r>
      <w:r w:rsidR="000B01E8" w:rsidRPr="00EF736F">
        <w:rPr>
          <w:sz w:val="28"/>
          <w:szCs w:val="28"/>
        </w:rPr>
        <w:tab/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10.03.2004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553-II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«Об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растениеводстве».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Закон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</w:p>
    <w:p w:rsidR="000B01E8" w:rsidRPr="00EF736F" w:rsidRDefault="00C76914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3.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Закон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13.12.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2005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г.,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93-III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(введен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действие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01.01.2006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г.)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экологическом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страховании»</w:t>
      </w:r>
    </w:p>
    <w:p w:rsidR="000B01E8" w:rsidRPr="00EF736F" w:rsidRDefault="00C76914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4.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Закон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25.04.2003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г.,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405-II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(введен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в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действие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с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01.01.2005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г.)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«Об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социальном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страховании»</w:t>
      </w:r>
    </w:p>
    <w:p w:rsidR="00C76914" w:rsidRPr="00EF736F" w:rsidRDefault="00C76914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5.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01.07.2003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446-II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«Об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вл</w:t>
      </w:r>
      <w:r w:rsidRPr="00EF736F">
        <w:rPr>
          <w:sz w:val="28"/>
          <w:szCs w:val="28"/>
        </w:rPr>
        <w:t>адельцев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транспортных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средств»</w:t>
      </w:r>
    </w:p>
    <w:p w:rsidR="000B01E8" w:rsidRPr="00EF736F" w:rsidRDefault="00C76914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6.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01.07.2003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444-II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«Об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перевозчика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перед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пассажирами»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7.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13.06.2003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440-II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«Об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="008901D6"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ответственности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аудиторов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аудиторских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организаций».</w:t>
      </w:r>
      <w:r w:rsidR="008901D6">
        <w:rPr>
          <w:sz w:val="28"/>
          <w:szCs w:val="28"/>
        </w:rPr>
        <w:t xml:space="preserve"> </w:t>
      </w:r>
    </w:p>
    <w:p w:rsidR="00C76914" w:rsidRPr="00EF736F" w:rsidRDefault="00C76914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8.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11.06.2003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435-II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«Об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="008901D6"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отве</w:t>
      </w:r>
      <w:r w:rsidRPr="00EF736F">
        <w:rPr>
          <w:sz w:val="28"/>
          <w:szCs w:val="28"/>
        </w:rPr>
        <w:t>тственности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частных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нотариусов»</w:t>
      </w:r>
    </w:p>
    <w:p w:rsidR="000B01E8" w:rsidRPr="00EF736F" w:rsidRDefault="00C76914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9.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Закон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31.12.2003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№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513-II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«Об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обязательном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страховании</w:t>
      </w:r>
      <w:r w:rsidR="008901D6">
        <w:rPr>
          <w:sz w:val="28"/>
          <w:szCs w:val="28"/>
        </w:rPr>
        <w:t xml:space="preserve"> </w:t>
      </w:r>
      <w:r w:rsidR="008901D6" w:rsidRPr="00EF736F">
        <w:rPr>
          <w:sz w:val="28"/>
          <w:szCs w:val="28"/>
        </w:rPr>
        <w:t>гражданско-правовой</w:t>
      </w:r>
      <w:r w:rsidR="008901D6">
        <w:rPr>
          <w:sz w:val="28"/>
          <w:szCs w:val="28"/>
        </w:rPr>
        <w:t xml:space="preserve"> </w:t>
      </w:r>
      <w:r w:rsidR="000B01E8" w:rsidRPr="00EF736F">
        <w:rPr>
          <w:sz w:val="28"/>
          <w:szCs w:val="28"/>
        </w:rPr>
        <w:t>ответственнос</w:t>
      </w:r>
      <w:r w:rsidRPr="00EF736F">
        <w:rPr>
          <w:sz w:val="28"/>
          <w:szCs w:val="28"/>
        </w:rPr>
        <w:t>ти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туроператора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турагента»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10.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Агеев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Ш.Р.,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Васильев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Н.М.,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Катырин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С.Н.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теория,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практика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зарубежный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опыт.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Экспертное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бюро,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1998.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274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11.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Балабанов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А.И.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СПб.: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Питер,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2001.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236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12.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Басаков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Феникс,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2005.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209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13.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Белых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В.С.,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Кривошеев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И.В.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Норма,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2001.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390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14.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Бубнов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В.А.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регулирование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Иркутск: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ИГЭА,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2001.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104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15.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Гражданское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торговое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капиталистических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стран: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Учебник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/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Отв.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ред.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Е.А.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Васильев.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Юрист,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2001.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399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16.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Грищенко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Н.Б.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деятельности.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Финансы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статистика,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2006.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310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17.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Еременко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В.И.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Новосибирск: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СибАГС,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2004.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16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18.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Ермасов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С.В.,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Ермасова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Н.Б.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ЮНИТИ,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2004.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27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19.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Журавлев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Ю.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перестрахование: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Теория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практика.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Анкил,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2003.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284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20.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Кашин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Новосибирск: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СибАГС,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2001.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317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21.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Климова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Изд-во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МГУП.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2000.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242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22.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Орланюк-Малицкая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Л.А.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дело.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Академия,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2003.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26-28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23.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Протас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право.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МГИУ.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2000.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181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24.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Роик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Основы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социального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страхования.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Анкил,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2005.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13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25.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Рябикин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В.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Экономист,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2006.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23</w:t>
      </w:r>
    </w:p>
    <w:p w:rsidR="00E526BA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26.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Сахирова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Н.П.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Страхование.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Проспект,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2006.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31-32</w:t>
      </w:r>
    </w:p>
    <w:p w:rsidR="000B01E8" w:rsidRPr="00EF736F" w:rsidRDefault="00E526BA" w:rsidP="008901D6">
      <w:pPr>
        <w:spacing w:line="360" w:lineRule="auto"/>
        <w:jc w:val="both"/>
        <w:rPr>
          <w:sz w:val="28"/>
          <w:szCs w:val="28"/>
        </w:rPr>
      </w:pPr>
      <w:r w:rsidRPr="00EF736F">
        <w:rPr>
          <w:sz w:val="28"/>
          <w:szCs w:val="28"/>
        </w:rPr>
        <w:t>27.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Скамай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Л.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Г.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Страховое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дело.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М.: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ИНФРА,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2006.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С.</w:t>
      </w:r>
      <w:r w:rsidR="008901D6">
        <w:rPr>
          <w:sz w:val="28"/>
          <w:szCs w:val="28"/>
        </w:rPr>
        <w:t xml:space="preserve"> </w:t>
      </w:r>
      <w:r w:rsidRPr="00EF736F">
        <w:rPr>
          <w:sz w:val="28"/>
          <w:szCs w:val="28"/>
        </w:rPr>
        <w:t>254</w:t>
      </w:r>
      <w:bookmarkStart w:id="0" w:name="_GoBack"/>
      <w:bookmarkEnd w:id="0"/>
    </w:p>
    <w:sectPr w:rsidR="000B01E8" w:rsidRPr="00EF736F" w:rsidSect="00EF736F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D4" w:rsidRDefault="00B573D4">
      <w:r>
        <w:separator/>
      </w:r>
    </w:p>
  </w:endnote>
  <w:endnote w:type="continuationSeparator" w:id="0">
    <w:p w:rsidR="00B573D4" w:rsidRDefault="00B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0E" w:rsidRDefault="00A06E0E" w:rsidP="00AC4383">
    <w:pPr>
      <w:pStyle w:val="a5"/>
      <w:framePr w:wrap="around" w:vAnchor="text" w:hAnchor="margin" w:xAlign="center" w:y="1"/>
      <w:rPr>
        <w:rStyle w:val="a7"/>
      </w:rPr>
    </w:pPr>
  </w:p>
  <w:p w:rsidR="00A06E0E" w:rsidRDefault="00A06E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D4" w:rsidRDefault="00B573D4">
      <w:r>
        <w:separator/>
      </w:r>
    </w:p>
  </w:footnote>
  <w:footnote w:type="continuationSeparator" w:id="0">
    <w:p w:rsidR="00B573D4" w:rsidRDefault="00B5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B4B"/>
    <w:multiLevelType w:val="hybridMultilevel"/>
    <w:tmpl w:val="E3EEC8F0"/>
    <w:lvl w:ilvl="0" w:tplc="A35806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48516D5"/>
    <w:multiLevelType w:val="multilevel"/>
    <w:tmpl w:val="4042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41C5B"/>
    <w:multiLevelType w:val="multilevel"/>
    <w:tmpl w:val="FB5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86303"/>
    <w:multiLevelType w:val="multilevel"/>
    <w:tmpl w:val="9210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57289"/>
    <w:multiLevelType w:val="multilevel"/>
    <w:tmpl w:val="756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27ABC"/>
    <w:multiLevelType w:val="multilevel"/>
    <w:tmpl w:val="C7E4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70CE2"/>
    <w:multiLevelType w:val="multilevel"/>
    <w:tmpl w:val="D27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A43A3"/>
    <w:multiLevelType w:val="multilevel"/>
    <w:tmpl w:val="EACE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C2E7E"/>
    <w:multiLevelType w:val="multilevel"/>
    <w:tmpl w:val="BB4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06F60"/>
    <w:multiLevelType w:val="multilevel"/>
    <w:tmpl w:val="F2C4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96FE4"/>
    <w:multiLevelType w:val="multilevel"/>
    <w:tmpl w:val="9B10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30A04"/>
    <w:multiLevelType w:val="multilevel"/>
    <w:tmpl w:val="FF20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5D16D79"/>
    <w:multiLevelType w:val="multilevel"/>
    <w:tmpl w:val="FB9E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2243D1"/>
    <w:multiLevelType w:val="multilevel"/>
    <w:tmpl w:val="CDA4B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F576F1"/>
    <w:multiLevelType w:val="multilevel"/>
    <w:tmpl w:val="AEC4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12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9C2"/>
    <w:rsid w:val="000B01E8"/>
    <w:rsid w:val="001E44DC"/>
    <w:rsid w:val="00207436"/>
    <w:rsid w:val="002256E5"/>
    <w:rsid w:val="00296176"/>
    <w:rsid w:val="003911D9"/>
    <w:rsid w:val="003E2BDF"/>
    <w:rsid w:val="004F6256"/>
    <w:rsid w:val="005A1D6C"/>
    <w:rsid w:val="0060500F"/>
    <w:rsid w:val="00750C75"/>
    <w:rsid w:val="007B0F58"/>
    <w:rsid w:val="007C6EC2"/>
    <w:rsid w:val="007E0811"/>
    <w:rsid w:val="0086570F"/>
    <w:rsid w:val="008901D6"/>
    <w:rsid w:val="0098541F"/>
    <w:rsid w:val="009D49C2"/>
    <w:rsid w:val="00A06E0E"/>
    <w:rsid w:val="00A31ACF"/>
    <w:rsid w:val="00AC4383"/>
    <w:rsid w:val="00AD2874"/>
    <w:rsid w:val="00B573D4"/>
    <w:rsid w:val="00B84ADB"/>
    <w:rsid w:val="00BA0330"/>
    <w:rsid w:val="00C76914"/>
    <w:rsid w:val="00CD031B"/>
    <w:rsid w:val="00D04AFF"/>
    <w:rsid w:val="00D4364E"/>
    <w:rsid w:val="00D906AD"/>
    <w:rsid w:val="00DA1265"/>
    <w:rsid w:val="00E3483B"/>
    <w:rsid w:val="00E526BA"/>
    <w:rsid w:val="00E82AE0"/>
    <w:rsid w:val="00E964C3"/>
    <w:rsid w:val="00EB340B"/>
    <w:rsid w:val="00EB3588"/>
    <w:rsid w:val="00ED7425"/>
    <w:rsid w:val="00EF736F"/>
    <w:rsid w:val="00F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AC8F19-7CFC-4EBD-86B9-43B4813A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8541F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F249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9D4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D2874"/>
    <w:pPr>
      <w:spacing w:before="100" w:beforeAutospacing="1" w:after="100" w:afterAutospacing="1"/>
    </w:pPr>
    <w:rPr>
      <w:color w:val="000000"/>
    </w:rPr>
  </w:style>
  <w:style w:type="paragraph" w:styleId="a5">
    <w:name w:val="footer"/>
    <w:basedOn w:val="a"/>
    <w:link w:val="a6"/>
    <w:uiPriority w:val="99"/>
    <w:rsid w:val="00E964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964C3"/>
    <w:rPr>
      <w:rFonts w:cs="Times New Roman"/>
    </w:rPr>
  </w:style>
  <w:style w:type="character" w:styleId="a8">
    <w:name w:val="Hyperlink"/>
    <w:uiPriority w:val="99"/>
    <w:rsid w:val="007E0811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7E0811"/>
    <w:rPr>
      <w:rFonts w:cs="Times New Roman"/>
      <w:i/>
      <w:iCs/>
    </w:rPr>
  </w:style>
  <w:style w:type="character" w:styleId="aa">
    <w:name w:val="Strong"/>
    <w:uiPriority w:val="22"/>
    <w:qFormat/>
    <w:rsid w:val="007E0811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EF73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F736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11155</Words>
  <Characters>63585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admin</cp:lastModifiedBy>
  <cp:revision>2</cp:revision>
  <dcterms:created xsi:type="dcterms:W3CDTF">2014-03-21T13:41:00Z</dcterms:created>
  <dcterms:modified xsi:type="dcterms:W3CDTF">2014-03-21T13:41:00Z</dcterms:modified>
</cp:coreProperties>
</file>