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FE" w:rsidRPr="00F06851" w:rsidRDefault="00F06851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</w:rPr>
      </w:pPr>
      <w:r w:rsidRPr="00F06851">
        <w:rPr>
          <w:b/>
          <w:bCs/>
          <w:sz w:val="28"/>
        </w:rPr>
        <w:t>Министерство образования и науки Российской Федерации</w:t>
      </w:r>
    </w:p>
    <w:p w:rsidR="00B77BFE" w:rsidRPr="00F06851" w:rsidRDefault="00F06851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</w:rPr>
      </w:pPr>
      <w:r w:rsidRPr="00F06851">
        <w:rPr>
          <w:b/>
          <w:bCs/>
          <w:sz w:val="28"/>
        </w:rPr>
        <w:t xml:space="preserve">Московская Финансово-Промышленная Академия </w:t>
      </w:r>
      <w:r w:rsidR="00B77BFE" w:rsidRPr="00F06851">
        <w:rPr>
          <w:b/>
          <w:bCs/>
          <w:sz w:val="28"/>
        </w:rPr>
        <w:t>(МФПА)</w:t>
      </w:r>
    </w:p>
    <w:p w:rsidR="00B77BFE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06851">
        <w:rPr>
          <w:sz w:val="28"/>
          <w:szCs w:val="28"/>
        </w:rPr>
        <w:t>Факультет Финансов</w:t>
      </w:r>
    </w:p>
    <w:p w:rsidR="00B77BFE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B77BFE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B77BFE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B77BFE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B77BFE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B77BFE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F06851" w:rsidRPr="00F06851" w:rsidRDefault="00F06851" w:rsidP="00485FE0">
      <w:pPr>
        <w:pStyle w:val="4"/>
        <w:keepNext w:val="0"/>
        <w:widowControl/>
        <w:tabs>
          <w:tab w:val="left" w:pos="1080"/>
        </w:tabs>
        <w:suppressAutoHyphens/>
        <w:spacing w:before="0" w:after="0" w:line="360" w:lineRule="auto"/>
        <w:ind w:firstLine="709"/>
        <w:jc w:val="center"/>
        <w:rPr>
          <w:szCs w:val="36"/>
        </w:rPr>
      </w:pPr>
    </w:p>
    <w:p w:rsidR="00B77BFE" w:rsidRPr="00F06851" w:rsidRDefault="00B77BFE" w:rsidP="00485FE0">
      <w:pPr>
        <w:pStyle w:val="4"/>
        <w:keepNext w:val="0"/>
        <w:widowControl/>
        <w:tabs>
          <w:tab w:val="left" w:pos="1080"/>
        </w:tabs>
        <w:suppressAutoHyphens/>
        <w:spacing w:before="0" w:after="0" w:line="360" w:lineRule="auto"/>
        <w:ind w:firstLine="709"/>
        <w:jc w:val="center"/>
        <w:rPr>
          <w:szCs w:val="36"/>
        </w:rPr>
      </w:pPr>
      <w:r w:rsidRPr="00F06851">
        <w:rPr>
          <w:szCs w:val="36"/>
        </w:rPr>
        <w:t>К</w:t>
      </w:r>
      <w:r w:rsidR="00F06851" w:rsidRPr="00F06851">
        <w:rPr>
          <w:szCs w:val="36"/>
        </w:rPr>
        <w:t>урсовая</w:t>
      </w:r>
      <w:r w:rsidRPr="00F06851">
        <w:rPr>
          <w:szCs w:val="36"/>
        </w:rPr>
        <w:t xml:space="preserve"> работа</w:t>
      </w:r>
    </w:p>
    <w:p w:rsidR="00F06851" w:rsidRPr="00F06851" w:rsidRDefault="00F06851" w:rsidP="00485FE0">
      <w:pPr>
        <w:pStyle w:val="4"/>
        <w:keepNext w:val="0"/>
        <w:widowControl/>
        <w:tabs>
          <w:tab w:val="left" w:pos="1080"/>
        </w:tabs>
        <w:suppressAutoHyphens/>
        <w:spacing w:before="0" w:after="0" w:line="360" w:lineRule="auto"/>
        <w:ind w:firstLine="709"/>
        <w:jc w:val="center"/>
      </w:pPr>
      <w:r w:rsidRPr="00F06851">
        <w:t>на тему:</w:t>
      </w:r>
    </w:p>
    <w:p w:rsidR="00F06851" w:rsidRPr="00F06851" w:rsidRDefault="00F06851" w:rsidP="00485FE0">
      <w:pPr>
        <w:pStyle w:val="4"/>
        <w:keepNext w:val="0"/>
        <w:widowControl/>
        <w:tabs>
          <w:tab w:val="left" w:pos="1080"/>
        </w:tabs>
        <w:suppressAutoHyphens/>
        <w:spacing w:before="0" w:after="0" w:line="360" w:lineRule="auto"/>
        <w:ind w:firstLine="709"/>
        <w:jc w:val="center"/>
      </w:pPr>
    </w:p>
    <w:p w:rsidR="00F06851" w:rsidRPr="00F06851" w:rsidRDefault="00F06851" w:rsidP="00485FE0">
      <w:pPr>
        <w:pStyle w:val="4"/>
        <w:keepNext w:val="0"/>
        <w:widowControl/>
        <w:tabs>
          <w:tab w:val="left" w:pos="1080"/>
        </w:tabs>
        <w:suppressAutoHyphens/>
        <w:spacing w:before="0" w:after="0" w:line="360" w:lineRule="auto"/>
        <w:ind w:firstLine="709"/>
        <w:jc w:val="center"/>
      </w:pPr>
      <w:r w:rsidRPr="00F06851">
        <w:t>Роль коммерческих банков как участников рынка ценных бумаг</w:t>
      </w:r>
    </w:p>
    <w:p w:rsidR="00F06851" w:rsidRPr="00F06851" w:rsidRDefault="00F06851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77BFE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B77BFE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B77BFE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B77BFE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6851" w:rsidRPr="00F06851" w:rsidRDefault="00F06851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77BFE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77BFE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b/>
          <w:bCs/>
          <w:sz w:val="28"/>
        </w:rPr>
      </w:pPr>
    </w:p>
    <w:p w:rsidR="00D35416" w:rsidRPr="00F06851" w:rsidRDefault="00D35416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b/>
          <w:bCs/>
          <w:sz w:val="28"/>
        </w:rPr>
      </w:pPr>
    </w:p>
    <w:p w:rsidR="00D35416" w:rsidRPr="00F06851" w:rsidRDefault="00D35416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b/>
          <w:bCs/>
          <w:sz w:val="28"/>
        </w:rPr>
      </w:pPr>
    </w:p>
    <w:p w:rsidR="00D35416" w:rsidRPr="00F06851" w:rsidRDefault="00D35416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b/>
          <w:bCs/>
          <w:sz w:val="28"/>
        </w:rPr>
      </w:pPr>
    </w:p>
    <w:p w:rsidR="00D35416" w:rsidRPr="00F06851" w:rsidRDefault="00D35416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b/>
          <w:bCs/>
          <w:sz w:val="28"/>
        </w:rPr>
      </w:pPr>
    </w:p>
    <w:p w:rsidR="00D35416" w:rsidRPr="00F06851" w:rsidRDefault="00D35416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b/>
          <w:bCs/>
          <w:sz w:val="28"/>
        </w:rPr>
      </w:pPr>
    </w:p>
    <w:p w:rsidR="00D35416" w:rsidRPr="00F06851" w:rsidRDefault="00D35416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b/>
          <w:bCs/>
          <w:sz w:val="28"/>
        </w:rPr>
      </w:pPr>
    </w:p>
    <w:p w:rsidR="00F06851" w:rsidRPr="00F06851" w:rsidRDefault="00F06851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b/>
          <w:bCs/>
          <w:sz w:val="28"/>
        </w:rPr>
      </w:pPr>
    </w:p>
    <w:p w:rsidR="00B77BFE" w:rsidRPr="00F06851" w:rsidRDefault="00F06851" w:rsidP="00485FE0">
      <w:pPr>
        <w:tabs>
          <w:tab w:val="left" w:pos="1080"/>
        </w:tabs>
        <w:suppressAutoHyphens/>
        <w:spacing w:line="360" w:lineRule="auto"/>
        <w:ind w:firstLine="709"/>
        <w:jc w:val="center"/>
        <w:rPr>
          <w:b/>
          <w:bCs/>
          <w:sz w:val="28"/>
        </w:rPr>
      </w:pPr>
      <w:r w:rsidRPr="00F06851">
        <w:rPr>
          <w:b/>
          <w:bCs/>
          <w:sz w:val="28"/>
        </w:rPr>
        <w:t>Москва</w:t>
      </w:r>
      <w:r w:rsidR="00B77BFE" w:rsidRPr="00F06851">
        <w:rPr>
          <w:b/>
          <w:bCs/>
          <w:sz w:val="28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B77BFE" w:rsidRPr="00F06851">
          <w:rPr>
            <w:b/>
            <w:bCs/>
            <w:sz w:val="28"/>
          </w:rPr>
          <w:t>201</w:t>
        </w:r>
        <w:r w:rsidR="001D5A7F" w:rsidRPr="00F06851">
          <w:rPr>
            <w:b/>
            <w:bCs/>
            <w:sz w:val="28"/>
          </w:rPr>
          <w:t>0</w:t>
        </w:r>
        <w:r w:rsidR="00B77BFE" w:rsidRPr="00F06851">
          <w:rPr>
            <w:b/>
            <w:bCs/>
            <w:sz w:val="28"/>
          </w:rPr>
          <w:t xml:space="preserve"> г</w:t>
        </w:r>
      </w:smartTag>
      <w:r>
        <w:rPr>
          <w:b/>
          <w:bCs/>
          <w:sz w:val="28"/>
        </w:rPr>
        <w:t xml:space="preserve">. </w:t>
      </w:r>
    </w:p>
    <w:p w:rsidR="00BB05E5" w:rsidRPr="00F06851" w:rsidRDefault="00B77BFE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06851">
        <w:rPr>
          <w:b/>
          <w:bCs/>
          <w:sz w:val="28"/>
          <w:szCs w:val="28"/>
        </w:rPr>
        <w:br w:type="page"/>
      </w:r>
      <w:r w:rsidR="00F06851" w:rsidRPr="00F06851">
        <w:rPr>
          <w:b/>
          <w:bCs/>
          <w:sz w:val="28"/>
          <w:szCs w:val="28"/>
        </w:rPr>
        <w:t>Оглавление</w:t>
      </w:r>
    </w:p>
    <w:p w:rsidR="00F06851" w:rsidRPr="00F06851" w:rsidRDefault="00F06851" w:rsidP="00485FE0">
      <w:pPr>
        <w:tabs>
          <w:tab w:val="left" w:pos="1080"/>
          <w:tab w:val="right" w:pos="935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0924" w:rsidRPr="00F06851" w:rsidRDefault="00AF0924" w:rsidP="00485FE0">
      <w:pPr>
        <w:tabs>
          <w:tab w:val="left" w:pos="540"/>
          <w:tab w:val="left" w:pos="1080"/>
          <w:tab w:val="right" w:pos="9354"/>
        </w:tabs>
        <w:suppressAutoHyphens/>
        <w:spacing w:line="360" w:lineRule="auto"/>
        <w:rPr>
          <w:sz w:val="28"/>
          <w:szCs w:val="28"/>
        </w:rPr>
      </w:pPr>
      <w:r w:rsidRPr="00F06851">
        <w:rPr>
          <w:sz w:val="28"/>
          <w:szCs w:val="28"/>
        </w:rPr>
        <w:t>В</w:t>
      </w:r>
      <w:r w:rsidR="00F06851" w:rsidRPr="00F06851">
        <w:rPr>
          <w:sz w:val="28"/>
          <w:szCs w:val="28"/>
        </w:rPr>
        <w:t>ведение</w:t>
      </w:r>
    </w:p>
    <w:p w:rsidR="005E1E7E" w:rsidRPr="00F06851" w:rsidRDefault="00AF0924" w:rsidP="00485FE0">
      <w:pPr>
        <w:tabs>
          <w:tab w:val="left" w:pos="54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F06851">
        <w:rPr>
          <w:sz w:val="28"/>
          <w:szCs w:val="28"/>
        </w:rPr>
        <w:t>Г</w:t>
      </w:r>
      <w:r w:rsidR="00F06851" w:rsidRPr="00F06851">
        <w:rPr>
          <w:sz w:val="28"/>
          <w:szCs w:val="28"/>
        </w:rPr>
        <w:t>лава</w:t>
      </w:r>
      <w:r w:rsidRPr="00F06851">
        <w:rPr>
          <w:sz w:val="28"/>
          <w:szCs w:val="28"/>
        </w:rPr>
        <w:t xml:space="preserve"> 1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ab/>
      </w:r>
      <w:r w:rsidR="00C0407A" w:rsidRPr="00F06851">
        <w:rPr>
          <w:sz w:val="28"/>
          <w:szCs w:val="28"/>
        </w:rPr>
        <w:t>Т</w:t>
      </w:r>
      <w:r w:rsidR="00F06851" w:rsidRPr="00F06851">
        <w:rPr>
          <w:sz w:val="28"/>
          <w:szCs w:val="28"/>
        </w:rPr>
        <w:t>еоретические основы деятельнос</w:t>
      </w:r>
      <w:r w:rsidR="00F06851">
        <w:rPr>
          <w:sz w:val="28"/>
          <w:szCs w:val="28"/>
        </w:rPr>
        <w:t>ти банков на рынке ценных бумаг</w:t>
      </w:r>
    </w:p>
    <w:p w:rsidR="00513113" w:rsidRPr="00F06851" w:rsidRDefault="00AF0924" w:rsidP="00485FE0">
      <w:pPr>
        <w:tabs>
          <w:tab w:val="left" w:pos="54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F06851">
        <w:rPr>
          <w:sz w:val="28"/>
          <w:szCs w:val="28"/>
        </w:rPr>
        <w:t>1</w:t>
      </w:r>
      <w:r w:rsidR="00D976DD">
        <w:rPr>
          <w:sz w:val="28"/>
          <w:szCs w:val="28"/>
        </w:rPr>
        <w:t>.</w:t>
      </w:r>
      <w:r w:rsidRPr="00F06851">
        <w:rPr>
          <w:sz w:val="28"/>
          <w:szCs w:val="28"/>
        </w:rPr>
        <w:t>1</w:t>
      </w:r>
      <w:r w:rsidRPr="00F06851">
        <w:rPr>
          <w:sz w:val="28"/>
          <w:szCs w:val="28"/>
        </w:rPr>
        <w:tab/>
      </w:r>
      <w:r w:rsidR="00C0407A" w:rsidRPr="00F06851">
        <w:rPr>
          <w:sz w:val="28"/>
          <w:szCs w:val="28"/>
        </w:rPr>
        <w:t xml:space="preserve">Виды </w:t>
      </w:r>
      <w:r w:rsidR="00E0583F" w:rsidRPr="00F06851">
        <w:rPr>
          <w:sz w:val="28"/>
          <w:szCs w:val="28"/>
        </w:rPr>
        <w:t>операций</w:t>
      </w:r>
      <w:r w:rsidR="00F06851">
        <w:rPr>
          <w:sz w:val="28"/>
          <w:szCs w:val="28"/>
        </w:rPr>
        <w:t xml:space="preserve">, </w:t>
      </w:r>
      <w:r w:rsidR="00C0407A" w:rsidRPr="00F06851">
        <w:rPr>
          <w:sz w:val="28"/>
          <w:szCs w:val="28"/>
        </w:rPr>
        <w:t xml:space="preserve">основные виды и цели коммерческих </w:t>
      </w:r>
      <w:r w:rsidR="00513113" w:rsidRPr="00F06851">
        <w:rPr>
          <w:sz w:val="28"/>
          <w:szCs w:val="28"/>
        </w:rPr>
        <w:t>банков на рынке ценных бумаг</w:t>
      </w:r>
    </w:p>
    <w:p w:rsidR="00AF0924" w:rsidRPr="00F06851" w:rsidRDefault="00AF0924" w:rsidP="00485FE0">
      <w:pPr>
        <w:tabs>
          <w:tab w:val="left" w:pos="540"/>
          <w:tab w:val="left" w:pos="1080"/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F06851">
        <w:rPr>
          <w:sz w:val="28"/>
          <w:szCs w:val="28"/>
        </w:rPr>
        <w:t>1</w:t>
      </w:r>
      <w:r w:rsidR="00D976DD">
        <w:rPr>
          <w:sz w:val="28"/>
          <w:szCs w:val="28"/>
        </w:rPr>
        <w:t>.</w:t>
      </w:r>
      <w:r w:rsidR="000B7A21" w:rsidRPr="00F06851">
        <w:rPr>
          <w:sz w:val="28"/>
          <w:szCs w:val="28"/>
        </w:rPr>
        <w:t>2</w:t>
      </w:r>
      <w:r w:rsidR="004D235C" w:rsidRPr="00F06851">
        <w:rPr>
          <w:sz w:val="28"/>
          <w:szCs w:val="28"/>
        </w:rPr>
        <w:t xml:space="preserve"> Государственное р</w:t>
      </w:r>
      <w:r w:rsidR="00983F76" w:rsidRPr="00F06851">
        <w:rPr>
          <w:sz w:val="28"/>
          <w:szCs w:val="28"/>
        </w:rPr>
        <w:t>егулирование деятельности банков на рынке ценных бумаг</w:t>
      </w:r>
    </w:p>
    <w:p w:rsidR="00304DF6" w:rsidRPr="00F06851" w:rsidRDefault="00AF0924" w:rsidP="00485FE0">
      <w:pPr>
        <w:tabs>
          <w:tab w:val="left" w:pos="54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F06851">
        <w:rPr>
          <w:sz w:val="28"/>
          <w:szCs w:val="28"/>
        </w:rPr>
        <w:t>Г</w:t>
      </w:r>
      <w:r w:rsidR="00F06851" w:rsidRPr="00F06851">
        <w:rPr>
          <w:sz w:val="28"/>
          <w:szCs w:val="28"/>
        </w:rPr>
        <w:t>лава</w:t>
      </w:r>
      <w:r w:rsidRPr="00F06851">
        <w:rPr>
          <w:sz w:val="28"/>
          <w:szCs w:val="28"/>
        </w:rPr>
        <w:t xml:space="preserve"> 2</w:t>
      </w:r>
      <w:r w:rsidR="00F06851">
        <w:rPr>
          <w:sz w:val="28"/>
          <w:szCs w:val="28"/>
        </w:rPr>
        <w:t xml:space="preserve">. </w:t>
      </w:r>
      <w:r w:rsidR="00304DF6" w:rsidRPr="00F06851">
        <w:rPr>
          <w:sz w:val="28"/>
          <w:szCs w:val="28"/>
        </w:rPr>
        <w:t>А</w:t>
      </w:r>
      <w:r w:rsidR="00F06851" w:rsidRPr="00F06851">
        <w:rPr>
          <w:sz w:val="28"/>
          <w:szCs w:val="28"/>
        </w:rPr>
        <w:t>нализ операций коммерческого банка с ценными бумагами</w:t>
      </w:r>
    </w:p>
    <w:p w:rsidR="00AF0924" w:rsidRPr="00F06851" w:rsidRDefault="00EA5FF7" w:rsidP="00485FE0">
      <w:pPr>
        <w:tabs>
          <w:tab w:val="left" w:pos="54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F06851">
        <w:rPr>
          <w:sz w:val="28"/>
          <w:szCs w:val="28"/>
        </w:rPr>
        <w:t>Г</w:t>
      </w:r>
      <w:r w:rsidR="00F06851" w:rsidRPr="00F06851">
        <w:rPr>
          <w:sz w:val="28"/>
          <w:szCs w:val="28"/>
        </w:rPr>
        <w:t>лава</w:t>
      </w:r>
      <w:r w:rsidRPr="00F06851">
        <w:rPr>
          <w:sz w:val="28"/>
          <w:szCs w:val="28"/>
        </w:rPr>
        <w:t xml:space="preserve"> 3</w:t>
      </w:r>
      <w:r w:rsidR="00F06851">
        <w:rPr>
          <w:sz w:val="28"/>
          <w:szCs w:val="28"/>
        </w:rPr>
        <w:t xml:space="preserve">. </w:t>
      </w:r>
      <w:r w:rsidR="001F0775" w:rsidRPr="00F06851">
        <w:rPr>
          <w:sz w:val="28"/>
          <w:szCs w:val="28"/>
        </w:rPr>
        <w:t>О</w:t>
      </w:r>
      <w:r w:rsidR="00F06851" w:rsidRPr="00F06851">
        <w:rPr>
          <w:sz w:val="28"/>
          <w:szCs w:val="28"/>
        </w:rPr>
        <w:t>сновные направления повышения эффективности деятельности коммерческ</w:t>
      </w:r>
      <w:r w:rsidR="00F06851">
        <w:rPr>
          <w:sz w:val="28"/>
          <w:szCs w:val="28"/>
        </w:rPr>
        <w:t>ого банка на рынке ценных бумаг</w:t>
      </w:r>
    </w:p>
    <w:p w:rsidR="00AF0924" w:rsidRPr="00F06851" w:rsidRDefault="002E454E" w:rsidP="00485FE0">
      <w:pPr>
        <w:numPr>
          <w:ilvl w:val="1"/>
          <w:numId w:val="13"/>
        </w:numPr>
        <w:tabs>
          <w:tab w:val="left" w:pos="540"/>
          <w:tab w:val="left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06851">
        <w:rPr>
          <w:sz w:val="28"/>
          <w:szCs w:val="28"/>
        </w:rPr>
        <w:t>Основные пути решения проблем</w:t>
      </w:r>
    </w:p>
    <w:p w:rsidR="00D35C54" w:rsidRPr="00F06851" w:rsidRDefault="00EF234D" w:rsidP="00485FE0">
      <w:pPr>
        <w:numPr>
          <w:ilvl w:val="1"/>
          <w:numId w:val="13"/>
        </w:numPr>
        <w:tabs>
          <w:tab w:val="left" w:pos="540"/>
          <w:tab w:val="left" w:pos="108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06851">
        <w:rPr>
          <w:sz w:val="28"/>
          <w:szCs w:val="28"/>
        </w:rPr>
        <w:t>Перспективные операции способствующие развитию банка на рынке</w:t>
      </w:r>
      <w:r w:rsidR="00F06851">
        <w:rPr>
          <w:sz w:val="28"/>
          <w:szCs w:val="28"/>
        </w:rPr>
        <w:t xml:space="preserve"> </w:t>
      </w:r>
      <w:r w:rsidR="00D35C54" w:rsidRPr="00F06851">
        <w:rPr>
          <w:sz w:val="28"/>
          <w:szCs w:val="28"/>
        </w:rPr>
        <w:t>ценных бумаг</w:t>
      </w:r>
    </w:p>
    <w:p w:rsidR="00D35C54" w:rsidRPr="00F06851" w:rsidRDefault="00D35C54" w:rsidP="00485FE0">
      <w:pPr>
        <w:tabs>
          <w:tab w:val="left" w:pos="540"/>
          <w:tab w:val="left" w:pos="1080"/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F06851">
        <w:rPr>
          <w:sz w:val="28"/>
          <w:szCs w:val="28"/>
        </w:rPr>
        <w:t>З</w:t>
      </w:r>
      <w:r w:rsidR="00F06851" w:rsidRPr="00F06851">
        <w:rPr>
          <w:sz w:val="28"/>
          <w:szCs w:val="28"/>
        </w:rPr>
        <w:t>аключение</w:t>
      </w:r>
    </w:p>
    <w:p w:rsidR="00AF0924" w:rsidRPr="00F06851" w:rsidRDefault="00AF0924" w:rsidP="00485FE0">
      <w:pPr>
        <w:tabs>
          <w:tab w:val="left" w:pos="540"/>
          <w:tab w:val="left" w:pos="1080"/>
          <w:tab w:val="left" w:pos="9108"/>
        </w:tabs>
        <w:suppressAutoHyphens/>
        <w:spacing w:line="360" w:lineRule="auto"/>
        <w:rPr>
          <w:sz w:val="28"/>
          <w:szCs w:val="28"/>
        </w:rPr>
      </w:pPr>
      <w:r w:rsidRPr="00F06851">
        <w:rPr>
          <w:sz w:val="28"/>
          <w:szCs w:val="28"/>
        </w:rPr>
        <w:t>С</w:t>
      </w:r>
      <w:r w:rsidR="00F06851" w:rsidRPr="00F06851">
        <w:rPr>
          <w:sz w:val="28"/>
          <w:szCs w:val="28"/>
        </w:rPr>
        <w:t>писок использованных источников</w:t>
      </w:r>
    </w:p>
    <w:p w:rsidR="00F06851" w:rsidRPr="00F06851" w:rsidRDefault="00BB05E5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06851">
        <w:rPr>
          <w:sz w:val="28"/>
          <w:szCs w:val="28"/>
        </w:rPr>
        <w:br w:type="page"/>
      </w:r>
      <w:r w:rsidR="00F06851" w:rsidRPr="00F06851">
        <w:rPr>
          <w:b/>
          <w:bCs/>
          <w:sz w:val="28"/>
          <w:szCs w:val="28"/>
        </w:rPr>
        <w:t>Введение</w:t>
      </w:r>
    </w:p>
    <w:p w:rsidR="00F06851" w:rsidRPr="00F06851" w:rsidRDefault="00F06851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6B40" w:rsidRPr="00F06851" w:rsidRDefault="00396B40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Рынок ценных бумаг составляет один из наиболее динамичных сегментов</w:t>
      </w:r>
    </w:p>
    <w:p w:rsidR="00F06851" w:rsidRDefault="00396B40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финансового рынка и является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по сути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связующим звеном рынка капиталов и денежного рынка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Деятельность банков на рынке ценных бумаг многогранна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поскольку они не только традиционно являются посредниками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связывающими интересы и денежные средства эмитентов и инвесторов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но и сами активно используют финансовые инструменты для формирования собственной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ресурсной базы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размещения денежных средств в высоколиквидные и доходные ценные бумаги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Потребность в знаниях в области ценных бумаг сегодня сформировалась не только у профессиональных участников финансового рынка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но и тех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кто проявляет к нему интерес в качестве потенциального инвестора или эмитента</w:t>
      </w:r>
      <w:r w:rsidR="00F06851">
        <w:rPr>
          <w:sz w:val="28"/>
          <w:szCs w:val="28"/>
        </w:rPr>
        <w:t xml:space="preserve">. </w:t>
      </w:r>
      <w:r w:rsidR="008833F3" w:rsidRPr="00F06851">
        <w:rPr>
          <w:rStyle w:val="a8"/>
          <w:sz w:val="28"/>
          <w:szCs w:val="28"/>
        </w:rPr>
        <w:footnoteReference w:customMarkFollows="1" w:id="1"/>
        <w:t>1</w:t>
      </w:r>
    </w:p>
    <w:p w:rsidR="00F06851" w:rsidRDefault="00A410E0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 xml:space="preserve">Рынок ценных бумаг выступает составной частью </w:t>
      </w:r>
      <w:r w:rsidR="00DE6012" w:rsidRPr="00F06851">
        <w:rPr>
          <w:sz w:val="28"/>
          <w:szCs w:val="28"/>
        </w:rPr>
        <w:t>финансовой системы государства</w:t>
      </w:r>
      <w:r w:rsidR="00F06851">
        <w:rPr>
          <w:sz w:val="28"/>
          <w:szCs w:val="28"/>
        </w:rPr>
        <w:t xml:space="preserve">, </w:t>
      </w:r>
      <w:r w:rsidR="00DE6012" w:rsidRPr="00F06851">
        <w:rPr>
          <w:sz w:val="28"/>
          <w:szCs w:val="28"/>
        </w:rPr>
        <w:t>характеризующейся</w:t>
      </w:r>
      <w:r w:rsidR="00AF1048" w:rsidRPr="00F06851">
        <w:rPr>
          <w:sz w:val="28"/>
          <w:szCs w:val="28"/>
        </w:rPr>
        <w:t xml:space="preserve"> индустриальной и</w:t>
      </w:r>
      <w:r w:rsidRPr="00F06851">
        <w:rPr>
          <w:sz w:val="28"/>
          <w:szCs w:val="28"/>
        </w:rPr>
        <w:t xml:space="preserve"> организационно-</w:t>
      </w:r>
      <w:r w:rsidR="00795A32" w:rsidRPr="00F06851">
        <w:rPr>
          <w:sz w:val="28"/>
          <w:szCs w:val="28"/>
        </w:rPr>
        <w:t xml:space="preserve"> функциональной спецификой</w:t>
      </w:r>
      <w:r w:rsidR="00F06851">
        <w:rPr>
          <w:sz w:val="28"/>
          <w:szCs w:val="28"/>
        </w:rPr>
        <w:t xml:space="preserve">. </w:t>
      </w:r>
      <w:r w:rsidR="00D8547A" w:rsidRPr="00F06851">
        <w:rPr>
          <w:sz w:val="28"/>
          <w:szCs w:val="28"/>
        </w:rPr>
        <w:t>Экономическая практика 90-х гг</w:t>
      </w:r>
      <w:r w:rsidR="00F06851">
        <w:rPr>
          <w:sz w:val="28"/>
          <w:szCs w:val="28"/>
        </w:rPr>
        <w:t xml:space="preserve">. </w:t>
      </w:r>
      <w:r w:rsidR="00D8547A" w:rsidRPr="00F06851">
        <w:rPr>
          <w:sz w:val="28"/>
          <w:szCs w:val="28"/>
        </w:rPr>
        <w:t>подтвердила</w:t>
      </w:r>
      <w:r w:rsidR="00F06851">
        <w:rPr>
          <w:sz w:val="28"/>
          <w:szCs w:val="28"/>
        </w:rPr>
        <w:t xml:space="preserve">, </w:t>
      </w:r>
      <w:r w:rsidR="00D8547A" w:rsidRPr="00F06851">
        <w:rPr>
          <w:sz w:val="28"/>
          <w:szCs w:val="28"/>
        </w:rPr>
        <w:t>что одним из главных средств восстановления и развития рыночных методов хозяйст</w:t>
      </w:r>
      <w:r w:rsidR="00FA4F10" w:rsidRPr="00F06851">
        <w:rPr>
          <w:sz w:val="28"/>
          <w:szCs w:val="28"/>
        </w:rPr>
        <w:t>вования являются ценные бумаги</w:t>
      </w:r>
      <w:r w:rsidR="00F06851">
        <w:rPr>
          <w:sz w:val="28"/>
          <w:szCs w:val="28"/>
        </w:rPr>
        <w:t xml:space="preserve">, </w:t>
      </w:r>
      <w:r w:rsidR="00D8547A" w:rsidRPr="00F06851">
        <w:rPr>
          <w:sz w:val="28"/>
          <w:szCs w:val="28"/>
        </w:rPr>
        <w:t>фиксирующие право собственности на капитал</w:t>
      </w:r>
      <w:r w:rsidR="00F06851">
        <w:rPr>
          <w:sz w:val="28"/>
          <w:szCs w:val="28"/>
        </w:rPr>
        <w:t xml:space="preserve">. </w:t>
      </w:r>
    </w:p>
    <w:p w:rsidR="00F06851" w:rsidRDefault="00A410E0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Значимость банков на рынке ценных бумаг не подвергается сомнению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В</w:t>
      </w:r>
      <w:r w:rsidR="00F06851" w:rsidRP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большинстве стран банки играют на рынке ценных бумаг важнейшую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ключевую</w:t>
      </w:r>
      <w:r w:rsidR="00A0032B" w:rsidRPr="00F06851">
        <w:rPr>
          <w:sz w:val="28"/>
          <w:szCs w:val="28"/>
        </w:rPr>
        <w:t xml:space="preserve"> роль</w:t>
      </w:r>
      <w:r w:rsidR="00F06851">
        <w:rPr>
          <w:sz w:val="28"/>
          <w:szCs w:val="28"/>
        </w:rPr>
        <w:t xml:space="preserve">. </w:t>
      </w:r>
      <w:r w:rsidR="00A0032B" w:rsidRPr="00F06851">
        <w:rPr>
          <w:sz w:val="28"/>
          <w:szCs w:val="28"/>
        </w:rPr>
        <w:t>Коммерческие банки могут выступать на рынке ценных бумаг в качестве эмитентов собственных акций</w:t>
      </w:r>
      <w:r w:rsidR="00F06851">
        <w:rPr>
          <w:sz w:val="28"/>
          <w:szCs w:val="28"/>
        </w:rPr>
        <w:t xml:space="preserve">, </w:t>
      </w:r>
      <w:r w:rsidR="00A0032B" w:rsidRPr="00F06851">
        <w:rPr>
          <w:sz w:val="28"/>
          <w:szCs w:val="28"/>
        </w:rPr>
        <w:t>облигаций</w:t>
      </w:r>
      <w:r w:rsidR="00F06851">
        <w:rPr>
          <w:sz w:val="28"/>
          <w:szCs w:val="28"/>
        </w:rPr>
        <w:t xml:space="preserve">, </w:t>
      </w:r>
      <w:r w:rsidR="00A0032B" w:rsidRPr="00F06851">
        <w:rPr>
          <w:sz w:val="28"/>
          <w:szCs w:val="28"/>
        </w:rPr>
        <w:t>могут выпускать векселя</w:t>
      </w:r>
      <w:r w:rsidR="00F06851">
        <w:rPr>
          <w:sz w:val="28"/>
          <w:szCs w:val="28"/>
        </w:rPr>
        <w:t xml:space="preserve">, </w:t>
      </w:r>
      <w:r w:rsidR="00A0032B" w:rsidRPr="00F06851">
        <w:rPr>
          <w:sz w:val="28"/>
          <w:szCs w:val="28"/>
        </w:rPr>
        <w:t>депозитные и сберегательные сертификаты и другие ценные бумаги; в роли инвесторов</w:t>
      </w:r>
      <w:r w:rsidR="00F06851">
        <w:rPr>
          <w:sz w:val="28"/>
          <w:szCs w:val="28"/>
        </w:rPr>
        <w:t xml:space="preserve">, </w:t>
      </w:r>
      <w:r w:rsidR="00A0032B" w:rsidRPr="00F06851">
        <w:rPr>
          <w:sz w:val="28"/>
          <w:szCs w:val="28"/>
        </w:rPr>
        <w:t>приобретая ценные бумаги за свой счет и в роли профессиональных участников рынка ценных бумаг</w:t>
      </w:r>
      <w:r w:rsidR="00F06851">
        <w:rPr>
          <w:sz w:val="28"/>
          <w:szCs w:val="28"/>
        </w:rPr>
        <w:t xml:space="preserve">, </w:t>
      </w:r>
      <w:r w:rsidR="00A0032B" w:rsidRPr="00F06851">
        <w:rPr>
          <w:sz w:val="28"/>
          <w:szCs w:val="28"/>
        </w:rPr>
        <w:t>осуществляя брокерскую</w:t>
      </w:r>
      <w:r w:rsidR="00F06851">
        <w:rPr>
          <w:sz w:val="28"/>
          <w:szCs w:val="28"/>
        </w:rPr>
        <w:t xml:space="preserve">, </w:t>
      </w:r>
      <w:r w:rsidR="00A0032B" w:rsidRPr="00F06851">
        <w:rPr>
          <w:sz w:val="28"/>
          <w:szCs w:val="28"/>
        </w:rPr>
        <w:t>дилерскую</w:t>
      </w:r>
      <w:r w:rsidR="00F06851">
        <w:rPr>
          <w:sz w:val="28"/>
          <w:szCs w:val="28"/>
        </w:rPr>
        <w:t xml:space="preserve">, </w:t>
      </w:r>
      <w:r w:rsidR="00A0032B" w:rsidRPr="00F06851">
        <w:rPr>
          <w:sz w:val="28"/>
          <w:szCs w:val="28"/>
        </w:rPr>
        <w:t>депозитарную и доверительную деятельность</w:t>
      </w:r>
      <w:r w:rsidR="00F06851">
        <w:rPr>
          <w:sz w:val="28"/>
          <w:szCs w:val="28"/>
        </w:rPr>
        <w:t xml:space="preserve">. </w:t>
      </w:r>
      <w:r w:rsidR="00B00781" w:rsidRPr="00F06851">
        <w:rPr>
          <w:sz w:val="28"/>
          <w:szCs w:val="28"/>
        </w:rPr>
        <w:t xml:space="preserve">Таким </w:t>
      </w:r>
      <w:r w:rsidR="00F06851" w:rsidRPr="00F06851">
        <w:rPr>
          <w:sz w:val="28"/>
          <w:szCs w:val="28"/>
        </w:rPr>
        <w:t>образом,</w:t>
      </w:r>
      <w:r w:rsidR="00B00781" w:rsidRPr="00F06851">
        <w:rPr>
          <w:sz w:val="28"/>
          <w:szCs w:val="28"/>
        </w:rPr>
        <w:t xml:space="preserve"> можно скачать</w:t>
      </w:r>
      <w:r w:rsidR="00F06851">
        <w:rPr>
          <w:sz w:val="28"/>
          <w:szCs w:val="28"/>
        </w:rPr>
        <w:t xml:space="preserve">, </w:t>
      </w:r>
      <w:r w:rsidR="00B00781" w:rsidRPr="00F06851">
        <w:rPr>
          <w:sz w:val="28"/>
          <w:szCs w:val="28"/>
        </w:rPr>
        <w:t>что банковские институты являются наиболее активными участниками рынка ценных бумаг</w:t>
      </w:r>
      <w:r w:rsidR="00F06851">
        <w:rPr>
          <w:sz w:val="28"/>
          <w:szCs w:val="28"/>
        </w:rPr>
        <w:t xml:space="preserve">, </w:t>
      </w:r>
      <w:r w:rsidR="00B00781" w:rsidRPr="00F06851">
        <w:rPr>
          <w:sz w:val="28"/>
          <w:szCs w:val="28"/>
        </w:rPr>
        <w:t>которые могут осуществлять широкий круг профессиональных и непрофессиональных операций</w:t>
      </w:r>
      <w:r w:rsidR="00F06851">
        <w:rPr>
          <w:sz w:val="28"/>
          <w:szCs w:val="28"/>
        </w:rPr>
        <w:t xml:space="preserve">. </w:t>
      </w:r>
    </w:p>
    <w:p w:rsidR="00F06851" w:rsidRDefault="002D2F7B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b/>
          <w:bCs/>
          <w:sz w:val="28"/>
          <w:szCs w:val="28"/>
        </w:rPr>
        <w:t>Целью данной работы</w:t>
      </w:r>
      <w:r w:rsidRPr="00F06851">
        <w:rPr>
          <w:sz w:val="28"/>
          <w:szCs w:val="28"/>
        </w:rPr>
        <w:t xml:space="preserve"> является изучение </w:t>
      </w:r>
      <w:r w:rsidR="00B26F86" w:rsidRPr="00F06851">
        <w:rPr>
          <w:sz w:val="28"/>
          <w:szCs w:val="28"/>
        </w:rPr>
        <w:t>роли коммерческих банков</w:t>
      </w:r>
      <w:r w:rsidRPr="00F06851">
        <w:rPr>
          <w:sz w:val="28"/>
          <w:szCs w:val="28"/>
        </w:rPr>
        <w:t xml:space="preserve"> на рынке ценных бумаг и выявление перспективных направлений работы </w:t>
      </w:r>
      <w:r w:rsidR="002956EB" w:rsidRPr="00F06851">
        <w:rPr>
          <w:sz w:val="28"/>
          <w:szCs w:val="28"/>
        </w:rPr>
        <w:t>банков с ценными бумагами</w:t>
      </w:r>
      <w:r w:rsidR="00F06851">
        <w:rPr>
          <w:sz w:val="28"/>
          <w:szCs w:val="28"/>
        </w:rPr>
        <w:t xml:space="preserve">. </w:t>
      </w:r>
    </w:p>
    <w:p w:rsidR="002956EB" w:rsidRPr="00F06851" w:rsidRDefault="002956EB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 xml:space="preserve">Поставленная цель исследования определила постановку и решение следующих </w:t>
      </w:r>
      <w:r w:rsidRPr="00F06851">
        <w:rPr>
          <w:b/>
          <w:bCs/>
          <w:i/>
          <w:iCs/>
          <w:sz w:val="28"/>
          <w:szCs w:val="28"/>
        </w:rPr>
        <w:t>основных задач</w:t>
      </w:r>
      <w:r w:rsidRPr="00F06851">
        <w:rPr>
          <w:b/>
          <w:bCs/>
          <w:sz w:val="28"/>
          <w:szCs w:val="28"/>
        </w:rPr>
        <w:t>:</w:t>
      </w:r>
    </w:p>
    <w:p w:rsidR="002D2F7B" w:rsidRPr="00F06851" w:rsidRDefault="002D2F7B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-изучить регулир</w:t>
      </w:r>
      <w:r w:rsidR="00B26F86" w:rsidRPr="00F06851">
        <w:rPr>
          <w:sz w:val="28"/>
          <w:szCs w:val="28"/>
        </w:rPr>
        <w:t>ова</w:t>
      </w:r>
      <w:r w:rsidRPr="00F06851">
        <w:rPr>
          <w:sz w:val="28"/>
          <w:szCs w:val="28"/>
        </w:rPr>
        <w:t>ние деятельности банков на фондовом рынке</w:t>
      </w:r>
      <w:r w:rsidR="00F06851">
        <w:rPr>
          <w:sz w:val="28"/>
          <w:szCs w:val="28"/>
        </w:rPr>
        <w:t xml:space="preserve">. </w:t>
      </w:r>
    </w:p>
    <w:p w:rsidR="00B00781" w:rsidRPr="00F06851" w:rsidRDefault="002D2F7B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-рассмотреть теоретические основы деятельности коммерческих банков на рынке ценных бумаг</w:t>
      </w:r>
      <w:r w:rsidR="00F06851">
        <w:rPr>
          <w:sz w:val="28"/>
          <w:szCs w:val="28"/>
        </w:rPr>
        <w:t xml:space="preserve">. </w:t>
      </w:r>
    </w:p>
    <w:p w:rsidR="002D2F7B" w:rsidRPr="00F06851" w:rsidRDefault="002D2F7B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</w:t>
      </w:r>
      <w:r w:rsidR="00B26F86" w:rsidRPr="00F06851">
        <w:rPr>
          <w:sz w:val="28"/>
          <w:szCs w:val="28"/>
        </w:rPr>
        <w:t>рассмотреть виды деятельности и виды операций проводимых банком с ценными бумагами</w:t>
      </w:r>
      <w:r w:rsidR="00F06851">
        <w:rPr>
          <w:sz w:val="28"/>
          <w:szCs w:val="28"/>
        </w:rPr>
        <w:t xml:space="preserve">. </w:t>
      </w:r>
    </w:p>
    <w:p w:rsidR="00B00781" w:rsidRPr="00F06851" w:rsidRDefault="00B26F86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 xml:space="preserve">-провести </w:t>
      </w:r>
      <w:r w:rsidR="001F0775" w:rsidRPr="00F06851">
        <w:rPr>
          <w:sz w:val="28"/>
          <w:szCs w:val="28"/>
        </w:rPr>
        <w:t xml:space="preserve">общий </w:t>
      </w:r>
      <w:r w:rsidRPr="00F06851">
        <w:rPr>
          <w:sz w:val="28"/>
          <w:szCs w:val="28"/>
        </w:rPr>
        <w:t xml:space="preserve">анализ </w:t>
      </w:r>
      <w:r w:rsidR="001F0775" w:rsidRPr="00F06851">
        <w:rPr>
          <w:sz w:val="28"/>
          <w:szCs w:val="28"/>
        </w:rPr>
        <w:t>деятельности банков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на ранке ценных бумаг</w:t>
      </w:r>
    </w:p>
    <w:p w:rsidR="00F06851" w:rsidRDefault="00B26F86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</w:t>
      </w:r>
      <w:r w:rsidR="003D26D0" w:rsidRPr="00F06851">
        <w:rPr>
          <w:sz w:val="28"/>
          <w:szCs w:val="28"/>
        </w:rPr>
        <w:t>разработать методологические указание по совершенствованию</w:t>
      </w:r>
      <w:r w:rsidR="00F06851">
        <w:rPr>
          <w:sz w:val="28"/>
          <w:szCs w:val="28"/>
        </w:rPr>
        <w:t xml:space="preserve">. </w:t>
      </w:r>
    </w:p>
    <w:p w:rsidR="00F06851" w:rsidRDefault="00CA1A9F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 xml:space="preserve">В качестве </w:t>
      </w:r>
      <w:r w:rsidRPr="00F06851">
        <w:rPr>
          <w:b/>
          <w:bCs/>
          <w:i/>
          <w:iCs/>
          <w:sz w:val="28"/>
          <w:szCs w:val="28"/>
        </w:rPr>
        <w:t>объекта исследования</w:t>
      </w:r>
      <w:r w:rsidRPr="00F06851">
        <w:rPr>
          <w:sz w:val="28"/>
          <w:szCs w:val="28"/>
        </w:rPr>
        <w:t xml:space="preserve"> выступает деятельность коммерческих банков на рынке ценных бумаг</w:t>
      </w:r>
      <w:r w:rsidR="00F06851">
        <w:rPr>
          <w:sz w:val="28"/>
          <w:szCs w:val="28"/>
        </w:rPr>
        <w:t xml:space="preserve">. </w:t>
      </w:r>
    </w:p>
    <w:p w:rsidR="00F06851" w:rsidRDefault="00CA1A9F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b/>
          <w:bCs/>
          <w:i/>
          <w:iCs/>
          <w:sz w:val="28"/>
          <w:szCs w:val="28"/>
        </w:rPr>
        <w:t>Предметом курсовой работы</w:t>
      </w:r>
      <w:r w:rsidRPr="00F06851">
        <w:rPr>
          <w:sz w:val="28"/>
          <w:szCs w:val="28"/>
        </w:rPr>
        <w:t xml:space="preserve"> является исследование роли коммерческих банков на рынке ценных бумаг</w:t>
      </w:r>
      <w:r w:rsidR="00F06851">
        <w:rPr>
          <w:sz w:val="28"/>
          <w:szCs w:val="28"/>
        </w:rPr>
        <w:t xml:space="preserve">. </w:t>
      </w:r>
    </w:p>
    <w:p w:rsidR="00CA1A9F" w:rsidRPr="00F06851" w:rsidRDefault="00CA1A9F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b/>
          <w:bCs/>
          <w:i/>
          <w:iCs/>
          <w:sz w:val="28"/>
          <w:szCs w:val="28"/>
        </w:rPr>
        <w:t>Основными методологическими и информационными источниками</w:t>
      </w:r>
      <w:r w:rsidRPr="00F06851">
        <w:rPr>
          <w:sz w:val="28"/>
          <w:szCs w:val="28"/>
        </w:rPr>
        <w:t xml:space="preserve"> в написании курсовой работы послужили основные нормативно-законодательные акты регулирующие осуществление банковской деятельности на территории Российской Федерации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учебная и научная литература: Т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С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Новашиной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С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Р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Моисеева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а так же сайты Интернет</w:t>
      </w:r>
      <w:r w:rsidR="00F06851">
        <w:rPr>
          <w:sz w:val="28"/>
          <w:szCs w:val="28"/>
        </w:rPr>
        <w:t xml:space="preserve">. </w:t>
      </w:r>
    </w:p>
    <w:p w:rsidR="00EF6C65" w:rsidRPr="00F06851" w:rsidRDefault="00CF69EB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06851">
        <w:rPr>
          <w:sz w:val="28"/>
          <w:szCs w:val="28"/>
        </w:rPr>
        <w:br w:type="page"/>
      </w:r>
      <w:r w:rsidR="00EF6C65" w:rsidRPr="00F06851">
        <w:rPr>
          <w:b/>
          <w:bCs/>
          <w:sz w:val="28"/>
          <w:szCs w:val="28"/>
        </w:rPr>
        <w:t>Г</w:t>
      </w:r>
      <w:r w:rsidR="00F06851" w:rsidRPr="00F06851">
        <w:rPr>
          <w:b/>
          <w:bCs/>
          <w:sz w:val="28"/>
          <w:szCs w:val="28"/>
        </w:rPr>
        <w:t>лава</w:t>
      </w:r>
      <w:r w:rsidR="00AF0924" w:rsidRPr="00F06851">
        <w:rPr>
          <w:b/>
          <w:bCs/>
          <w:sz w:val="28"/>
          <w:szCs w:val="28"/>
        </w:rPr>
        <w:t xml:space="preserve"> </w:t>
      </w:r>
      <w:r w:rsidR="00EF6C65" w:rsidRPr="00F06851">
        <w:rPr>
          <w:b/>
          <w:bCs/>
          <w:sz w:val="28"/>
          <w:szCs w:val="28"/>
        </w:rPr>
        <w:t>1</w:t>
      </w:r>
      <w:r w:rsidR="00F06851">
        <w:rPr>
          <w:b/>
          <w:bCs/>
          <w:sz w:val="28"/>
          <w:szCs w:val="28"/>
        </w:rPr>
        <w:t xml:space="preserve">. </w:t>
      </w:r>
      <w:r w:rsidR="00EF6C65" w:rsidRPr="00F06851">
        <w:rPr>
          <w:b/>
          <w:bCs/>
          <w:sz w:val="28"/>
          <w:szCs w:val="28"/>
        </w:rPr>
        <w:tab/>
      </w:r>
      <w:r w:rsidR="00C0407A" w:rsidRPr="00F06851">
        <w:rPr>
          <w:b/>
          <w:bCs/>
          <w:sz w:val="28"/>
          <w:szCs w:val="28"/>
        </w:rPr>
        <w:t>Т</w:t>
      </w:r>
      <w:r w:rsidR="00F06851" w:rsidRPr="00F06851">
        <w:rPr>
          <w:b/>
          <w:bCs/>
          <w:sz w:val="28"/>
          <w:szCs w:val="28"/>
        </w:rPr>
        <w:t>еоретические основы деятельности</w:t>
      </w:r>
      <w:r w:rsidR="00F06851">
        <w:rPr>
          <w:b/>
          <w:bCs/>
          <w:sz w:val="28"/>
          <w:szCs w:val="28"/>
        </w:rPr>
        <w:t xml:space="preserve"> </w:t>
      </w:r>
      <w:r w:rsidR="00F06851" w:rsidRPr="00F06851">
        <w:rPr>
          <w:b/>
          <w:bCs/>
          <w:sz w:val="28"/>
          <w:szCs w:val="28"/>
        </w:rPr>
        <w:t>банков на рынке ценных бумаг</w:t>
      </w:r>
      <w:r w:rsidR="00F06851">
        <w:rPr>
          <w:b/>
          <w:bCs/>
          <w:sz w:val="28"/>
          <w:szCs w:val="28"/>
        </w:rPr>
        <w:t>.</w:t>
      </w:r>
    </w:p>
    <w:p w:rsidR="00AF0924" w:rsidRPr="00F06851" w:rsidRDefault="00AF0924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06851" w:rsidRPr="00F06851" w:rsidRDefault="00AF0924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b/>
          <w:sz w:val="28"/>
          <w:szCs w:val="28"/>
        </w:rPr>
        <w:t>1</w:t>
      </w:r>
      <w:r w:rsidR="00F06851" w:rsidRPr="00F06851">
        <w:rPr>
          <w:b/>
          <w:sz w:val="28"/>
          <w:szCs w:val="28"/>
        </w:rPr>
        <w:t>.</w:t>
      </w:r>
      <w:r w:rsidRPr="00F06851">
        <w:rPr>
          <w:b/>
          <w:sz w:val="28"/>
          <w:szCs w:val="28"/>
        </w:rPr>
        <w:t>1</w:t>
      </w:r>
      <w:r w:rsidRPr="00F06851">
        <w:rPr>
          <w:sz w:val="28"/>
          <w:szCs w:val="28"/>
        </w:rPr>
        <w:t xml:space="preserve"> </w:t>
      </w:r>
      <w:r w:rsidR="00E0583F" w:rsidRPr="00F06851">
        <w:rPr>
          <w:b/>
          <w:bCs/>
          <w:sz w:val="28"/>
          <w:szCs w:val="28"/>
        </w:rPr>
        <w:t>Виды операций</w:t>
      </w:r>
      <w:r w:rsidR="00F06851">
        <w:rPr>
          <w:b/>
          <w:bCs/>
          <w:sz w:val="28"/>
          <w:szCs w:val="28"/>
        </w:rPr>
        <w:t xml:space="preserve">, </w:t>
      </w:r>
      <w:r w:rsidR="00E0583F" w:rsidRPr="00F06851">
        <w:rPr>
          <w:b/>
          <w:bCs/>
          <w:sz w:val="28"/>
          <w:szCs w:val="28"/>
        </w:rPr>
        <w:t>основные виды и цели коммерческих банков на рынке ценных бумаг</w:t>
      </w:r>
    </w:p>
    <w:p w:rsidR="00F06851" w:rsidRPr="00F06851" w:rsidRDefault="00F06851" w:rsidP="00485FE0">
      <w:pPr>
        <w:pStyle w:val="HTML"/>
        <w:tabs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851" w:rsidRDefault="000B7A21" w:rsidP="00485FE0">
      <w:pPr>
        <w:pStyle w:val="HTML"/>
        <w:tabs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851">
        <w:rPr>
          <w:rFonts w:ascii="Times New Roman" w:hAnsi="Times New Roman" w:cs="Times New Roman"/>
          <w:sz w:val="28"/>
          <w:szCs w:val="28"/>
        </w:rPr>
        <w:t>В общем виде рынок ценных бумаг можно определить как совокупность</w:t>
      </w:r>
      <w:r w:rsidR="00F06851" w:rsidRPr="00F06851">
        <w:rPr>
          <w:rFonts w:ascii="Times New Roman" w:hAnsi="Times New Roman" w:cs="Times New Roman"/>
          <w:sz w:val="28"/>
          <w:szCs w:val="28"/>
        </w:rPr>
        <w:t xml:space="preserve"> </w:t>
      </w:r>
      <w:r w:rsidRPr="00F06851">
        <w:rPr>
          <w:rFonts w:ascii="Times New Roman" w:hAnsi="Times New Roman" w:cs="Times New Roman"/>
          <w:sz w:val="28"/>
          <w:szCs w:val="28"/>
        </w:rPr>
        <w:t>экономических отношений по поводу выпуска и обращения ценных бумаг между его участниками</w:t>
      </w:r>
      <w:r w:rsidR="00F06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100" w:rsidRPr="00F06851" w:rsidRDefault="00C568B7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sz w:val="28"/>
          <w:szCs w:val="28"/>
        </w:rPr>
        <w:t>Исторически банки были первыми учреждениями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специализирующимися</w:t>
      </w:r>
      <w:r w:rsidR="00F06851" w:rsidRP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на операциях на финансовом рынке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однако современные банки являются</w:t>
      </w:r>
      <w:r w:rsidR="00F06851" w:rsidRP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не единственными субъектами предпринимательства в финансовом</w:t>
      </w:r>
      <w:r w:rsidR="00F06851">
        <w:rPr>
          <w:sz w:val="28"/>
          <w:szCs w:val="28"/>
        </w:rPr>
        <w:t xml:space="preserve"> бизне</w:t>
      </w:r>
      <w:r w:rsidRPr="00F06851">
        <w:rPr>
          <w:sz w:val="28"/>
          <w:szCs w:val="28"/>
        </w:rPr>
        <w:t>се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в том числе на рынке ценных бумаг</w:t>
      </w:r>
      <w:r w:rsidR="00F06851">
        <w:rPr>
          <w:sz w:val="28"/>
          <w:szCs w:val="28"/>
        </w:rPr>
        <w:t xml:space="preserve">. </w:t>
      </w:r>
      <w:r w:rsidR="00770100" w:rsidRPr="00F06851">
        <w:rPr>
          <w:rFonts w:cs="TimesNewRomanPSMT"/>
          <w:sz w:val="28"/>
          <w:szCs w:val="28"/>
        </w:rPr>
        <w:t>Вместе с тем</w:t>
      </w:r>
      <w:r w:rsidR="00F06851">
        <w:rPr>
          <w:rFonts w:cs="TimesNewRomanPSMT"/>
          <w:sz w:val="28"/>
          <w:szCs w:val="28"/>
        </w:rPr>
        <w:t xml:space="preserve">, </w:t>
      </w:r>
      <w:r w:rsidR="00770100" w:rsidRPr="00F06851">
        <w:rPr>
          <w:rFonts w:cs="TimesNewRomanPSMT"/>
          <w:sz w:val="28"/>
          <w:szCs w:val="28"/>
        </w:rPr>
        <w:t>банки</w:t>
      </w:r>
      <w:r w:rsidR="00F06851">
        <w:rPr>
          <w:rFonts w:cs="TimesNewRomanPSMT"/>
          <w:sz w:val="28"/>
          <w:szCs w:val="28"/>
        </w:rPr>
        <w:t xml:space="preserve">, </w:t>
      </w:r>
      <w:r w:rsidR="00770100" w:rsidRPr="00F06851">
        <w:rPr>
          <w:rFonts w:cs="TimesNewRomanPSMT"/>
          <w:sz w:val="28"/>
          <w:szCs w:val="28"/>
        </w:rPr>
        <w:t>в силу специфики своих функциональных особенностей</w:t>
      </w:r>
      <w:r w:rsidR="00F06851">
        <w:rPr>
          <w:rFonts w:cs="TimesNewRomanPSMT"/>
          <w:sz w:val="28"/>
          <w:szCs w:val="28"/>
        </w:rPr>
        <w:t xml:space="preserve">, </w:t>
      </w:r>
      <w:r w:rsidR="00770100" w:rsidRPr="00F06851">
        <w:rPr>
          <w:rFonts w:cs="TimesNewRomanPSMT"/>
          <w:sz w:val="28"/>
          <w:szCs w:val="28"/>
        </w:rPr>
        <w:t>существенно отличаются</w:t>
      </w:r>
      <w:r w:rsidR="00F06851" w:rsidRPr="00F06851">
        <w:rPr>
          <w:rFonts w:cs="TimesNewRomanPSMT"/>
          <w:sz w:val="28"/>
          <w:szCs w:val="28"/>
        </w:rPr>
        <w:t xml:space="preserve"> </w:t>
      </w:r>
      <w:r w:rsidR="00770100" w:rsidRPr="00F06851">
        <w:rPr>
          <w:rFonts w:cs="TimesNewRomanPSMT"/>
          <w:sz w:val="28"/>
          <w:szCs w:val="28"/>
        </w:rPr>
        <w:t>от других финансовых институтов</w:t>
      </w:r>
      <w:r w:rsidR="00F06851">
        <w:rPr>
          <w:rFonts w:cs="TimesNewRomanPSMT"/>
          <w:sz w:val="28"/>
          <w:szCs w:val="28"/>
        </w:rPr>
        <w:t xml:space="preserve">, </w:t>
      </w:r>
      <w:r w:rsidR="00770100" w:rsidRPr="00F06851">
        <w:rPr>
          <w:rFonts w:cs="TimesNewRomanPSMT"/>
          <w:sz w:val="28"/>
          <w:szCs w:val="28"/>
        </w:rPr>
        <w:t>аккумулирующих ресурсы экономики</w:t>
      </w:r>
      <w:r w:rsidR="00F06851">
        <w:rPr>
          <w:rFonts w:cs="TimesNewRomanPSMT"/>
          <w:sz w:val="28"/>
          <w:szCs w:val="28"/>
        </w:rPr>
        <w:t xml:space="preserve">. </w:t>
      </w:r>
    </w:p>
    <w:p w:rsidR="00F06851" w:rsidRDefault="00770100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Главное отличие заключается в способе привлечения средств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поскольку возврат заемных средств и заранее оговоренное вознаграждение за их использование гарантируется независимо от результата хозяйственной деятельности</w:t>
      </w:r>
      <w:r w:rsidR="00F06851">
        <w:rPr>
          <w:rFonts w:cs="TimesNewRomanPSMT"/>
          <w:sz w:val="28"/>
          <w:szCs w:val="28"/>
        </w:rPr>
        <w:t xml:space="preserve">. </w:t>
      </w:r>
      <w:r w:rsidRPr="00F06851">
        <w:rPr>
          <w:rFonts w:cs="TimesNewRomanPSMT"/>
          <w:sz w:val="28"/>
          <w:szCs w:val="28"/>
        </w:rPr>
        <w:t>Кроме того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банкам постоянно необходимо рационально управлять текущей ликвидностью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что бы быть в состоянии выполнять текущие расчетно-денежные поручения клиентов</w:t>
      </w:r>
      <w:r w:rsidR="00F06851">
        <w:rPr>
          <w:rFonts w:cs="TimesNewRomanPSMT"/>
          <w:sz w:val="28"/>
          <w:szCs w:val="28"/>
        </w:rPr>
        <w:t xml:space="preserve">. </w:t>
      </w:r>
      <w:r w:rsidRPr="00F06851">
        <w:rPr>
          <w:rFonts w:cs="TimesNewRomanPSMT"/>
          <w:sz w:val="28"/>
          <w:szCs w:val="28"/>
        </w:rPr>
        <w:t>В связи с этим операции</w:t>
      </w:r>
      <w:r w:rsidR="00F06851" w:rsidRPr="00F06851">
        <w:rPr>
          <w:rFonts w:cs="TimesNewRomanPSMT"/>
          <w:sz w:val="28"/>
          <w:szCs w:val="28"/>
        </w:rPr>
        <w:t xml:space="preserve"> </w:t>
      </w:r>
      <w:r w:rsidRPr="00F06851">
        <w:rPr>
          <w:rFonts w:cs="TimesNewRomanPSMT"/>
          <w:sz w:val="28"/>
          <w:szCs w:val="28"/>
        </w:rPr>
        <w:t>банков на рынке ценных бумаг занимают лишь особое место в структуре активов и не могут удовлетворить растущие потребности рынка</w:t>
      </w:r>
      <w:r w:rsidR="00F06851">
        <w:rPr>
          <w:rFonts w:cs="TimesNewRomanPSMT"/>
          <w:sz w:val="28"/>
          <w:szCs w:val="28"/>
        </w:rPr>
        <w:t xml:space="preserve">. </w:t>
      </w:r>
    </w:p>
    <w:p w:rsidR="00F06851" w:rsidRDefault="00770100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Банки имеют собственную разветвленную инфраструктуру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в которую могут входить управляющие компании фондов; брокерские конторы; фонды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работающие на валютном рынке; подразделения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занятые управлением активами и др</w:t>
      </w:r>
      <w:r w:rsidR="00E0020F" w:rsidRPr="00F06851">
        <w:rPr>
          <w:rStyle w:val="a8"/>
          <w:rFonts w:cs="TimesNewRomanPSMT"/>
          <w:sz w:val="28"/>
          <w:szCs w:val="28"/>
        </w:rPr>
        <w:footnoteReference w:customMarkFollows="1" w:id="2"/>
        <w:t>2</w:t>
      </w:r>
      <w:r w:rsidR="00F06851">
        <w:rPr>
          <w:rFonts w:cs="TimesNewRomanPSMT"/>
          <w:sz w:val="28"/>
          <w:szCs w:val="28"/>
        </w:rPr>
        <w:t xml:space="preserve">. </w:t>
      </w:r>
    </w:p>
    <w:p w:rsidR="00F06851" w:rsidRDefault="003164E0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Century Gothic"/>
          <w:sz w:val="28"/>
          <w:szCs w:val="28"/>
        </w:rPr>
      </w:pPr>
      <w:r w:rsidRPr="00F06851">
        <w:rPr>
          <w:rFonts w:cs="Century Gothic"/>
          <w:sz w:val="28"/>
          <w:szCs w:val="28"/>
        </w:rPr>
        <w:t>Ценная бумага-это</w:t>
      </w:r>
      <w:r w:rsidRPr="00F06851">
        <w:rPr>
          <w:sz w:val="28"/>
          <w:szCs w:val="28"/>
        </w:rPr>
        <w:t xml:space="preserve"> </w:t>
      </w:r>
      <w:r w:rsidRPr="00F06851">
        <w:rPr>
          <w:rFonts w:cs="Century Gothic"/>
          <w:sz w:val="28"/>
          <w:szCs w:val="28"/>
        </w:rPr>
        <w:t>финансовый инструмент</w:t>
      </w:r>
      <w:r w:rsidR="00F06851">
        <w:rPr>
          <w:rFonts w:cs="Century Gothic"/>
          <w:sz w:val="28"/>
          <w:szCs w:val="28"/>
        </w:rPr>
        <w:t xml:space="preserve">, </w:t>
      </w:r>
      <w:r w:rsidRPr="00F06851">
        <w:rPr>
          <w:rFonts w:cs="Century Gothic"/>
          <w:sz w:val="28"/>
          <w:szCs w:val="28"/>
        </w:rPr>
        <w:t>выпускаемый компаниями</w:t>
      </w:r>
      <w:r w:rsidR="00F06851">
        <w:rPr>
          <w:rFonts w:cs="Century Gothic"/>
          <w:sz w:val="28"/>
          <w:szCs w:val="28"/>
        </w:rPr>
        <w:t xml:space="preserve">, </w:t>
      </w:r>
      <w:r w:rsidRPr="00F06851">
        <w:rPr>
          <w:rFonts w:cs="Century Gothic"/>
          <w:sz w:val="28"/>
          <w:szCs w:val="28"/>
        </w:rPr>
        <w:t>финансовыми и государственными организациями как средство займов денег и получения нового капитала</w:t>
      </w:r>
      <w:r w:rsidR="00F06851">
        <w:rPr>
          <w:rFonts w:cs="Century Gothic"/>
          <w:sz w:val="28"/>
          <w:szCs w:val="28"/>
        </w:rPr>
        <w:t xml:space="preserve">. </w:t>
      </w:r>
    </w:p>
    <w:p w:rsidR="00770100" w:rsidRPr="00F06851" w:rsidRDefault="00E0020F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Century Gothic"/>
          <w:sz w:val="28"/>
          <w:szCs w:val="28"/>
        </w:rPr>
      </w:pPr>
      <w:r w:rsidRPr="00F06851">
        <w:rPr>
          <w:rFonts w:cs="Century Gothic"/>
          <w:sz w:val="28"/>
          <w:szCs w:val="28"/>
        </w:rPr>
        <w:t>Брокерские конторы</w:t>
      </w:r>
      <w:r w:rsidR="00F06851" w:rsidRPr="00F06851">
        <w:rPr>
          <w:rFonts w:cs="Century Gothic"/>
          <w:sz w:val="28"/>
          <w:szCs w:val="28"/>
        </w:rPr>
        <w:t xml:space="preserve"> </w:t>
      </w:r>
      <w:r w:rsidRPr="00F06851">
        <w:rPr>
          <w:rFonts w:cs="Century Gothic"/>
          <w:sz w:val="28"/>
          <w:szCs w:val="28"/>
        </w:rPr>
        <w:t>-</w:t>
      </w:r>
      <w:r w:rsidR="00F06851" w:rsidRPr="00F06851">
        <w:rPr>
          <w:rFonts w:cs="Century Gothic"/>
          <w:sz w:val="28"/>
          <w:szCs w:val="28"/>
        </w:rPr>
        <w:t xml:space="preserve"> </w:t>
      </w:r>
      <w:r w:rsidRPr="00F06851">
        <w:rPr>
          <w:rFonts w:cs="Century Gothic"/>
          <w:sz w:val="28"/>
          <w:szCs w:val="28"/>
        </w:rPr>
        <w:t>это</w:t>
      </w:r>
      <w:r w:rsidRPr="00F06851">
        <w:rPr>
          <w:rFonts w:cs="Century Gothic"/>
          <w:sz w:val="28"/>
        </w:rPr>
        <w:t xml:space="preserve"> </w:t>
      </w:r>
      <w:r w:rsidRPr="00F06851">
        <w:rPr>
          <w:rFonts w:cs="Century Gothic"/>
          <w:sz w:val="28"/>
          <w:szCs w:val="28"/>
        </w:rPr>
        <w:t xml:space="preserve">официальное </w:t>
      </w:r>
      <w:r w:rsidRPr="00570E55">
        <w:rPr>
          <w:rFonts w:cs="Century Gothic"/>
          <w:sz w:val="28"/>
          <w:szCs w:val="28"/>
        </w:rPr>
        <w:t>объединение</w:t>
      </w:r>
      <w:r w:rsidRPr="00F06851">
        <w:rPr>
          <w:rFonts w:cs="Century Gothic"/>
          <w:sz w:val="28"/>
          <w:szCs w:val="28"/>
        </w:rPr>
        <w:t xml:space="preserve"> нескольких брокеров</w:t>
      </w:r>
      <w:r w:rsidR="00F06851">
        <w:rPr>
          <w:rFonts w:cs="Century Gothic"/>
          <w:sz w:val="28"/>
          <w:szCs w:val="28"/>
        </w:rPr>
        <w:t xml:space="preserve">, </w:t>
      </w:r>
      <w:r w:rsidRPr="00570E55">
        <w:rPr>
          <w:rFonts w:cs="Century Gothic"/>
          <w:sz w:val="28"/>
          <w:szCs w:val="28"/>
        </w:rPr>
        <w:t>брокерское</w:t>
      </w:r>
      <w:r w:rsidRPr="00F06851">
        <w:rPr>
          <w:rFonts w:cs="Century Gothic"/>
          <w:sz w:val="28"/>
          <w:szCs w:val="28"/>
        </w:rPr>
        <w:t xml:space="preserve"> </w:t>
      </w:r>
      <w:r w:rsidRPr="00570E55">
        <w:rPr>
          <w:rFonts w:cs="Century Gothic"/>
          <w:sz w:val="28"/>
          <w:szCs w:val="28"/>
        </w:rPr>
        <w:t>представительство</w:t>
      </w:r>
      <w:r w:rsidR="00F06851">
        <w:rPr>
          <w:rFonts w:cs="Century Gothic"/>
          <w:sz w:val="28"/>
          <w:szCs w:val="28"/>
        </w:rPr>
        <w:t xml:space="preserve">, </w:t>
      </w:r>
      <w:r w:rsidRPr="00F06851">
        <w:rPr>
          <w:rFonts w:cs="Century Gothic"/>
          <w:sz w:val="28"/>
          <w:szCs w:val="28"/>
        </w:rPr>
        <w:t>созданные для совместного оказания посреднических услуг при проведении торговых</w:t>
      </w:r>
      <w:r w:rsidR="00F06851">
        <w:rPr>
          <w:rFonts w:cs="Century Gothic"/>
          <w:sz w:val="28"/>
          <w:szCs w:val="28"/>
        </w:rPr>
        <w:t xml:space="preserve">, </w:t>
      </w:r>
      <w:r w:rsidRPr="00F06851">
        <w:rPr>
          <w:rFonts w:cs="Century Gothic"/>
          <w:sz w:val="28"/>
          <w:szCs w:val="28"/>
        </w:rPr>
        <w:t>биржевых операций</w:t>
      </w:r>
      <w:r w:rsidR="00F06851">
        <w:rPr>
          <w:rFonts w:cs="Century Gothic"/>
          <w:sz w:val="28"/>
          <w:szCs w:val="28"/>
        </w:rPr>
        <w:t xml:space="preserve">. </w:t>
      </w:r>
    </w:p>
    <w:p w:rsidR="00770100" w:rsidRPr="00F06851" w:rsidRDefault="00E0020F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Следовательно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из сказанного выше можно сделать следующие выводы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что</w:t>
      </w:r>
      <w:r w:rsidR="00F06851" w:rsidRPr="00F06851">
        <w:rPr>
          <w:rFonts w:cs="TimesNewRomanPSMT"/>
          <w:sz w:val="28"/>
          <w:szCs w:val="28"/>
        </w:rPr>
        <w:t xml:space="preserve"> </w:t>
      </w:r>
      <w:r w:rsidRPr="00F06851">
        <w:rPr>
          <w:rFonts w:cs="TimesNewRomanPSMT"/>
          <w:sz w:val="28"/>
          <w:szCs w:val="28"/>
        </w:rPr>
        <w:t xml:space="preserve">отличии банков от других участников рынка ценных бумаг состоит </w:t>
      </w:r>
      <w:r w:rsidR="00B2568C" w:rsidRPr="00F06851">
        <w:rPr>
          <w:rFonts w:cs="TimesNewRomanPSMT"/>
          <w:sz w:val="28"/>
          <w:szCs w:val="28"/>
        </w:rPr>
        <w:t>в</w:t>
      </w:r>
      <w:r w:rsidR="00F06851">
        <w:rPr>
          <w:rFonts w:cs="TimesNewRomanPSMT"/>
          <w:sz w:val="28"/>
          <w:szCs w:val="28"/>
        </w:rPr>
        <w:t xml:space="preserve"> выпол</w:t>
      </w:r>
      <w:r w:rsidR="00B2568C" w:rsidRPr="00F06851">
        <w:rPr>
          <w:rFonts w:cs="TimesNewRomanPSMT"/>
          <w:sz w:val="28"/>
          <w:szCs w:val="28"/>
        </w:rPr>
        <w:t>нением ими основных банковских операций:</w:t>
      </w:r>
    </w:p>
    <w:p w:rsidR="00B2568C" w:rsidRPr="00F06851" w:rsidRDefault="00B2568C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- привлечение временно свободных денежных средств юридических лиц и</w:t>
      </w:r>
      <w:r w:rsidR="00F06851" w:rsidRPr="00F06851">
        <w:rPr>
          <w:rFonts w:cs="TimesNewRomanPSMT"/>
          <w:sz w:val="28"/>
          <w:szCs w:val="28"/>
        </w:rPr>
        <w:t xml:space="preserve"> </w:t>
      </w:r>
      <w:r w:rsidRPr="00F06851">
        <w:rPr>
          <w:rFonts w:cs="TimesNewRomanPSMT"/>
          <w:sz w:val="28"/>
          <w:szCs w:val="28"/>
        </w:rPr>
        <w:t>сбережений физических лиц и обеспечение их прироста;</w:t>
      </w:r>
    </w:p>
    <w:p w:rsidR="00770100" w:rsidRPr="00F06851" w:rsidRDefault="00B2568C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-</w:t>
      </w:r>
      <w:r w:rsidR="00F06851">
        <w:rPr>
          <w:rFonts w:cs="TimesNewRomanPSMT"/>
          <w:sz w:val="28"/>
          <w:szCs w:val="28"/>
        </w:rPr>
        <w:t xml:space="preserve">. </w:t>
      </w:r>
      <w:r w:rsidRPr="00F06851">
        <w:rPr>
          <w:rFonts w:cs="TimesNewRomanPSMT"/>
          <w:sz w:val="28"/>
          <w:szCs w:val="28"/>
        </w:rPr>
        <w:t>масштабное кредитование хозяйственных</w:t>
      </w:r>
      <w:r w:rsidR="00F06851">
        <w:rPr>
          <w:rFonts w:cs="TimesNewRomanPSMT"/>
          <w:sz w:val="28"/>
          <w:szCs w:val="28"/>
        </w:rPr>
        <w:t xml:space="preserve"> субъектов из нефинансового сек</w:t>
      </w:r>
      <w:r w:rsidRPr="00F06851">
        <w:rPr>
          <w:rFonts w:cs="TimesNewRomanPSMT"/>
          <w:sz w:val="28"/>
          <w:szCs w:val="28"/>
        </w:rPr>
        <w:t>тора экономики</w:t>
      </w:r>
      <w:r w:rsidR="00F06851">
        <w:rPr>
          <w:rFonts w:cs="TimesNewRomanPSMT"/>
          <w:sz w:val="28"/>
          <w:szCs w:val="28"/>
        </w:rPr>
        <w:t xml:space="preserve">. </w:t>
      </w:r>
    </w:p>
    <w:p w:rsidR="00F06851" w:rsidRDefault="00B2568C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- перераспределение денежных средств по счетам юридических и физических</w:t>
      </w:r>
      <w:r w:rsidR="00485FE0" w:rsidRPr="00485FE0">
        <w:rPr>
          <w:rFonts w:cs="TimesNewRomanPSMT"/>
          <w:sz w:val="28"/>
          <w:szCs w:val="28"/>
        </w:rPr>
        <w:t xml:space="preserve"> </w:t>
      </w:r>
      <w:r w:rsidRPr="00F06851">
        <w:rPr>
          <w:rFonts w:cs="TimesNewRomanPSMT"/>
          <w:sz w:val="28"/>
          <w:szCs w:val="28"/>
        </w:rPr>
        <w:t>лиц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т</w:t>
      </w:r>
      <w:r w:rsidR="00F06851">
        <w:rPr>
          <w:rFonts w:cs="TimesNewRomanPSMT"/>
          <w:sz w:val="28"/>
          <w:szCs w:val="28"/>
        </w:rPr>
        <w:t xml:space="preserve">. </w:t>
      </w:r>
      <w:r w:rsidRPr="00F06851">
        <w:rPr>
          <w:rFonts w:cs="TimesNewRomanPSMT"/>
          <w:sz w:val="28"/>
          <w:szCs w:val="28"/>
        </w:rPr>
        <w:t>е</w:t>
      </w:r>
      <w:r w:rsidR="00F06851">
        <w:rPr>
          <w:rFonts w:cs="TimesNewRomanPSMT"/>
          <w:sz w:val="28"/>
          <w:szCs w:val="28"/>
        </w:rPr>
        <w:t xml:space="preserve">. </w:t>
      </w:r>
      <w:r w:rsidRPr="00F06851">
        <w:rPr>
          <w:rFonts w:cs="TimesNewRomanPSMT"/>
          <w:sz w:val="28"/>
          <w:szCs w:val="28"/>
        </w:rPr>
        <w:t>осуществление расчетно-кассового обслуживания</w:t>
      </w:r>
      <w:r w:rsidR="00F06851">
        <w:rPr>
          <w:rFonts w:cs="TimesNewRomanPSMT"/>
          <w:sz w:val="28"/>
          <w:szCs w:val="28"/>
        </w:rPr>
        <w:t xml:space="preserve">. </w:t>
      </w:r>
    </w:p>
    <w:p w:rsidR="00770100" w:rsidRPr="00F06851" w:rsidRDefault="002E5287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Основными целями деятельности банков на рынке ценных бумаг</w:t>
      </w:r>
      <w:r w:rsidR="00953A86" w:rsidRPr="00F06851">
        <w:rPr>
          <w:rFonts w:cs="TimesNewRomanPSMT"/>
          <w:sz w:val="28"/>
          <w:szCs w:val="28"/>
        </w:rPr>
        <w:t xml:space="preserve"> являются:</w:t>
      </w:r>
    </w:p>
    <w:p w:rsidR="00953A86" w:rsidRPr="00F06851" w:rsidRDefault="00953A86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-привлечение дополнительных денежных ресурсов для традиционной кредитной и расчетной деятельности на основе эмиссии ценных бумаг;</w:t>
      </w:r>
    </w:p>
    <w:p w:rsidR="00953A86" w:rsidRPr="00F06851" w:rsidRDefault="00953A86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-получение прибыли от собственных инвестиций в ценные бумаги за счет выплачиваемых банку процентов и дивидендов и роста курсовой стоимости ценных бумаг;</w:t>
      </w:r>
    </w:p>
    <w:p w:rsidR="00953A86" w:rsidRPr="00F06851" w:rsidRDefault="00953A86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-получение прибыли от предоставления клиентам услуг по операциям с ценными бумагами;</w:t>
      </w:r>
    </w:p>
    <w:p w:rsidR="00953A86" w:rsidRPr="00F06851" w:rsidRDefault="00953A86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-конкурентное расширение сферы влияния банка и привлечение н</w:t>
      </w:r>
      <w:r w:rsidR="0013224A" w:rsidRPr="00F06851">
        <w:rPr>
          <w:rFonts w:cs="TimesNewRomanPSMT"/>
          <w:sz w:val="28"/>
          <w:szCs w:val="28"/>
        </w:rPr>
        <w:t>о</w:t>
      </w:r>
      <w:r w:rsidRPr="00F06851">
        <w:rPr>
          <w:rFonts w:cs="TimesNewRomanPSMT"/>
          <w:sz w:val="28"/>
          <w:szCs w:val="28"/>
        </w:rPr>
        <w:t>вой клиентуры за счет участия в капиталах предприятий и организация(через участие в портфелях и ценных бумаг)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учреждения подконтрольных финансовых структур;</w:t>
      </w:r>
    </w:p>
    <w:p w:rsidR="00953A86" w:rsidRPr="00F06851" w:rsidRDefault="00953A86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-доступ к дефицитным ресурсам через те ценные бумаги</w:t>
      </w:r>
      <w:r w:rsidR="00F06851">
        <w:rPr>
          <w:rFonts w:cs="TimesNewRomanPSMT"/>
          <w:sz w:val="28"/>
          <w:szCs w:val="28"/>
        </w:rPr>
        <w:t xml:space="preserve">. </w:t>
      </w:r>
      <w:r w:rsidRPr="00F06851">
        <w:rPr>
          <w:rFonts w:cs="TimesNewRomanPSMT"/>
          <w:sz w:val="28"/>
          <w:szCs w:val="28"/>
        </w:rPr>
        <w:t>которые дают такое право и собственником которых становится банк;</w:t>
      </w:r>
    </w:p>
    <w:p w:rsidR="00953A86" w:rsidRPr="00F06851" w:rsidRDefault="00953A86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-поддержание необходимого запаса ликвидности при обеспечении доходности вложений и ликвидные средства банка;</w:t>
      </w:r>
    </w:p>
    <w:p w:rsidR="00770100" w:rsidRPr="00F06851" w:rsidRDefault="008D1187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Century Gothic"/>
          <w:sz w:val="28"/>
          <w:szCs w:val="28"/>
        </w:rPr>
        <w:t>Ликвидность-</w:t>
      </w:r>
      <w:r w:rsidRPr="00F06851">
        <w:rPr>
          <w:rFonts w:cs="Century Gothic"/>
          <w:sz w:val="28"/>
        </w:rPr>
        <w:t>способность активов быть быстро проданными по цене</w:t>
      </w:r>
      <w:r w:rsidR="00F06851">
        <w:rPr>
          <w:rFonts w:cs="Century Gothic"/>
          <w:sz w:val="28"/>
        </w:rPr>
        <w:t xml:space="preserve">, </w:t>
      </w:r>
      <w:r w:rsidRPr="00F06851">
        <w:rPr>
          <w:rFonts w:cs="Century Gothic"/>
          <w:sz w:val="28"/>
        </w:rPr>
        <w:t>близкой к рыночной</w:t>
      </w:r>
      <w:r w:rsidR="00F06851">
        <w:rPr>
          <w:rFonts w:cs="Century Gothic"/>
          <w:sz w:val="28"/>
        </w:rPr>
        <w:t xml:space="preserve">. </w:t>
      </w:r>
    </w:p>
    <w:p w:rsidR="00F06851" w:rsidRDefault="008D1187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-получение дополнительных прибылей от умеренной спикуляции ценными бумагами и страхования финансовых рисков клиентов через операции с производными ценными бумагами</w:t>
      </w:r>
      <w:r w:rsidR="00F06851">
        <w:rPr>
          <w:rFonts w:cs="TimesNewRomanPSMT"/>
          <w:sz w:val="28"/>
          <w:szCs w:val="28"/>
        </w:rPr>
        <w:t xml:space="preserve">. </w:t>
      </w:r>
    </w:p>
    <w:p w:rsidR="003164E0" w:rsidRPr="00F06851" w:rsidRDefault="003164E0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Что касается конкретных видов операций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то их выбор зависит от типа политики на рынке ценных бумаг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которую выбирает для себя коммерческий банк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Банк может осуществлять на рынке ценных бумаг следующие виды деятельности:</w:t>
      </w:r>
    </w:p>
    <w:p w:rsidR="003164E0" w:rsidRPr="00F06851" w:rsidRDefault="003164E0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-выпускать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продавать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покупать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хранить ценные бумаги</w:t>
      </w:r>
    </w:p>
    <w:p w:rsidR="003164E0" w:rsidRPr="00F06851" w:rsidRDefault="003164E0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-вкладывать собственные и заемные средства в ценные бумаги</w:t>
      </w:r>
    </w:p>
    <w:p w:rsidR="003164E0" w:rsidRPr="00F06851" w:rsidRDefault="003164E0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-осуществлять операции по доверительному управлению ценными бумагами</w:t>
      </w:r>
    </w:p>
    <w:p w:rsidR="003164E0" w:rsidRPr="00F06851" w:rsidRDefault="003164E0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-выступать на рынке ценных бумаг в роли финансового брокера:</w:t>
      </w:r>
      <w:r w:rsidR="00485FE0" w:rsidRPr="00485FE0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выполнять посреднические операции куплю-продажу бумаг за счет средств клиенты и по его поручению</w:t>
      </w:r>
      <w:r w:rsidR="00F06851">
        <w:rPr>
          <w:sz w:val="28"/>
          <w:szCs w:val="28"/>
        </w:rPr>
        <w:t xml:space="preserve">. </w:t>
      </w:r>
    </w:p>
    <w:p w:rsidR="003164E0" w:rsidRPr="00F06851" w:rsidRDefault="003164E0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-осуществлять инвестиционное консультирование по вопросам выпуска и обращения бумаг</w:t>
      </w:r>
      <w:r w:rsidR="00F06851">
        <w:rPr>
          <w:sz w:val="28"/>
          <w:szCs w:val="28"/>
        </w:rPr>
        <w:t xml:space="preserve">. </w:t>
      </w:r>
    </w:p>
    <w:p w:rsidR="003164E0" w:rsidRPr="00F06851" w:rsidRDefault="003164E0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-выступать в качестве инвестиционной компании</w:t>
      </w:r>
      <w:r w:rsidR="00485FE0" w:rsidRPr="00485FE0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-</w:t>
      </w:r>
      <w:r w:rsidR="00485FE0" w:rsidRPr="00485FE0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организовывать выпуски ценных бумаг</w:t>
      </w:r>
      <w:r w:rsidR="00F06851">
        <w:rPr>
          <w:sz w:val="28"/>
          <w:szCs w:val="28"/>
        </w:rPr>
        <w:t xml:space="preserve">. </w:t>
      </w:r>
    </w:p>
    <w:p w:rsidR="003164E0" w:rsidRPr="00F06851" w:rsidRDefault="003164E0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-выдавать гарантии по размещению ценных бумаг третьих лиц</w:t>
      </w:r>
      <w:r w:rsidR="00F06851">
        <w:rPr>
          <w:sz w:val="28"/>
          <w:szCs w:val="28"/>
        </w:rPr>
        <w:t xml:space="preserve">. </w:t>
      </w:r>
    </w:p>
    <w:p w:rsidR="00F06851" w:rsidRDefault="006F3F75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 xml:space="preserve">Основным </w:t>
      </w:r>
      <w:r w:rsidR="00485FE0" w:rsidRPr="00F06851">
        <w:rPr>
          <w:sz w:val="28"/>
          <w:szCs w:val="28"/>
        </w:rPr>
        <w:t>показателем</w:t>
      </w:r>
      <w:r w:rsidR="00F06851">
        <w:rPr>
          <w:sz w:val="28"/>
          <w:szCs w:val="28"/>
        </w:rPr>
        <w:t xml:space="preserve">, </w:t>
      </w:r>
      <w:r w:rsidR="00485FE0" w:rsidRPr="00F06851">
        <w:rPr>
          <w:sz w:val="28"/>
          <w:szCs w:val="28"/>
        </w:rPr>
        <w:t>характеризующим</w:t>
      </w:r>
      <w:r w:rsidRPr="00F06851">
        <w:rPr>
          <w:sz w:val="28"/>
          <w:szCs w:val="28"/>
        </w:rPr>
        <w:t xml:space="preserve"> эффективность в ценные бумаги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является чистая доходность портфеля ценных бумаг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т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е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разница между доходами по ценным бумагам и расходам по ним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отнесенная к объему вложений</w:t>
      </w:r>
      <w:r w:rsidR="00485FE0" w:rsidRPr="00485FE0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 xml:space="preserve">(в годовом </w:t>
      </w:r>
      <w:r w:rsidR="00485FE0" w:rsidRPr="00F06851">
        <w:rPr>
          <w:sz w:val="28"/>
          <w:szCs w:val="28"/>
        </w:rPr>
        <w:t>исчислении</w:t>
      </w:r>
      <w:r w:rsidRPr="00F06851">
        <w:rPr>
          <w:sz w:val="28"/>
          <w:szCs w:val="28"/>
        </w:rPr>
        <w:t>)</w:t>
      </w:r>
      <w:r w:rsidR="00F06851">
        <w:rPr>
          <w:sz w:val="28"/>
          <w:szCs w:val="28"/>
        </w:rPr>
        <w:t xml:space="preserve">. </w:t>
      </w:r>
      <w:r w:rsidR="00061A5D" w:rsidRPr="00F06851">
        <w:rPr>
          <w:rStyle w:val="a8"/>
          <w:sz w:val="28"/>
          <w:szCs w:val="28"/>
        </w:rPr>
        <w:footnoteReference w:customMarkFollows="1" w:id="3"/>
        <w:t>3</w:t>
      </w:r>
      <w:r w:rsidRPr="00F06851">
        <w:rPr>
          <w:sz w:val="28"/>
          <w:szCs w:val="28"/>
        </w:rPr>
        <w:t>Таким образом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банки практически не ограничены в проведении операций на рынке ценных бумаг и могут осуществлять почти все возможные операции с ценными бумагами за свой счет и по поручению</w:t>
      </w:r>
      <w:r w:rsidR="00F06851">
        <w:rPr>
          <w:sz w:val="28"/>
          <w:szCs w:val="28"/>
        </w:rPr>
        <w:t xml:space="preserve">. </w:t>
      </w:r>
    </w:p>
    <w:p w:rsidR="00485FE0" w:rsidRPr="00D976DD" w:rsidRDefault="00485FE0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b/>
          <w:bCs/>
          <w:sz w:val="28"/>
          <w:szCs w:val="28"/>
        </w:rPr>
      </w:pPr>
    </w:p>
    <w:p w:rsidR="00F06851" w:rsidRPr="00485FE0" w:rsidRDefault="004D235C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b/>
          <w:bCs/>
          <w:sz w:val="28"/>
          <w:szCs w:val="28"/>
        </w:rPr>
      </w:pPr>
      <w:r w:rsidRPr="00F06851">
        <w:rPr>
          <w:rFonts w:cs="TimesNewRomanPSMT"/>
          <w:b/>
          <w:bCs/>
          <w:sz w:val="28"/>
          <w:szCs w:val="28"/>
        </w:rPr>
        <w:t>1</w:t>
      </w:r>
      <w:r w:rsidR="00485FE0">
        <w:rPr>
          <w:rFonts w:cs="TimesNewRomanPSMT"/>
          <w:b/>
          <w:bCs/>
          <w:sz w:val="28"/>
          <w:szCs w:val="28"/>
        </w:rPr>
        <w:t>.</w:t>
      </w:r>
      <w:r w:rsidRPr="00F06851">
        <w:rPr>
          <w:rFonts w:cs="TimesNewRomanPSMT"/>
          <w:b/>
          <w:bCs/>
          <w:sz w:val="28"/>
          <w:szCs w:val="28"/>
        </w:rPr>
        <w:t>2 Государственное р</w:t>
      </w:r>
      <w:r w:rsidR="000B7A21" w:rsidRPr="00F06851">
        <w:rPr>
          <w:rFonts w:cs="TimesNewRomanPSMT"/>
          <w:b/>
          <w:bCs/>
          <w:sz w:val="28"/>
          <w:szCs w:val="28"/>
        </w:rPr>
        <w:t>егулирование деятельности банков на рынке ценных бумаг</w:t>
      </w:r>
    </w:p>
    <w:p w:rsidR="00485FE0" w:rsidRPr="00485FE0" w:rsidRDefault="00485FE0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</w:p>
    <w:p w:rsidR="00C568B7" w:rsidRPr="00F06851" w:rsidRDefault="00C54331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Коммерческие банки в России как универсальные кредитно-финансовые инструменты являются участниками рынка ценных бумаг</w:t>
      </w:r>
      <w:r w:rsidR="00F06851">
        <w:rPr>
          <w:rFonts w:cs="TimesNewRomanPSMT"/>
          <w:sz w:val="28"/>
          <w:szCs w:val="28"/>
        </w:rPr>
        <w:t xml:space="preserve">. </w:t>
      </w:r>
      <w:r w:rsidRPr="00F06851">
        <w:rPr>
          <w:rFonts w:cs="TimesNewRomanPSMT"/>
          <w:sz w:val="28"/>
          <w:szCs w:val="28"/>
        </w:rPr>
        <w:t>Они осуществляют на рынке ценных бумаг деятельность в качестве финансовых посредников</w:t>
      </w:r>
      <w:r w:rsidR="00F06851">
        <w:rPr>
          <w:rFonts w:cs="TimesNewRomanPSMT"/>
          <w:sz w:val="28"/>
          <w:szCs w:val="28"/>
        </w:rPr>
        <w:t xml:space="preserve"> </w:t>
      </w:r>
      <w:r w:rsidRPr="00F06851">
        <w:rPr>
          <w:rFonts w:cs="TimesNewRomanPSMT"/>
          <w:sz w:val="28"/>
          <w:szCs w:val="28"/>
        </w:rPr>
        <w:t>и профессиональных участников</w:t>
      </w:r>
      <w:r w:rsidR="00F06851">
        <w:rPr>
          <w:rFonts w:cs="TimesNewRomanPSMT"/>
          <w:sz w:val="28"/>
          <w:szCs w:val="28"/>
        </w:rPr>
        <w:t xml:space="preserve">. </w:t>
      </w:r>
      <w:r w:rsidRPr="00F06851">
        <w:rPr>
          <w:rFonts w:cs="TimesNewRomanPSMT"/>
          <w:sz w:val="28"/>
          <w:szCs w:val="28"/>
        </w:rPr>
        <w:t>Как профессиональные участники коммерческие банки могут осуществлять деятельность в качестве финансовых брокеров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дилеров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деятельность по размещению</w:t>
      </w:r>
      <w:r w:rsidR="00B72FB4" w:rsidRPr="00F06851">
        <w:rPr>
          <w:rFonts w:cs="TimesNewRomanPSMT"/>
          <w:sz w:val="28"/>
          <w:szCs w:val="28"/>
        </w:rPr>
        <w:t xml:space="preserve"> ценных бумаг</w:t>
      </w:r>
      <w:r w:rsidR="00F06851">
        <w:rPr>
          <w:rFonts w:cs="TimesNewRomanPSMT"/>
          <w:sz w:val="28"/>
          <w:szCs w:val="28"/>
        </w:rPr>
        <w:t xml:space="preserve">, </w:t>
      </w:r>
      <w:r w:rsidR="00B72FB4" w:rsidRPr="00F06851">
        <w:rPr>
          <w:rFonts w:cs="TimesNewRomanPSMT"/>
          <w:sz w:val="28"/>
          <w:szCs w:val="28"/>
        </w:rPr>
        <w:t>деятельность по управлению ценными бумагами</w:t>
      </w:r>
      <w:r w:rsidR="00F06851">
        <w:rPr>
          <w:rFonts w:cs="TimesNewRomanPSMT"/>
          <w:sz w:val="28"/>
          <w:szCs w:val="28"/>
        </w:rPr>
        <w:t xml:space="preserve">, </w:t>
      </w:r>
      <w:r w:rsidR="00B72FB4" w:rsidRPr="00F06851">
        <w:rPr>
          <w:rFonts w:cs="TimesNewRomanPSMT"/>
          <w:sz w:val="28"/>
          <w:szCs w:val="28"/>
        </w:rPr>
        <w:t>клиринговую деятельность</w:t>
      </w:r>
      <w:r w:rsidR="00F06851">
        <w:rPr>
          <w:rFonts w:cs="TimesNewRomanPSMT"/>
          <w:sz w:val="28"/>
          <w:szCs w:val="28"/>
        </w:rPr>
        <w:t xml:space="preserve">, </w:t>
      </w:r>
      <w:r w:rsidR="00B72FB4" w:rsidRPr="00F06851">
        <w:rPr>
          <w:rFonts w:cs="TimesNewRomanPSMT"/>
          <w:sz w:val="28"/>
          <w:szCs w:val="28"/>
        </w:rPr>
        <w:t>депозитарную деятельность</w:t>
      </w:r>
      <w:r w:rsidR="00F06851">
        <w:rPr>
          <w:rFonts w:cs="TimesNewRomanPSMT"/>
          <w:sz w:val="28"/>
          <w:szCs w:val="28"/>
        </w:rPr>
        <w:t xml:space="preserve">. </w:t>
      </w:r>
      <w:r w:rsidR="00B72FB4" w:rsidRPr="00F06851">
        <w:rPr>
          <w:rStyle w:val="a8"/>
          <w:sz w:val="28"/>
          <w:szCs w:val="28"/>
        </w:rPr>
        <w:footnoteReference w:customMarkFollows="1" w:id="4"/>
        <w:t>4</w:t>
      </w:r>
    </w:p>
    <w:p w:rsidR="00770100" w:rsidRPr="00F06851" w:rsidRDefault="00B72FB4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Century Gothic"/>
          <w:sz w:val="28"/>
          <w:szCs w:val="28"/>
        </w:rPr>
      </w:pPr>
      <w:r w:rsidRPr="00F06851">
        <w:rPr>
          <w:rFonts w:cs="Century Gothic"/>
          <w:sz w:val="28"/>
          <w:szCs w:val="28"/>
        </w:rPr>
        <w:t>Дилер -</w:t>
      </w:r>
      <w:r w:rsidR="00485FE0" w:rsidRPr="00485FE0">
        <w:rPr>
          <w:rFonts w:cs="Century Gothic"/>
          <w:sz w:val="28"/>
          <w:szCs w:val="28"/>
        </w:rPr>
        <w:t xml:space="preserve"> </w:t>
      </w:r>
      <w:r w:rsidRPr="00F06851">
        <w:rPr>
          <w:rFonts w:cs="Century Gothic"/>
          <w:sz w:val="28"/>
          <w:szCs w:val="28"/>
        </w:rPr>
        <w:t>это</w:t>
      </w:r>
      <w:r w:rsidR="00F06851">
        <w:rPr>
          <w:rFonts w:cs="Century Gothic"/>
          <w:sz w:val="28"/>
          <w:szCs w:val="28"/>
        </w:rPr>
        <w:t xml:space="preserve"> </w:t>
      </w:r>
      <w:r w:rsidRPr="00570E55">
        <w:rPr>
          <w:rFonts w:cs="Century Gothic"/>
          <w:sz w:val="28"/>
          <w:szCs w:val="28"/>
        </w:rPr>
        <w:t>профессиональный участник рынка ценных бумаг</w:t>
      </w:r>
      <w:r w:rsidR="00F06851">
        <w:rPr>
          <w:rFonts w:cs="Century Gothic"/>
          <w:sz w:val="28"/>
          <w:szCs w:val="28"/>
        </w:rPr>
        <w:t xml:space="preserve">, </w:t>
      </w:r>
      <w:r w:rsidRPr="00F06851">
        <w:rPr>
          <w:rFonts w:cs="Century Gothic"/>
          <w:sz w:val="28"/>
          <w:szCs w:val="28"/>
        </w:rPr>
        <w:t xml:space="preserve">имеющий право совершать операции с </w:t>
      </w:r>
      <w:r w:rsidRPr="00570E55">
        <w:rPr>
          <w:rFonts w:cs="Century Gothic"/>
          <w:sz w:val="28"/>
          <w:szCs w:val="28"/>
        </w:rPr>
        <w:t>ценными бумагами</w:t>
      </w:r>
      <w:r w:rsidRPr="00F06851">
        <w:rPr>
          <w:rFonts w:cs="Century Gothic"/>
          <w:sz w:val="28"/>
          <w:szCs w:val="28"/>
        </w:rPr>
        <w:t xml:space="preserve"> от своего имени и за свой счёт</w:t>
      </w:r>
      <w:r w:rsidR="00F06851">
        <w:rPr>
          <w:rFonts w:cs="Century Gothic"/>
          <w:sz w:val="28"/>
          <w:szCs w:val="28"/>
        </w:rPr>
        <w:t xml:space="preserve">. </w:t>
      </w:r>
    </w:p>
    <w:p w:rsidR="00F06851" w:rsidRDefault="00B72FB4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Century Gothic"/>
          <w:sz w:val="28"/>
          <w:szCs w:val="28"/>
        </w:rPr>
      </w:pPr>
      <w:r w:rsidRPr="00F06851">
        <w:rPr>
          <w:rFonts w:cs="Century Gothic"/>
          <w:sz w:val="28"/>
          <w:szCs w:val="28"/>
        </w:rPr>
        <w:t>Клиринговая деятельность это - профессиональная деятельность на рынке ценных бумаг по определению взаимных обязательств по сделкам</w:t>
      </w:r>
      <w:r w:rsidR="00F06851">
        <w:rPr>
          <w:rFonts w:cs="Century Gothic"/>
          <w:sz w:val="28"/>
          <w:szCs w:val="28"/>
        </w:rPr>
        <w:t xml:space="preserve">, </w:t>
      </w:r>
      <w:r w:rsidRPr="00F06851">
        <w:rPr>
          <w:rFonts w:cs="Century Gothic"/>
          <w:sz w:val="28"/>
          <w:szCs w:val="28"/>
        </w:rPr>
        <w:t>совершенным на рынке ценных бумаг (сбор</w:t>
      </w:r>
      <w:r w:rsidR="00F06851">
        <w:rPr>
          <w:rFonts w:cs="Century Gothic"/>
          <w:sz w:val="28"/>
          <w:szCs w:val="28"/>
        </w:rPr>
        <w:t xml:space="preserve">, </w:t>
      </w:r>
      <w:r w:rsidRPr="00F06851">
        <w:rPr>
          <w:rFonts w:cs="Century Gothic"/>
          <w:sz w:val="28"/>
          <w:szCs w:val="28"/>
        </w:rPr>
        <w:t>сверка</w:t>
      </w:r>
      <w:r w:rsidR="00F06851">
        <w:rPr>
          <w:rFonts w:cs="Century Gothic"/>
          <w:sz w:val="28"/>
          <w:szCs w:val="28"/>
        </w:rPr>
        <w:t xml:space="preserve">, </w:t>
      </w:r>
      <w:r w:rsidRPr="00F06851">
        <w:rPr>
          <w:rFonts w:cs="Century Gothic"/>
          <w:sz w:val="28"/>
          <w:szCs w:val="28"/>
        </w:rPr>
        <w:t>корректировка информации по сделкам с ценными бумагами и подготовка бухгалтерских документов по ним) и их зачету по поставкам ценных бумаг и расчетам по ним</w:t>
      </w:r>
      <w:r w:rsidR="00F06851">
        <w:rPr>
          <w:rFonts w:cs="Century Gothic"/>
          <w:sz w:val="28"/>
          <w:szCs w:val="28"/>
        </w:rPr>
        <w:t xml:space="preserve">. </w:t>
      </w:r>
    </w:p>
    <w:p w:rsidR="00B72FB4" w:rsidRPr="00F06851" w:rsidRDefault="00B72FB4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Государственное регулир</w:t>
      </w:r>
      <w:r w:rsidR="00DF673D" w:rsidRPr="00F06851">
        <w:rPr>
          <w:sz w:val="28"/>
          <w:szCs w:val="28"/>
        </w:rPr>
        <w:t>ование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рынка ценн</w:t>
      </w:r>
      <w:r w:rsidR="00DF673D" w:rsidRPr="00F06851">
        <w:rPr>
          <w:sz w:val="28"/>
          <w:szCs w:val="28"/>
        </w:rPr>
        <w:t>ых бумаг в России включает в себя следующее:</w:t>
      </w:r>
    </w:p>
    <w:p w:rsidR="00B72FB4" w:rsidRPr="00F06851" w:rsidRDefault="00B72FB4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− установление обязательных т</w:t>
      </w:r>
      <w:r w:rsidR="00DF673D" w:rsidRPr="00F06851">
        <w:rPr>
          <w:sz w:val="28"/>
          <w:szCs w:val="28"/>
        </w:rPr>
        <w:t>ребований к деятельности эмитентов</w:t>
      </w:r>
      <w:r w:rsidR="00F06851">
        <w:rPr>
          <w:sz w:val="28"/>
          <w:szCs w:val="28"/>
        </w:rPr>
        <w:t xml:space="preserve">, </w:t>
      </w:r>
      <w:r w:rsidR="00485FE0">
        <w:rPr>
          <w:sz w:val="28"/>
          <w:szCs w:val="28"/>
        </w:rPr>
        <w:t>профес</w:t>
      </w:r>
      <w:r w:rsidRPr="00F06851">
        <w:rPr>
          <w:sz w:val="28"/>
          <w:szCs w:val="28"/>
        </w:rPr>
        <w:t xml:space="preserve">сиональных участников </w:t>
      </w:r>
      <w:r w:rsidR="00DF673D" w:rsidRPr="00F06851">
        <w:rPr>
          <w:sz w:val="28"/>
          <w:szCs w:val="28"/>
        </w:rPr>
        <w:t>рынка ценных бумаг и ее стандартов;</w:t>
      </w:r>
    </w:p>
    <w:p w:rsidR="00B72FB4" w:rsidRPr="00F06851" w:rsidRDefault="00B72FB4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− регистрацию выпусков эми</w:t>
      </w:r>
      <w:r w:rsidR="00DF673D" w:rsidRPr="00F06851">
        <w:rPr>
          <w:sz w:val="28"/>
          <w:szCs w:val="28"/>
        </w:rPr>
        <w:t>ссионных ценных бумаг и проспектов эмиссии</w:t>
      </w:r>
      <w:r w:rsidR="00485FE0" w:rsidRPr="00485FE0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и контроль за соблюде</w:t>
      </w:r>
      <w:r w:rsidR="00DF673D" w:rsidRPr="00F06851">
        <w:rPr>
          <w:sz w:val="28"/>
          <w:szCs w:val="28"/>
        </w:rPr>
        <w:t>нием эмитентами условий и обязательств</w:t>
      </w:r>
      <w:r w:rsidR="00F06851">
        <w:rPr>
          <w:sz w:val="28"/>
          <w:szCs w:val="28"/>
        </w:rPr>
        <w:t xml:space="preserve">, </w:t>
      </w:r>
      <w:r w:rsidR="00485FE0">
        <w:rPr>
          <w:sz w:val="28"/>
          <w:szCs w:val="28"/>
        </w:rPr>
        <w:t>предусмот</w:t>
      </w:r>
      <w:r w:rsidRPr="00F06851">
        <w:rPr>
          <w:sz w:val="28"/>
          <w:szCs w:val="28"/>
        </w:rPr>
        <w:t>ренных в них;</w:t>
      </w:r>
    </w:p>
    <w:p w:rsidR="00B72FB4" w:rsidRPr="00F06851" w:rsidRDefault="00B72FB4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− лицензирование деятельности профессиональных участников</w:t>
      </w:r>
      <w:r w:rsidR="00DF673D" w:rsidRPr="00F06851">
        <w:rPr>
          <w:sz w:val="28"/>
          <w:szCs w:val="28"/>
        </w:rPr>
        <w:t xml:space="preserve"> рынка ценных бумаг;</w:t>
      </w:r>
    </w:p>
    <w:p w:rsidR="00B72FB4" w:rsidRPr="00F06851" w:rsidRDefault="00B72FB4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− создание системы защиты пра</w:t>
      </w:r>
      <w:r w:rsidR="00DF673D" w:rsidRPr="00F06851">
        <w:rPr>
          <w:sz w:val="28"/>
          <w:szCs w:val="28"/>
        </w:rPr>
        <w:t xml:space="preserve">в владельцев ценных бумаг и контроля за </w:t>
      </w:r>
      <w:r w:rsidRPr="00F06851">
        <w:rPr>
          <w:sz w:val="28"/>
          <w:szCs w:val="28"/>
        </w:rPr>
        <w:t>соблюдением их прав эмите</w:t>
      </w:r>
      <w:r w:rsidR="00DF673D" w:rsidRPr="00F06851">
        <w:rPr>
          <w:sz w:val="28"/>
          <w:szCs w:val="28"/>
        </w:rPr>
        <w:t>нтами и профессиональными участниками рынка</w:t>
      </w:r>
      <w:r w:rsidR="00485FE0" w:rsidRPr="00485FE0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ценных бумаг;</w:t>
      </w:r>
    </w:p>
    <w:p w:rsidR="00B72FB4" w:rsidRPr="00F06851" w:rsidRDefault="00B72FB4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− запрещение и пресечение деятельности лиц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осуществляющих</w:t>
      </w:r>
      <w:r w:rsidR="00485FE0">
        <w:rPr>
          <w:sz w:val="28"/>
          <w:szCs w:val="28"/>
        </w:rPr>
        <w:t xml:space="preserve"> предприни</w:t>
      </w:r>
      <w:r w:rsidRPr="00F06851">
        <w:rPr>
          <w:sz w:val="28"/>
          <w:szCs w:val="28"/>
        </w:rPr>
        <w:t>мательскую деятельность</w:t>
      </w:r>
      <w:r w:rsidR="00DF673D" w:rsidRPr="00F06851">
        <w:rPr>
          <w:sz w:val="28"/>
          <w:szCs w:val="28"/>
        </w:rPr>
        <w:t xml:space="preserve"> на рынке ценных бумаг без соответствующих лицензий</w:t>
      </w:r>
      <w:r w:rsidR="00F06851">
        <w:rPr>
          <w:sz w:val="28"/>
          <w:szCs w:val="28"/>
        </w:rPr>
        <w:t xml:space="preserve">. </w:t>
      </w:r>
      <w:r w:rsidR="00DF673D" w:rsidRPr="00F06851">
        <w:rPr>
          <w:rStyle w:val="a8"/>
          <w:sz w:val="28"/>
          <w:szCs w:val="28"/>
        </w:rPr>
        <w:footnoteReference w:customMarkFollows="1" w:id="5"/>
        <w:t>5</w:t>
      </w:r>
    </w:p>
    <w:p w:rsidR="00DF673D" w:rsidRPr="00F06851" w:rsidRDefault="00DF673D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06851">
        <w:rPr>
          <w:sz w:val="28"/>
          <w:szCs w:val="28"/>
        </w:rPr>
        <w:t>Основными законодательными и правовыми актами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регулирующими деятельность банков на рынке ценных бумаг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являются</w:t>
      </w:r>
      <w:r w:rsidRPr="00F06851">
        <w:rPr>
          <w:sz w:val="28"/>
        </w:rPr>
        <w:t>:</w:t>
      </w:r>
    </w:p>
    <w:p w:rsidR="00DF673D" w:rsidRPr="00F06851" w:rsidRDefault="00DF673D" w:rsidP="00485FE0">
      <w:pPr>
        <w:numPr>
          <w:ilvl w:val="0"/>
          <w:numId w:val="10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Федеральный закон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от 2 декабря 1990</w:t>
      </w:r>
      <w:r w:rsidR="000B6775" w:rsidRPr="00F06851">
        <w:rPr>
          <w:sz w:val="28"/>
          <w:szCs w:val="28"/>
        </w:rPr>
        <w:t>г</w:t>
      </w:r>
      <w:r w:rsidR="00F06851">
        <w:rPr>
          <w:sz w:val="28"/>
          <w:szCs w:val="28"/>
        </w:rPr>
        <w:t xml:space="preserve">. </w:t>
      </w:r>
      <w:r w:rsidR="000B6775" w:rsidRPr="00F06851">
        <w:rPr>
          <w:sz w:val="28"/>
          <w:szCs w:val="28"/>
        </w:rPr>
        <w:t>№395-1</w:t>
      </w:r>
      <w:r w:rsidRPr="00F06851">
        <w:rPr>
          <w:sz w:val="28"/>
          <w:szCs w:val="28"/>
        </w:rPr>
        <w:t>«О банках и банковской деятельности»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№ 17-ФЗ (с изменениями и дополнениями);</w:t>
      </w:r>
    </w:p>
    <w:p w:rsidR="00DF673D" w:rsidRPr="00F06851" w:rsidRDefault="00DF673D" w:rsidP="00485FE0">
      <w:pPr>
        <w:numPr>
          <w:ilvl w:val="0"/>
          <w:numId w:val="10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Федеральный закон «О Центральном Банке Российской Федерации (Банке России)»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от 10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07</w:t>
      </w:r>
      <w:r w:rsidR="00F0685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002 г"/>
        </w:smartTagPr>
        <w:r w:rsidRPr="00F06851">
          <w:rPr>
            <w:sz w:val="28"/>
            <w:szCs w:val="28"/>
          </w:rPr>
          <w:t>2002 г</w:t>
        </w:r>
      </w:smartTag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(с изменениями и дополнениями);</w:t>
      </w:r>
    </w:p>
    <w:p w:rsidR="00DF673D" w:rsidRPr="00F06851" w:rsidRDefault="00DF673D" w:rsidP="00485FE0">
      <w:pPr>
        <w:numPr>
          <w:ilvl w:val="0"/>
          <w:numId w:val="10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Федеральный закон «О рынке ценных бумаг»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 xml:space="preserve">№ 39-ФЗ; </w:t>
      </w:r>
    </w:p>
    <w:p w:rsidR="00DF673D" w:rsidRPr="00F06851" w:rsidRDefault="00DF673D" w:rsidP="00485FE0">
      <w:pPr>
        <w:numPr>
          <w:ilvl w:val="0"/>
          <w:numId w:val="10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Инструкция ЦБ РФ «Об обязательных нормативах банков»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№ 110-И;</w:t>
      </w:r>
    </w:p>
    <w:p w:rsidR="00DF673D" w:rsidRPr="00F06851" w:rsidRDefault="00DF673D" w:rsidP="00485FE0">
      <w:pPr>
        <w:numPr>
          <w:ilvl w:val="0"/>
          <w:numId w:val="10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Инструкция ЦБ РФ «О правилах выпуска и регистрации ценных бумаг кредитными организациями на территории Российской Федерации»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№ 128-И;</w:t>
      </w:r>
    </w:p>
    <w:p w:rsidR="00DF673D" w:rsidRPr="00F06851" w:rsidRDefault="00DF673D" w:rsidP="00485FE0">
      <w:pPr>
        <w:numPr>
          <w:ilvl w:val="0"/>
          <w:numId w:val="10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Положение ЦБ РФ «О порядке формирования кредитными организациями резервов на возможные потери»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№ 283-П;</w:t>
      </w:r>
    </w:p>
    <w:p w:rsidR="00DF673D" w:rsidRPr="00F06851" w:rsidRDefault="00DF673D" w:rsidP="00485FE0">
      <w:pPr>
        <w:numPr>
          <w:ilvl w:val="0"/>
          <w:numId w:val="10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Положение ЦБ РФ «О порядке применения к кредитным организациям мер ответственности и иных мер воздействия за нарушения законодательства на рынке ценных бумаг»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№ 49-П;</w:t>
      </w:r>
    </w:p>
    <w:p w:rsidR="00DF673D" w:rsidRPr="00F06851" w:rsidRDefault="00DF673D" w:rsidP="00485FE0">
      <w:pPr>
        <w:numPr>
          <w:ilvl w:val="0"/>
          <w:numId w:val="11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Положение ЦБ РФ «Об организации внутреннего контроля в кредитных организациях и банковских группах»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№ 242-П;</w:t>
      </w:r>
    </w:p>
    <w:p w:rsidR="00F06851" w:rsidRDefault="00DF673D" w:rsidP="00485FE0">
      <w:pPr>
        <w:numPr>
          <w:ilvl w:val="0"/>
          <w:numId w:val="11"/>
        </w:numPr>
        <w:tabs>
          <w:tab w:val="left" w:pos="108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Приказ ФСФР «Об утверждении порядка лицензирования видов профессиональной деятельности на рынке ценных бумаг»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07-21/пз-н</w:t>
      </w:r>
      <w:r w:rsidR="00F06851">
        <w:rPr>
          <w:sz w:val="28"/>
          <w:szCs w:val="28"/>
        </w:rPr>
        <w:t xml:space="preserve">. </w:t>
      </w:r>
      <w:r w:rsidR="000B6775" w:rsidRPr="00F06851">
        <w:rPr>
          <w:rStyle w:val="a8"/>
          <w:sz w:val="28"/>
          <w:szCs w:val="28"/>
        </w:rPr>
        <w:footnoteReference w:customMarkFollows="1" w:id="6"/>
        <w:t>6</w:t>
      </w:r>
    </w:p>
    <w:p w:rsidR="000B6775" w:rsidRPr="00F06851" w:rsidRDefault="000B6775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Одной из форм государственного регулирования деятельности банков на рынке ценных бумаг является установление ряда обязательных экономических нормативов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действие которых направлено на снижение рисков проводимых ими операций:</w:t>
      </w:r>
    </w:p>
    <w:p w:rsidR="000B6775" w:rsidRPr="00F06851" w:rsidRDefault="000B6775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SymbolMT"/>
          <w:sz w:val="28"/>
          <w:szCs w:val="28"/>
        </w:rPr>
        <w:t xml:space="preserve">− </w:t>
      </w:r>
      <w:r w:rsidRPr="00F06851">
        <w:rPr>
          <w:rFonts w:cs="TimesNewRomanPSMT"/>
          <w:sz w:val="28"/>
          <w:szCs w:val="28"/>
        </w:rPr>
        <w:t>путем установления требований к капит</w:t>
      </w:r>
      <w:r w:rsidR="00485FE0">
        <w:rPr>
          <w:rFonts w:cs="TimesNewRomanPSMT"/>
          <w:sz w:val="28"/>
          <w:szCs w:val="28"/>
        </w:rPr>
        <w:t>алу (норматива достаточности ка</w:t>
      </w:r>
      <w:r w:rsidRPr="00F06851">
        <w:rPr>
          <w:rFonts w:cs="TimesNewRomanPSMT"/>
          <w:sz w:val="28"/>
          <w:szCs w:val="28"/>
        </w:rPr>
        <w:t>питала) по различным видам ценных бумаг (ограничение рисков неплатежеспособности);</w:t>
      </w:r>
    </w:p>
    <w:p w:rsidR="000B6775" w:rsidRPr="00F06851" w:rsidRDefault="000B6775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SymbolMT"/>
          <w:sz w:val="28"/>
          <w:szCs w:val="28"/>
        </w:rPr>
        <w:t xml:space="preserve">− </w:t>
      </w:r>
      <w:r w:rsidRPr="00F06851">
        <w:rPr>
          <w:rFonts w:cs="TimesNewRomanPSMT"/>
          <w:sz w:val="28"/>
          <w:szCs w:val="28"/>
        </w:rPr>
        <w:t>прямым ограничением размера вложений в ценные бумаги (ограничение рисков концентрации) является норматив Н 12 - использования собственных</w:t>
      </w:r>
      <w:r w:rsidR="00485FE0">
        <w:rPr>
          <w:rFonts w:cs="TimesNewRomanPSMT"/>
          <w:sz w:val="28"/>
          <w:szCs w:val="28"/>
        </w:rPr>
        <w:t xml:space="preserve"> </w:t>
      </w:r>
      <w:r w:rsidRPr="00F06851">
        <w:rPr>
          <w:rFonts w:cs="TimesNewRomanPSMT"/>
          <w:sz w:val="28"/>
          <w:szCs w:val="28"/>
        </w:rPr>
        <w:t>средств (капитала) банка для приобретения долей (акций) других юридических лиц:</w:t>
      </w:r>
    </w:p>
    <w:p w:rsidR="00485FE0" w:rsidRDefault="00485FE0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</w:p>
    <w:p w:rsidR="000B6775" w:rsidRPr="00F06851" w:rsidRDefault="0047779C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</w:rPr>
      </w:pPr>
      <w:r w:rsidRPr="00F06851">
        <w:rPr>
          <w:rFonts w:cs="TimesNewRomanPSMT"/>
          <w:sz w:val="28"/>
          <w:szCs w:val="28"/>
          <w:lang w:val="en-US"/>
        </w:rPr>
        <w:t>H</w:t>
      </w:r>
      <w:r w:rsidRPr="00F06851">
        <w:rPr>
          <w:rFonts w:cs="TimesNewRomanPSMT"/>
          <w:sz w:val="28"/>
          <w:szCs w:val="20"/>
        </w:rPr>
        <w:t>12</w:t>
      </w:r>
      <w:r w:rsidRPr="00F06851">
        <w:rPr>
          <w:rFonts w:cs="TimesNewRomanPSMT"/>
          <w:sz w:val="28"/>
        </w:rPr>
        <w:t>=КИН/К*100%</w:t>
      </w:r>
    </w:p>
    <w:p w:rsidR="00485FE0" w:rsidRDefault="00485FE0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</w:p>
    <w:p w:rsidR="000B6775" w:rsidRPr="00F06851" w:rsidRDefault="000B6775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КИН - инвестиции банка в доли (акции) других юридических лиц</w:t>
      </w:r>
      <w:r w:rsidR="00F06851">
        <w:rPr>
          <w:rFonts w:cs="TimesNewRomanPSMT"/>
          <w:sz w:val="28"/>
          <w:szCs w:val="28"/>
        </w:rPr>
        <w:t xml:space="preserve">, </w:t>
      </w:r>
      <w:r w:rsidR="0047779C" w:rsidRPr="00F06851">
        <w:rPr>
          <w:rFonts w:cs="TimesNewRomanPSMT"/>
          <w:sz w:val="28"/>
          <w:szCs w:val="28"/>
        </w:rPr>
        <w:t>сумма</w:t>
      </w:r>
      <w:r w:rsidR="00485FE0">
        <w:rPr>
          <w:rFonts w:cs="TimesNewRomanPSMT"/>
          <w:sz w:val="28"/>
          <w:szCs w:val="28"/>
        </w:rPr>
        <w:t xml:space="preserve"> </w:t>
      </w:r>
      <w:r w:rsidRPr="00F06851">
        <w:rPr>
          <w:rFonts w:cs="TimesNewRomanPSMT"/>
          <w:sz w:val="28"/>
          <w:szCs w:val="28"/>
        </w:rPr>
        <w:t>остатков на счетах 50903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51002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51003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51103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60202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60203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60204</w:t>
      </w:r>
      <w:r w:rsidR="0047779C" w:rsidRPr="00F06851">
        <w:rPr>
          <w:rFonts w:cs="TimesNewRomanPSMT"/>
          <w:sz w:val="28"/>
          <w:szCs w:val="28"/>
        </w:rPr>
        <w:t>(за исключением средств</w:t>
      </w:r>
      <w:r w:rsidR="00F06851">
        <w:rPr>
          <w:rFonts w:cs="TimesNewRomanPSMT"/>
          <w:sz w:val="28"/>
          <w:szCs w:val="28"/>
        </w:rPr>
        <w:t xml:space="preserve">, </w:t>
      </w:r>
      <w:r w:rsidR="0047779C" w:rsidRPr="00F06851">
        <w:rPr>
          <w:rFonts w:cs="TimesNewRomanPSMT"/>
          <w:sz w:val="28"/>
          <w:szCs w:val="28"/>
        </w:rPr>
        <w:t>отражаемых по коду 8934 и коду 8920)</w:t>
      </w:r>
      <w:r w:rsidR="00F06851">
        <w:rPr>
          <w:rFonts w:cs="TimesNewRomanPSMT"/>
          <w:sz w:val="28"/>
          <w:szCs w:val="28"/>
        </w:rPr>
        <w:t xml:space="preserve">, </w:t>
      </w:r>
      <w:r w:rsidR="0047779C" w:rsidRPr="00F06851">
        <w:rPr>
          <w:rFonts w:cs="TimesNewRomanPSMT"/>
          <w:sz w:val="28"/>
          <w:szCs w:val="28"/>
        </w:rPr>
        <w:t>код8935;</w:t>
      </w:r>
    </w:p>
    <w:p w:rsidR="000B6775" w:rsidRPr="00F06851" w:rsidRDefault="000B6775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К - собственный капитал банка</w:t>
      </w:r>
      <w:r w:rsidR="00F06851">
        <w:rPr>
          <w:rFonts w:cs="TimesNewRomanPSMT"/>
          <w:sz w:val="28"/>
          <w:szCs w:val="28"/>
        </w:rPr>
        <w:t xml:space="preserve">. </w:t>
      </w:r>
    </w:p>
    <w:p w:rsidR="00F06851" w:rsidRDefault="000B6775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Допустимое значение данного н</w:t>
      </w:r>
      <w:r w:rsidR="00485FE0">
        <w:rPr>
          <w:rFonts w:cs="TimesNewRomanPSMT"/>
          <w:sz w:val="28"/>
          <w:szCs w:val="28"/>
        </w:rPr>
        <w:t>орматива - не более 25% от вели</w:t>
      </w:r>
      <w:r w:rsidRPr="00F06851">
        <w:rPr>
          <w:rFonts w:cs="TimesNewRomanPSMT"/>
          <w:sz w:val="28"/>
          <w:szCs w:val="28"/>
        </w:rPr>
        <w:t>чины собственного капитала банка</w:t>
      </w:r>
      <w:r w:rsidR="00F06851">
        <w:rPr>
          <w:rFonts w:cs="TimesNewRomanPSMT"/>
          <w:sz w:val="28"/>
          <w:szCs w:val="28"/>
        </w:rPr>
        <w:t xml:space="preserve">. </w:t>
      </w:r>
      <w:r w:rsidR="0047779C" w:rsidRPr="00F06851">
        <w:rPr>
          <w:rStyle w:val="a8"/>
          <w:sz w:val="28"/>
          <w:szCs w:val="28"/>
        </w:rPr>
        <w:footnoteReference w:customMarkFollows="1" w:id="7"/>
        <w:t>7</w:t>
      </w:r>
    </w:p>
    <w:p w:rsidR="00EF6C65" w:rsidRPr="00F06851" w:rsidRDefault="0047779C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Профессиональная деятельность банков на рынке ценных бумаг осуществляется по общим банковским лицензиям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выдаваемым Банком России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При этом предполагается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Банк России как единый надзорный и контрольный орган имеет все полномочия првоерять и регламентировать профессиональную деятельность банков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и у него для этого есть возможность требовать обычную и специальную отчетность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право назначать банковские проверки и применять к банкам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санкции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за нарушения</w:t>
      </w:r>
      <w:r w:rsidR="00F06851">
        <w:rPr>
          <w:sz w:val="28"/>
          <w:szCs w:val="28"/>
        </w:rPr>
        <w:t xml:space="preserve">. </w:t>
      </w:r>
    </w:p>
    <w:p w:rsidR="00304DF6" w:rsidRPr="00F06851" w:rsidRDefault="00485FE0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97B6A" w:rsidRPr="00F06851">
        <w:rPr>
          <w:b/>
          <w:bCs/>
          <w:sz w:val="28"/>
          <w:szCs w:val="28"/>
        </w:rPr>
        <w:t>Г</w:t>
      </w:r>
      <w:r w:rsidRPr="00F06851">
        <w:rPr>
          <w:b/>
          <w:bCs/>
          <w:sz w:val="28"/>
          <w:szCs w:val="28"/>
        </w:rPr>
        <w:t>лава</w:t>
      </w:r>
      <w:r w:rsidR="00A97B6A" w:rsidRPr="00F06851">
        <w:rPr>
          <w:sz w:val="28"/>
          <w:szCs w:val="28"/>
        </w:rPr>
        <w:t xml:space="preserve"> </w:t>
      </w:r>
      <w:r w:rsidR="00A97B6A" w:rsidRPr="00485FE0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304DF6" w:rsidRPr="00F06851">
        <w:rPr>
          <w:sz w:val="28"/>
          <w:szCs w:val="28"/>
        </w:rPr>
        <w:t xml:space="preserve"> </w:t>
      </w:r>
      <w:r w:rsidR="00304DF6" w:rsidRPr="00F06851">
        <w:rPr>
          <w:b/>
          <w:bCs/>
          <w:sz w:val="28"/>
          <w:szCs w:val="28"/>
        </w:rPr>
        <w:t>А</w:t>
      </w:r>
      <w:r w:rsidRPr="00F06851">
        <w:rPr>
          <w:b/>
          <w:bCs/>
          <w:sz w:val="28"/>
          <w:szCs w:val="28"/>
        </w:rPr>
        <w:t>нализ операций коммерческого</w:t>
      </w:r>
      <w:r>
        <w:rPr>
          <w:b/>
          <w:bCs/>
          <w:sz w:val="28"/>
          <w:szCs w:val="28"/>
        </w:rPr>
        <w:t xml:space="preserve"> </w:t>
      </w:r>
      <w:r w:rsidRPr="00F06851">
        <w:rPr>
          <w:b/>
          <w:bCs/>
          <w:sz w:val="28"/>
          <w:szCs w:val="28"/>
        </w:rPr>
        <w:t>банка с ценными бумагами</w:t>
      </w:r>
    </w:p>
    <w:p w:rsidR="00485FE0" w:rsidRDefault="00485FE0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583F" w:rsidRPr="00F06851" w:rsidRDefault="00C46EDF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В ходе исследования теории были выявлены следующие проблемы:</w:t>
      </w:r>
    </w:p>
    <w:p w:rsidR="00C46EDF" w:rsidRPr="00F06851" w:rsidRDefault="00C46EDF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sz w:val="28"/>
          <w:szCs w:val="28"/>
        </w:rPr>
        <w:t xml:space="preserve">1)банкам достаточно </w:t>
      </w:r>
      <w:r w:rsidR="00E30799" w:rsidRPr="00F06851">
        <w:rPr>
          <w:sz w:val="28"/>
          <w:szCs w:val="28"/>
        </w:rPr>
        <w:t>сложно привлекать средства</w:t>
      </w:r>
      <w:r w:rsidR="00F06851">
        <w:rPr>
          <w:sz w:val="28"/>
          <w:szCs w:val="28"/>
        </w:rPr>
        <w:t xml:space="preserve">, </w:t>
      </w:r>
      <w:r w:rsidR="00E30799" w:rsidRPr="00F06851">
        <w:rPr>
          <w:rFonts w:cs="TimesNewRomanPSMT"/>
          <w:sz w:val="28"/>
          <w:szCs w:val="28"/>
        </w:rPr>
        <w:t>поскольку возврат заемных средств и заранее оговоренное вознаграждение за их использование гарантируется независимо от результата хозяйственной деятельности</w:t>
      </w:r>
      <w:r w:rsidR="00F06851">
        <w:rPr>
          <w:rFonts w:cs="TimesNewRomanPSMT"/>
          <w:sz w:val="28"/>
          <w:szCs w:val="28"/>
        </w:rPr>
        <w:t xml:space="preserve">. </w:t>
      </w:r>
    </w:p>
    <w:p w:rsidR="00F06851" w:rsidRDefault="00E30799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2)банкам постоянно необходимо рационально управлять текущей ликвидностью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что бы быть в состоянии выполнять текущие расчетно-денежные поручения клиентов</w:t>
      </w:r>
      <w:r w:rsidR="00F06851">
        <w:rPr>
          <w:rFonts w:cs="TimesNewRomanPSMT"/>
          <w:sz w:val="28"/>
          <w:szCs w:val="28"/>
        </w:rPr>
        <w:t xml:space="preserve">. </w:t>
      </w:r>
    </w:p>
    <w:p w:rsidR="00C46EDF" w:rsidRPr="00F06851" w:rsidRDefault="00304DF6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F06851">
        <w:rPr>
          <w:sz w:val="28"/>
          <w:szCs w:val="28"/>
        </w:rPr>
        <w:t>В зависимости от экономического содержания операций с ценными бумагами их можно классифицировать на активные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пассивные и посреднические операции</w:t>
      </w:r>
      <w:r w:rsidR="00F06851">
        <w:rPr>
          <w:sz w:val="28"/>
        </w:rPr>
        <w:t xml:space="preserve">. </w:t>
      </w:r>
    </w:p>
    <w:p w:rsidR="00304DF6" w:rsidRPr="00F06851" w:rsidRDefault="00304DF6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rStyle w:val="af0"/>
          <w:sz w:val="28"/>
          <w:szCs w:val="28"/>
        </w:rPr>
        <w:t xml:space="preserve">Активные операции с ценными бумагами </w:t>
      </w:r>
      <w:r w:rsidRPr="00F06851">
        <w:rPr>
          <w:sz w:val="28"/>
          <w:szCs w:val="28"/>
        </w:rPr>
        <w:t>– это операции коммерческого банка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связанные с приобретением различных видов ценных бумаг с целью получения дохода или получения контроля за дочерними и зависимыми обществами (размещение денежных ресурсов в ценные бумаги)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Цели размещения средств коммерческим банком в ценные бумаги (активные операции) в общем виде могут быть следующими: поддержание ликвидности банка; получение процентного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купонного и дисконтного дохода; получение дивидендов по акциям; получение права голоса при управлении акционерным обществом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В результате приобретения ценных бумаг банк формирует портфель ценных бумаг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Данным термином мы будем пользоваться в течение этого урока</w:t>
      </w:r>
      <w:r w:rsidR="00F06851">
        <w:rPr>
          <w:sz w:val="28"/>
          <w:szCs w:val="28"/>
        </w:rPr>
        <w:t xml:space="preserve">. </w:t>
      </w:r>
    </w:p>
    <w:p w:rsidR="00997EF8" w:rsidRPr="00F06851" w:rsidRDefault="00997EF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rStyle w:val="af0"/>
          <w:sz w:val="28"/>
          <w:szCs w:val="28"/>
        </w:rPr>
        <w:t>Пассивные операции с ценными бумагами</w:t>
      </w:r>
      <w:r w:rsidRPr="00F06851">
        <w:rPr>
          <w:sz w:val="28"/>
          <w:szCs w:val="28"/>
        </w:rPr>
        <w:t xml:space="preserve"> – это операции коммерческого банка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связанные с выпуском и реализацией различного вида ценных бумаг с целью формирования фондирующей базы (пассивов различной срочности)</w:t>
      </w:r>
      <w:r w:rsidR="00F06851">
        <w:rPr>
          <w:sz w:val="28"/>
          <w:szCs w:val="28"/>
        </w:rPr>
        <w:t xml:space="preserve">. </w:t>
      </w:r>
    </w:p>
    <w:p w:rsidR="00997EF8" w:rsidRPr="00F06851" w:rsidRDefault="00997EF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rStyle w:val="af0"/>
          <w:sz w:val="28"/>
          <w:szCs w:val="28"/>
        </w:rPr>
        <w:t>Посреднические операции</w:t>
      </w:r>
      <w:r w:rsidRPr="00F06851">
        <w:rPr>
          <w:sz w:val="28"/>
          <w:szCs w:val="28"/>
        </w:rPr>
        <w:t xml:space="preserve"> позволяют банку получать доход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не вкладывая свои средства в бумаги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а в виде комиссионных за обслуживание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К этой группе относятся разнообразные услуги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которые банки оказывают своим клиентам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Анализ деятельности коммерческого банка с ценными бумагами начинается с определения места анализируемого банка среди прочих региональных банков по объему активных и пассивных операций с ценными бумагами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Для более объективного анализа следует провести сравнительное исследование деятельности выбранного для анализа банка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например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с пятью банками</w:t>
      </w:r>
      <w:r w:rsidR="00F06851">
        <w:rPr>
          <w:sz w:val="28"/>
          <w:szCs w:val="28"/>
        </w:rPr>
        <w:t xml:space="preserve">. </w:t>
      </w:r>
    </w:p>
    <w:p w:rsidR="00485FE0" w:rsidRDefault="00485FE0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97EF8" w:rsidRPr="00F06851" w:rsidRDefault="00997EF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06851">
        <w:rPr>
          <w:sz w:val="28"/>
        </w:rPr>
        <w:t>Таблица 1</w:t>
      </w:r>
      <w:r w:rsidR="00F06851">
        <w:rPr>
          <w:sz w:val="28"/>
        </w:rPr>
        <w:t xml:space="preserve">. </w:t>
      </w:r>
      <w:r w:rsidRPr="00F06851">
        <w:rPr>
          <w:sz w:val="28"/>
        </w:rPr>
        <w:t>Сравнительная таблица деятельности коммерческих банков на рынке ценных бумаг</w:t>
      </w:r>
    </w:p>
    <w:p w:rsidR="00997EF8" w:rsidRPr="00F06851" w:rsidRDefault="0003139E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rm4.jpg" style="width:473.25pt;height:201pt">
            <v:imagedata r:id="rId7" o:title=""/>
          </v:shape>
        </w:pict>
      </w:r>
    </w:p>
    <w:p w:rsidR="00485FE0" w:rsidRDefault="00485FE0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EF8" w:rsidRPr="00F06851" w:rsidRDefault="00997EF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Для расчета объема приобретенных ценных бумаг следует учитывать остатки на счетах ф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№101: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501 (кроме 50120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50121)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502 (кроме 50219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50220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50221)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503 (кроме 50319)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506 (кроме 50620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50621)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507 (кроме 50719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50720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50721)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512 (кроме 51210)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513 (кроме 51310)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514 (кроме 51410)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515 (кроме 51510)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516 (кроме 51610)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517 (кроме 51710)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518 (кроме 51810)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519 (кроме 51910)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601 (кроме 60105)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602 (кроме 60206)</w:t>
      </w:r>
      <w:r w:rsidR="00F06851">
        <w:rPr>
          <w:sz w:val="28"/>
          <w:szCs w:val="28"/>
        </w:rPr>
        <w:t xml:space="preserve">. </w:t>
      </w:r>
    </w:p>
    <w:p w:rsidR="00997EF8" w:rsidRPr="00F06851" w:rsidRDefault="00997EF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Для расчета объема реализуемых ценных бумаг следует учитывать остатки на следующих счетах ф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№101: сч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(10207 минус 105)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520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521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522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523</w:t>
      </w:r>
      <w:r w:rsidR="00F06851">
        <w:rPr>
          <w:sz w:val="28"/>
          <w:szCs w:val="28"/>
        </w:rPr>
        <w:t xml:space="preserve">. </w:t>
      </w:r>
    </w:p>
    <w:p w:rsidR="00997EF8" w:rsidRPr="00F06851" w:rsidRDefault="00997EF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При анализе следует обязательно обращать внимание на относительные показатели – доли активных и пассивных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операций с ценными бумагами в валюте баланса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так как не всегда максимальная абсолютная величина операций с ценными бумагами показывает</w:t>
      </w:r>
      <w:r w:rsidRPr="00F06851">
        <w:rPr>
          <w:sz w:val="28"/>
        </w:rPr>
        <w:t xml:space="preserve"> </w:t>
      </w:r>
      <w:r w:rsidRPr="00F06851">
        <w:rPr>
          <w:sz w:val="28"/>
          <w:szCs w:val="28"/>
        </w:rPr>
        <w:t>значимость этого вида деятельности в работе банка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Данный показатель позволяет сделать вывод о том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насколько деятельность банка сконцентрирована на рынке ценных бумаг</w:t>
      </w:r>
      <w:r w:rsidR="00F06851">
        <w:rPr>
          <w:sz w:val="28"/>
          <w:szCs w:val="28"/>
        </w:rPr>
        <w:t xml:space="preserve">. </w:t>
      </w:r>
    </w:p>
    <w:p w:rsidR="00997EF8" w:rsidRPr="00F06851" w:rsidRDefault="00997EF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Анализ портфеля ценных бумаг (ПЦБ) в деятельности конкретного банка начинается с определения и исследования его места в активах банка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для чего формируется таблица 2</w:t>
      </w:r>
      <w:r w:rsidR="00F06851">
        <w:rPr>
          <w:sz w:val="28"/>
          <w:szCs w:val="28"/>
        </w:rPr>
        <w:t xml:space="preserve">. </w:t>
      </w:r>
    </w:p>
    <w:p w:rsidR="00485FE0" w:rsidRDefault="00485FE0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97EF8" w:rsidRPr="00F06851" w:rsidRDefault="00997EF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</w:rPr>
        <w:t>Таблица 2</w:t>
      </w:r>
      <w:r w:rsidR="00F06851">
        <w:rPr>
          <w:sz w:val="28"/>
        </w:rPr>
        <w:t xml:space="preserve">. </w:t>
      </w:r>
      <w:r w:rsidRPr="00F06851">
        <w:rPr>
          <w:sz w:val="28"/>
        </w:rPr>
        <w:t>Оценка доли портфеля ценных бумаг в активах банка</w:t>
      </w:r>
      <w:r w:rsidR="00F06851">
        <w:rPr>
          <w:sz w:val="28"/>
          <w:szCs w:val="28"/>
        </w:rPr>
        <w:t xml:space="preserve">.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8"/>
        <w:gridCol w:w="1110"/>
        <w:gridCol w:w="1097"/>
        <w:gridCol w:w="917"/>
        <w:gridCol w:w="1097"/>
        <w:gridCol w:w="1005"/>
      </w:tblGrid>
      <w:tr w:rsidR="00997EF8" w:rsidRPr="00485FE0" w:rsidTr="00435482">
        <w:trPr>
          <w:tblCellSpacing w:w="0" w:type="dxa"/>
        </w:trPr>
        <w:tc>
          <w:tcPr>
            <w:tcW w:w="2213" w:type="pct"/>
            <w:vMerge w:val="restar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Показатель</w:t>
            </w:r>
          </w:p>
        </w:tc>
        <w:tc>
          <w:tcPr>
            <w:tcW w:w="592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Период 1</w:t>
            </w:r>
          </w:p>
        </w:tc>
        <w:tc>
          <w:tcPr>
            <w:tcW w:w="1074" w:type="pct"/>
            <w:gridSpan w:val="2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Период 2</w:t>
            </w:r>
          </w:p>
        </w:tc>
        <w:tc>
          <w:tcPr>
            <w:tcW w:w="1121" w:type="pct"/>
            <w:gridSpan w:val="2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Период 3</w:t>
            </w:r>
          </w:p>
        </w:tc>
      </w:tr>
      <w:tr w:rsidR="00997EF8" w:rsidRPr="00485FE0" w:rsidTr="00435482">
        <w:trPr>
          <w:tblCellSpacing w:w="0" w:type="dxa"/>
        </w:trPr>
        <w:tc>
          <w:tcPr>
            <w:tcW w:w="2213" w:type="pct"/>
            <w:vMerge/>
            <w:vAlign w:val="center"/>
          </w:tcPr>
          <w:p w:rsidR="00997EF8" w:rsidRPr="00485FE0" w:rsidRDefault="00997EF8" w:rsidP="00485FE0">
            <w:pPr>
              <w:tabs>
                <w:tab w:val="left" w:pos="108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2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Темп роста</w:t>
            </w:r>
          </w:p>
        </w:tc>
        <w:tc>
          <w:tcPr>
            <w:tcW w:w="585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Темп роста</w:t>
            </w:r>
          </w:p>
        </w:tc>
      </w:tr>
      <w:tr w:rsidR="00997EF8" w:rsidRPr="00485FE0" w:rsidTr="00435482">
        <w:trPr>
          <w:tblCellSpacing w:w="0" w:type="dxa"/>
        </w:trPr>
        <w:tc>
          <w:tcPr>
            <w:tcW w:w="2213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Объем портфеля ценных бумаг</w:t>
            </w:r>
            <w:r w:rsidR="00F06851" w:rsidRPr="00485FE0">
              <w:rPr>
                <w:sz w:val="20"/>
                <w:szCs w:val="20"/>
              </w:rPr>
              <w:t xml:space="preserve"> </w:t>
            </w:r>
            <w:r w:rsidRPr="00485FE0">
              <w:rPr>
                <w:sz w:val="20"/>
                <w:szCs w:val="20"/>
              </w:rPr>
              <w:t>(ПЦБ) (тыс</w:t>
            </w:r>
            <w:r w:rsidR="00F06851" w:rsidRPr="00485FE0">
              <w:rPr>
                <w:sz w:val="20"/>
                <w:szCs w:val="20"/>
              </w:rPr>
              <w:t xml:space="preserve">. </w:t>
            </w:r>
            <w:r w:rsidRPr="00485FE0">
              <w:rPr>
                <w:sz w:val="20"/>
                <w:szCs w:val="20"/>
              </w:rPr>
              <w:t>руб</w:t>
            </w:r>
            <w:r w:rsidR="00F06851" w:rsidRPr="00485FE0">
              <w:rPr>
                <w:sz w:val="20"/>
                <w:szCs w:val="20"/>
              </w:rPr>
              <w:t xml:space="preserve">. </w:t>
            </w:r>
            <w:r w:rsidRPr="00485FE0">
              <w:rPr>
                <w:sz w:val="20"/>
                <w:szCs w:val="20"/>
              </w:rPr>
              <w:t>)</w:t>
            </w:r>
          </w:p>
        </w:tc>
        <w:tc>
          <w:tcPr>
            <w:tcW w:w="592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</w:tr>
      <w:tr w:rsidR="00997EF8" w:rsidRPr="00485FE0" w:rsidTr="00435482">
        <w:trPr>
          <w:tblCellSpacing w:w="0" w:type="dxa"/>
        </w:trPr>
        <w:tc>
          <w:tcPr>
            <w:tcW w:w="2213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Доля ПЦБ в совокупных активах (валюте баланса)</w:t>
            </w:r>
          </w:p>
        </w:tc>
        <w:tc>
          <w:tcPr>
            <w:tcW w:w="592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</w:tr>
      <w:tr w:rsidR="00997EF8" w:rsidRPr="00485FE0" w:rsidTr="00435482">
        <w:trPr>
          <w:tblCellSpacing w:w="0" w:type="dxa"/>
        </w:trPr>
        <w:tc>
          <w:tcPr>
            <w:tcW w:w="2213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Доля ПЦБ в работающих активах</w:t>
            </w:r>
          </w:p>
        </w:tc>
        <w:tc>
          <w:tcPr>
            <w:tcW w:w="592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489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585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  <w:tc>
          <w:tcPr>
            <w:tcW w:w="536" w:type="pct"/>
          </w:tcPr>
          <w:p w:rsidR="00997EF8" w:rsidRPr="00485FE0" w:rsidRDefault="00997EF8" w:rsidP="00485FE0">
            <w:pPr>
              <w:pStyle w:val="af"/>
              <w:tabs>
                <w:tab w:val="left" w:pos="1080"/>
              </w:tabs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485FE0">
              <w:rPr>
                <w:sz w:val="20"/>
                <w:szCs w:val="20"/>
              </w:rPr>
              <w:t> </w:t>
            </w:r>
          </w:p>
        </w:tc>
      </w:tr>
    </w:tbl>
    <w:p w:rsidR="00435482" w:rsidRDefault="00435482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EF8" w:rsidRDefault="00997EF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При анализе темпов роста портфеля ценных бумаг следует обращать внимание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не снижается ли данный показатель в динамике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В случае снижающейся динамики следует выявить причины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которые могут заключаться в переориентации деятельности банка с операций с ценными бумагами на какие-либо другие (как правило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на кредитные операции по причине их более высокой доходности)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Также необходимо рассчитать коэффициент опережения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который позволяет выявить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оказывает ли деятельность с ценными бумагами влияние на рост активов банка:</w:t>
      </w:r>
    </w:p>
    <w:p w:rsidR="00435482" w:rsidRPr="00F06851" w:rsidRDefault="00435482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35482" w:rsidRPr="00F06851" w:rsidRDefault="0003139E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alt="Form1.jpg" style="width:95.25pt;height:39pt">
            <v:imagedata r:id="rId8" o:title=""/>
          </v:shape>
        </w:pict>
      </w:r>
    </w:p>
    <w:p w:rsidR="008F6B58" w:rsidRPr="00F06851" w:rsidRDefault="00435482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997EF8" w:rsidRPr="00F06851">
        <w:rPr>
          <w:sz w:val="28"/>
          <w:szCs w:val="28"/>
        </w:rPr>
        <w:t>ТРПЦБ – темп роста портфеля ценных бумаг</w:t>
      </w:r>
      <w:r w:rsidR="00F06851">
        <w:rPr>
          <w:sz w:val="28"/>
          <w:szCs w:val="28"/>
        </w:rPr>
        <w:t xml:space="preserve">, </w:t>
      </w:r>
      <w:r w:rsidR="00997EF8" w:rsidRPr="00F06851">
        <w:rPr>
          <w:sz w:val="28"/>
          <w:szCs w:val="28"/>
        </w:rPr>
        <w:t>ТРА – темп роста активов банка</w:t>
      </w:r>
      <w:r w:rsidR="00F06851">
        <w:rPr>
          <w:sz w:val="28"/>
          <w:szCs w:val="28"/>
        </w:rPr>
        <w:t xml:space="preserve">. </w:t>
      </w:r>
      <w:r w:rsidR="00997EF8" w:rsidRPr="00F06851">
        <w:rPr>
          <w:sz w:val="28"/>
          <w:szCs w:val="28"/>
        </w:rPr>
        <w:t>В случае получения результата более единицы следует сделать вывод о том</w:t>
      </w:r>
      <w:r w:rsidR="00F06851">
        <w:rPr>
          <w:sz w:val="28"/>
          <w:szCs w:val="28"/>
        </w:rPr>
        <w:t xml:space="preserve">, </w:t>
      </w:r>
      <w:r w:rsidR="00997EF8" w:rsidRPr="00F06851">
        <w:rPr>
          <w:sz w:val="28"/>
          <w:szCs w:val="28"/>
        </w:rPr>
        <w:t>что банк активно расширяет свою деятельность на рынке ценных бумаг</w:t>
      </w:r>
      <w:r w:rsidR="00F06851">
        <w:rPr>
          <w:sz w:val="28"/>
          <w:szCs w:val="28"/>
        </w:rPr>
        <w:t xml:space="preserve">, </w:t>
      </w:r>
      <w:r w:rsidR="00997EF8" w:rsidRPr="00F06851">
        <w:rPr>
          <w:sz w:val="28"/>
          <w:szCs w:val="28"/>
        </w:rPr>
        <w:t>в результате чего увеличиваются объемы банковских активов</w:t>
      </w:r>
      <w:r w:rsidR="00F06851">
        <w:rPr>
          <w:sz w:val="28"/>
          <w:szCs w:val="28"/>
        </w:rPr>
        <w:t xml:space="preserve">. </w:t>
      </w: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Показатель доли портфеля ценных бумаг в совокупных активах позволяет оценить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насколько деятельность банка с ценными бумагами значима для банка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Рост показателя в динамике свидетельствует об увеличении банком вложений в ценные бумаги (данный показатель необходимо сравнить с соответствующим показателем кредитного портфеля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потому что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как правило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снижение показателя сопровождается одновременным увеличением доли кредитного портфеля в совокупных активах)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Показатель доли портфеля ценных бумаг в работающих активах позволяет определить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насколько данные активы значимы в формировании доходов банка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Снижение данного показателя свидетельствует о том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основной доход банк получает за счет проведения прочих активных операций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Вот так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например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может выглядеть анализ портфеля ценных бумаг (ПЦБ) конкретного банка</w:t>
      </w:r>
      <w:r w:rsidR="00F06851">
        <w:rPr>
          <w:sz w:val="28"/>
          <w:szCs w:val="28"/>
        </w:rPr>
        <w:t xml:space="preserve">. </w:t>
      </w:r>
    </w:p>
    <w:p w:rsidR="00435482" w:rsidRDefault="00435482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</w:rPr>
        <w:t>Таблица 3</w:t>
      </w:r>
      <w:r w:rsidR="00F06851">
        <w:rPr>
          <w:sz w:val="28"/>
        </w:rPr>
        <w:t xml:space="preserve">. </w:t>
      </w:r>
      <w:r w:rsidRPr="00F06851">
        <w:rPr>
          <w:sz w:val="28"/>
        </w:rPr>
        <w:t>Оценка доли портфеля ценных бумаг в активах банка А</w:t>
      </w:r>
      <w:r w:rsidR="00F06851">
        <w:rPr>
          <w:sz w:val="28"/>
          <w:szCs w:val="28"/>
        </w:rPr>
        <w:t xml:space="preserve">.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5"/>
        <w:gridCol w:w="1230"/>
        <w:gridCol w:w="1230"/>
        <w:gridCol w:w="1080"/>
        <w:gridCol w:w="1590"/>
        <w:gridCol w:w="1590"/>
      </w:tblGrid>
      <w:tr w:rsidR="008F6B58" w:rsidRPr="00435482" w:rsidTr="00435482">
        <w:trPr>
          <w:tblCellSpacing w:w="0" w:type="dxa"/>
        </w:trPr>
        <w:tc>
          <w:tcPr>
            <w:tcW w:w="2445" w:type="dxa"/>
            <w:vAlign w:val="bottom"/>
          </w:tcPr>
          <w:p w:rsidR="00F06851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Показатели</w:t>
            </w:r>
          </w:p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bottom"/>
          </w:tcPr>
          <w:p w:rsidR="00F06851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01</w:t>
            </w:r>
            <w:r w:rsidR="00F06851" w:rsidRPr="00435482">
              <w:rPr>
                <w:sz w:val="20"/>
                <w:szCs w:val="20"/>
              </w:rPr>
              <w:t xml:space="preserve">. </w:t>
            </w:r>
            <w:r w:rsidRPr="00435482">
              <w:rPr>
                <w:sz w:val="20"/>
                <w:szCs w:val="20"/>
              </w:rPr>
              <w:t>01</w:t>
            </w:r>
            <w:r w:rsidR="00F06851" w:rsidRPr="00435482">
              <w:rPr>
                <w:sz w:val="20"/>
                <w:szCs w:val="20"/>
              </w:rPr>
              <w:t xml:space="preserve">. </w:t>
            </w:r>
            <w:r w:rsidRPr="00435482">
              <w:rPr>
                <w:sz w:val="20"/>
                <w:szCs w:val="20"/>
              </w:rPr>
              <w:t>04</w:t>
            </w:r>
          </w:p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bottom"/>
          </w:tcPr>
          <w:p w:rsidR="00F06851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01</w:t>
            </w:r>
            <w:r w:rsidR="00F06851" w:rsidRPr="00435482">
              <w:rPr>
                <w:sz w:val="20"/>
                <w:szCs w:val="20"/>
              </w:rPr>
              <w:t xml:space="preserve">. </w:t>
            </w:r>
            <w:r w:rsidRPr="00435482">
              <w:rPr>
                <w:sz w:val="20"/>
                <w:szCs w:val="20"/>
              </w:rPr>
              <w:t>01</w:t>
            </w:r>
            <w:r w:rsidR="00F06851" w:rsidRPr="00435482">
              <w:rPr>
                <w:sz w:val="20"/>
                <w:szCs w:val="20"/>
              </w:rPr>
              <w:t xml:space="preserve">. </w:t>
            </w:r>
            <w:r w:rsidRPr="00435482">
              <w:rPr>
                <w:sz w:val="20"/>
                <w:szCs w:val="20"/>
              </w:rPr>
              <w:t>05</w:t>
            </w:r>
          </w:p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F06851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01</w:t>
            </w:r>
            <w:r w:rsidR="00F06851" w:rsidRPr="00435482">
              <w:rPr>
                <w:sz w:val="20"/>
                <w:szCs w:val="20"/>
              </w:rPr>
              <w:t xml:space="preserve">. </w:t>
            </w:r>
            <w:r w:rsidRPr="00435482">
              <w:rPr>
                <w:sz w:val="20"/>
                <w:szCs w:val="20"/>
              </w:rPr>
              <w:t>01</w:t>
            </w:r>
            <w:r w:rsidR="00F06851" w:rsidRPr="00435482">
              <w:rPr>
                <w:sz w:val="20"/>
                <w:szCs w:val="20"/>
              </w:rPr>
              <w:t xml:space="preserve">. </w:t>
            </w:r>
            <w:r w:rsidRPr="00435482">
              <w:rPr>
                <w:sz w:val="20"/>
                <w:szCs w:val="20"/>
              </w:rPr>
              <w:t>06</w:t>
            </w:r>
          </w:p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Темп прироста</w:t>
            </w:r>
          </w:p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2004 - 2005</w:t>
            </w:r>
          </w:p>
        </w:tc>
        <w:tc>
          <w:tcPr>
            <w:tcW w:w="159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Темп</w:t>
            </w:r>
            <w:r w:rsidR="00F06851" w:rsidRPr="00435482">
              <w:rPr>
                <w:sz w:val="20"/>
                <w:szCs w:val="20"/>
              </w:rPr>
              <w:t xml:space="preserve"> </w:t>
            </w:r>
            <w:r w:rsidRPr="00435482">
              <w:rPr>
                <w:sz w:val="20"/>
                <w:szCs w:val="20"/>
              </w:rPr>
              <w:t>прироста</w:t>
            </w:r>
          </w:p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2005 - 2006</w:t>
            </w:r>
          </w:p>
        </w:tc>
      </w:tr>
      <w:tr w:rsidR="008F6B58" w:rsidRPr="00435482" w:rsidTr="00435482">
        <w:trPr>
          <w:tblCellSpacing w:w="0" w:type="dxa"/>
        </w:trPr>
        <w:tc>
          <w:tcPr>
            <w:tcW w:w="2445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Объем портфеля ценных бумаг (тыс руб)</w:t>
            </w:r>
          </w:p>
        </w:tc>
        <w:tc>
          <w:tcPr>
            <w:tcW w:w="123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505 971</w:t>
            </w:r>
          </w:p>
        </w:tc>
        <w:tc>
          <w:tcPr>
            <w:tcW w:w="123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492 843</w:t>
            </w:r>
          </w:p>
        </w:tc>
        <w:tc>
          <w:tcPr>
            <w:tcW w:w="108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437 125</w:t>
            </w:r>
          </w:p>
        </w:tc>
        <w:tc>
          <w:tcPr>
            <w:tcW w:w="159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 Минус 2</w:t>
            </w:r>
            <w:r w:rsidR="00F06851" w:rsidRPr="00435482">
              <w:rPr>
                <w:sz w:val="20"/>
                <w:szCs w:val="20"/>
              </w:rPr>
              <w:t xml:space="preserve">, </w:t>
            </w:r>
            <w:r w:rsidRPr="00435482">
              <w:rPr>
                <w:sz w:val="20"/>
                <w:szCs w:val="20"/>
              </w:rPr>
              <w:t>59</w:t>
            </w:r>
          </w:p>
        </w:tc>
        <w:tc>
          <w:tcPr>
            <w:tcW w:w="159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Минус 11</w:t>
            </w:r>
            <w:r w:rsidR="00F06851" w:rsidRPr="00435482">
              <w:rPr>
                <w:sz w:val="20"/>
                <w:szCs w:val="20"/>
              </w:rPr>
              <w:t xml:space="preserve">, </w:t>
            </w:r>
            <w:r w:rsidRPr="00435482">
              <w:rPr>
                <w:sz w:val="20"/>
                <w:szCs w:val="20"/>
              </w:rPr>
              <w:t>3</w:t>
            </w:r>
          </w:p>
        </w:tc>
      </w:tr>
      <w:tr w:rsidR="008F6B58" w:rsidRPr="00435482" w:rsidTr="00435482">
        <w:trPr>
          <w:tblCellSpacing w:w="0" w:type="dxa"/>
        </w:trPr>
        <w:tc>
          <w:tcPr>
            <w:tcW w:w="2445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Доля ПЦБ в активах банка</w:t>
            </w:r>
          </w:p>
        </w:tc>
        <w:tc>
          <w:tcPr>
            <w:tcW w:w="123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9</w:t>
            </w:r>
            <w:r w:rsidR="00F06851" w:rsidRPr="00435482">
              <w:rPr>
                <w:sz w:val="20"/>
                <w:szCs w:val="20"/>
              </w:rPr>
              <w:t xml:space="preserve">, </w:t>
            </w:r>
            <w:r w:rsidRPr="00435482"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7</w:t>
            </w:r>
            <w:r w:rsidR="00F06851" w:rsidRPr="00435482">
              <w:rPr>
                <w:sz w:val="20"/>
                <w:szCs w:val="20"/>
              </w:rPr>
              <w:t xml:space="preserve">, </w:t>
            </w:r>
            <w:r w:rsidRPr="00435482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4</w:t>
            </w:r>
            <w:r w:rsidR="00F06851" w:rsidRPr="00435482">
              <w:rPr>
                <w:sz w:val="20"/>
                <w:szCs w:val="20"/>
              </w:rPr>
              <w:t xml:space="preserve">, </w:t>
            </w:r>
            <w:r w:rsidRPr="00435482">
              <w:rPr>
                <w:sz w:val="20"/>
                <w:szCs w:val="20"/>
              </w:rPr>
              <w:t>6</w:t>
            </w:r>
          </w:p>
        </w:tc>
        <w:tc>
          <w:tcPr>
            <w:tcW w:w="159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 ----</w:t>
            </w:r>
          </w:p>
        </w:tc>
        <w:tc>
          <w:tcPr>
            <w:tcW w:w="159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 ----</w:t>
            </w:r>
          </w:p>
        </w:tc>
      </w:tr>
      <w:tr w:rsidR="008F6B58" w:rsidRPr="00435482" w:rsidTr="00435482">
        <w:trPr>
          <w:tblCellSpacing w:w="0" w:type="dxa"/>
        </w:trPr>
        <w:tc>
          <w:tcPr>
            <w:tcW w:w="2445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Доля ПЦБ в работающих активах</w:t>
            </w:r>
          </w:p>
        </w:tc>
        <w:tc>
          <w:tcPr>
            <w:tcW w:w="123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26</w:t>
            </w:r>
            <w:r w:rsidR="00F06851" w:rsidRPr="00435482">
              <w:rPr>
                <w:sz w:val="20"/>
                <w:szCs w:val="20"/>
              </w:rPr>
              <w:t xml:space="preserve">, </w:t>
            </w:r>
            <w:r w:rsidRPr="00435482">
              <w:rPr>
                <w:sz w:val="20"/>
                <w:szCs w:val="20"/>
              </w:rPr>
              <w:t>8</w:t>
            </w:r>
          </w:p>
        </w:tc>
        <w:tc>
          <w:tcPr>
            <w:tcW w:w="123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19</w:t>
            </w:r>
            <w:r w:rsidR="00F06851" w:rsidRPr="00435482">
              <w:rPr>
                <w:sz w:val="20"/>
                <w:szCs w:val="20"/>
              </w:rPr>
              <w:t xml:space="preserve">, </w:t>
            </w:r>
            <w:r w:rsidRPr="00435482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7</w:t>
            </w:r>
            <w:r w:rsidR="00F06851" w:rsidRPr="00435482">
              <w:rPr>
                <w:sz w:val="20"/>
                <w:szCs w:val="20"/>
              </w:rPr>
              <w:t xml:space="preserve">, </w:t>
            </w:r>
            <w:r w:rsidRPr="00435482">
              <w:rPr>
                <w:sz w:val="20"/>
                <w:szCs w:val="20"/>
              </w:rPr>
              <w:t>86</w:t>
            </w:r>
          </w:p>
        </w:tc>
        <w:tc>
          <w:tcPr>
            <w:tcW w:w="159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 ----</w:t>
            </w:r>
          </w:p>
        </w:tc>
        <w:tc>
          <w:tcPr>
            <w:tcW w:w="1590" w:type="dxa"/>
            <w:vAlign w:val="bottom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5482">
              <w:rPr>
                <w:sz w:val="20"/>
                <w:szCs w:val="20"/>
              </w:rPr>
              <w:t> ----</w:t>
            </w:r>
          </w:p>
        </w:tc>
      </w:tr>
    </w:tbl>
    <w:p w:rsidR="00435482" w:rsidRDefault="00435482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Анализ данных показал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абсолютная величина портфеля ценных бумаг неуклонно снижается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позволяет сделать вывод о том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банк переориентирует свою деятельность с рынка ценных бумаг на рынок ссудных капиталов (как показали расчеты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при одновременном снижении объемов вложенных в ценные бумаги средств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величина кредитного портфеля растет)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Та же тенденция выявлена и при анализе доли портфеля ценных бумаг в активах банка: если на 01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01</w:t>
      </w:r>
      <w:r w:rsidR="00F0685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04 г"/>
        </w:smartTagPr>
        <w:r w:rsidRPr="00F06851">
          <w:rPr>
            <w:sz w:val="28"/>
            <w:szCs w:val="28"/>
          </w:rPr>
          <w:t>04 г</w:t>
        </w:r>
      </w:smartTag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удельный вес вложений в ценные бумаги в структуре совокупных активов составлял 9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08%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то к 01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01</w:t>
      </w:r>
      <w:r w:rsidR="00F0685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06 г"/>
        </w:smartTagPr>
        <w:r w:rsidRPr="00F06851">
          <w:rPr>
            <w:sz w:val="28"/>
            <w:szCs w:val="28"/>
          </w:rPr>
          <w:t>06 г</w:t>
        </w:r>
      </w:smartTag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– лишь 4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58%</w:t>
      </w:r>
      <w:r w:rsidR="00F06851">
        <w:rPr>
          <w:sz w:val="28"/>
          <w:szCs w:val="28"/>
        </w:rPr>
        <w:t xml:space="preserve">. </w:t>
      </w: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Анализируя долю портфеля ценных бумаг в работающих активах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можно сказать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если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в начале исследуемого периода данный показатель составлял 26%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является высоким показателем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то к концу - 7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9%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Данная динамика позволяет сделать вывод о том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влияние деятельности с ценными бумагами на формирование доходов банка снижается</w:t>
      </w:r>
      <w:r w:rsidR="00F06851">
        <w:rPr>
          <w:sz w:val="28"/>
          <w:szCs w:val="28"/>
        </w:rPr>
        <w:t xml:space="preserve">. </w:t>
      </w:r>
    </w:p>
    <w:p w:rsid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Следует отметить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классифицировать ценные бумаги в портфели при самостоятельном проведении анализа не представляется возможным из-за недостаточности информации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Так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если акции или облигации уже учтены банком по соответствующим счетам формы №101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то векселя учитываются на счетах 512-519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и провести их классификацию по портфелям невозможно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так как мы не обладаем информацией о целях приобретения банком данных ценных бумаг</w:t>
      </w:r>
      <w:r w:rsidR="00F06851">
        <w:rPr>
          <w:sz w:val="28"/>
          <w:szCs w:val="28"/>
        </w:rPr>
        <w:t xml:space="preserve">. </w:t>
      </w: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Поэтому мы предлагаем более упрощенную классификацию портфелей банка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где отдельно выделяются:</w:t>
      </w: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 торговый портфель – ценные бумаги для продажи;</w:t>
      </w: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 инвестиционный портфель – ценные бумаги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приобретенные до погашения;</w:t>
      </w: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 портфель векселей;</w:t>
      </w: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 портфель контрольного участия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который состоит из вложений банка в акции дочерних и зависимых акционерных обществ (счет 601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кроме 60105)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и прочее участие банка в уставных капиталах банков и прочих организаций (счет 602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кроме 60206)</w:t>
      </w:r>
      <w:r w:rsidR="00F06851">
        <w:rPr>
          <w:sz w:val="28"/>
          <w:szCs w:val="28"/>
        </w:rPr>
        <w:t xml:space="preserve">. </w:t>
      </w: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Анализ структуры совокупного портфеля ценных бумаг по составляющим мож</w:t>
      </w:r>
      <w:r w:rsidR="001F0775" w:rsidRPr="00F06851">
        <w:rPr>
          <w:sz w:val="28"/>
          <w:szCs w:val="28"/>
        </w:rPr>
        <w:t>но провести</w:t>
      </w:r>
      <w:r w:rsidR="00F06851">
        <w:rPr>
          <w:sz w:val="28"/>
          <w:szCs w:val="28"/>
        </w:rPr>
        <w:t xml:space="preserve">, </w:t>
      </w:r>
      <w:r w:rsidR="001F0775" w:rsidRPr="00F06851">
        <w:rPr>
          <w:sz w:val="28"/>
          <w:szCs w:val="28"/>
        </w:rPr>
        <w:t>используя таблицу 4</w:t>
      </w:r>
      <w:r w:rsidR="00F06851">
        <w:rPr>
          <w:sz w:val="28"/>
          <w:szCs w:val="28"/>
        </w:rPr>
        <w:t xml:space="preserve">. </w:t>
      </w:r>
    </w:p>
    <w:p w:rsidR="008F6B58" w:rsidRPr="00F06851" w:rsidRDefault="00435482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677188" w:rsidRPr="00F06851">
        <w:rPr>
          <w:sz w:val="28"/>
        </w:rPr>
        <w:t>Таблица 4</w:t>
      </w:r>
      <w:r w:rsidR="00F06851">
        <w:rPr>
          <w:sz w:val="28"/>
        </w:rPr>
        <w:t xml:space="preserve">. </w:t>
      </w:r>
      <w:r w:rsidR="008F6B58" w:rsidRPr="00F06851">
        <w:rPr>
          <w:sz w:val="28"/>
        </w:rPr>
        <w:t>Структура портфеля ценных бумаг коммерческого банка</w:t>
      </w:r>
      <w:r w:rsidR="00F06851">
        <w:rPr>
          <w:sz w:val="28"/>
          <w:szCs w:val="28"/>
        </w:rPr>
        <w:t xml:space="preserve">.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1"/>
        <w:gridCol w:w="989"/>
        <w:gridCol w:w="926"/>
        <w:gridCol w:w="988"/>
        <w:gridCol w:w="926"/>
        <w:gridCol w:w="988"/>
        <w:gridCol w:w="926"/>
      </w:tblGrid>
      <w:tr w:rsidR="008F6B58" w:rsidRPr="00435482" w:rsidTr="00435482">
        <w:trPr>
          <w:tblCellSpacing w:w="0" w:type="dxa"/>
        </w:trPr>
        <w:tc>
          <w:tcPr>
            <w:tcW w:w="1936" w:type="pct"/>
            <w:vMerge w:val="restar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Вид портфеля</w:t>
            </w:r>
          </w:p>
        </w:tc>
        <w:tc>
          <w:tcPr>
            <w:tcW w:w="1021" w:type="pct"/>
            <w:gridSpan w:val="2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Период 1</w:t>
            </w:r>
          </w:p>
        </w:tc>
        <w:tc>
          <w:tcPr>
            <w:tcW w:w="1021" w:type="pct"/>
            <w:gridSpan w:val="2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Период 2</w:t>
            </w:r>
          </w:p>
        </w:tc>
        <w:tc>
          <w:tcPr>
            <w:tcW w:w="1021" w:type="pct"/>
            <w:gridSpan w:val="2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Период 3</w:t>
            </w:r>
          </w:p>
        </w:tc>
      </w:tr>
      <w:tr w:rsidR="008F6B58" w:rsidRPr="00435482" w:rsidTr="00435482">
        <w:trPr>
          <w:tblCellSpacing w:w="0" w:type="dxa"/>
        </w:trPr>
        <w:tc>
          <w:tcPr>
            <w:tcW w:w="1936" w:type="pct"/>
            <w:vMerge/>
            <w:vAlign w:val="center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Тыс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руб</w:t>
            </w:r>
            <w:r w:rsidR="00F06851" w:rsidRPr="00435482">
              <w:rPr>
                <w:sz w:val="20"/>
              </w:rPr>
              <w:t xml:space="preserve">. 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Уд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вес</w:t>
            </w:r>
            <w:r w:rsidR="00F06851" w:rsidRPr="00435482">
              <w:rPr>
                <w:sz w:val="20"/>
              </w:rPr>
              <w:t xml:space="preserve">. 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Тыс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руб</w:t>
            </w:r>
            <w:r w:rsidR="00F06851" w:rsidRPr="00435482">
              <w:rPr>
                <w:sz w:val="20"/>
              </w:rPr>
              <w:t xml:space="preserve">. 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Уд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вес</w:t>
            </w:r>
            <w:r w:rsidR="00F06851" w:rsidRPr="00435482">
              <w:rPr>
                <w:sz w:val="20"/>
              </w:rPr>
              <w:t xml:space="preserve">. 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Тыс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руб</w:t>
            </w:r>
            <w:r w:rsidR="00F06851" w:rsidRPr="00435482">
              <w:rPr>
                <w:sz w:val="20"/>
              </w:rPr>
              <w:t xml:space="preserve">. 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Уд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вес</w:t>
            </w:r>
            <w:r w:rsidR="00F06851" w:rsidRPr="00435482">
              <w:rPr>
                <w:sz w:val="20"/>
              </w:rPr>
              <w:t xml:space="preserve">. </w:t>
            </w:r>
          </w:p>
        </w:tc>
      </w:tr>
      <w:tr w:rsidR="008F6B58" w:rsidRPr="00435482" w:rsidTr="00435482">
        <w:trPr>
          <w:tblCellSpacing w:w="0" w:type="dxa"/>
        </w:trPr>
        <w:tc>
          <w:tcPr>
            <w:tcW w:w="1936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Торговый портфель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</w:tr>
      <w:tr w:rsidR="008F6B58" w:rsidRPr="00435482" w:rsidTr="00435482">
        <w:trPr>
          <w:tblCellSpacing w:w="0" w:type="dxa"/>
        </w:trPr>
        <w:tc>
          <w:tcPr>
            <w:tcW w:w="1936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Инвестиционный портфель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</w:tr>
      <w:tr w:rsidR="008F6B58" w:rsidRPr="00435482" w:rsidTr="00435482">
        <w:trPr>
          <w:tblCellSpacing w:w="0" w:type="dxa"/>
        </w:trPr>
        <w:tc>
          <w:tcPr>
            <w:tcW w:w="1936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Портфель контрольного участия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</w:tr>
      <w:tr w:rsidR="008F6B58" w:rsidRPr="00435482" w:rsidTr="00435482">
        <w:trPr>
          <w:tblCellSpacing w:w="0" w:type="dxa"/>
        </w:trPr>
        <w:tc>
          <w:tcPr>
            <w:tcW w:w="1936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Портфель векселей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</w:tr>
      <w:tr w:rsidR="008F6B58" w:rsidRPr="00435482" w:rsidTr="00435482">
        <w:trPr>
          <w:tblCellSpacing w:w="0" w:type="dxa"/>
        </w:trPr>
        <w:tc>
          <w:tcPr>
            <w:tcW w:w="1936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Совокупный портфель ценных бумаг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100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100</w:t>
            </w:r>
          </w:p>
        </w:tc>
        <w:tc>
          <w:tcPr>
            <w:tcW w:w="527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494" w:type="pct"/>
          </w:tcPr>
          <w:p w:rsidR="008F6B58" w:rsidRPr="00435482" w:rsidRDefault="008F6B5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100</w:t>
            </w:r>
          </w:p>
        </w:tc>
      </w:tr>
    </w:tbl>
    <w:p w:rsidR="00435482" w:rsidRDefault="00435482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В процессе анализа полученных результатов могут быть сделаны следующие выводы</w:t>
      </w:r>
      <w:r w:rsidR="00F06851">
        <w:rPr>
          <w:sz w:val="28"/>
          <w:szCs w:val="28"/>
        </w:rPr>
        <w:t xml:space="preserve">. </w:t>
      </w: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1) В случае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если торговый портфель занимает основной удельный вес в совокупном портфеле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то отсюда следует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банк ведет рискованную спекулятивную деятельность на рынке ценных бумаг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но рассчитывает на более высокий доход от этих операций</w:t>
      </w:r>
      <w:r w:rsidR="00F06851">
        <w:rPr>
          <w:sz w:val="28"/>
          <w:szCs w:val="28"/>
        </w:rPr>
        <w:t xml:space="preserve">. </w:t>
      </w: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2) В случае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если вложения в инвестиционный портфель занимают наибольший вес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то можно сказать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банк ведет консервативную деятельность на рынке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ценных бумаг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вкладывая свои ресурсы на длительные периоды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и это дает возможность получить доход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но в размере ниже спекулятивного</w:t>
      </w:r>
      <w:r w:rsidR="00F06851">
        <w:rPr>
          <w:sz w:val="28"/>
          <w:szCs w:val="28"/>
        </w:rPr>
        <w:t xml:space="preserve">. </w:t>
      </w:r>
    </w:p>
    <w:p w:rsidR="008F6B5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3) Если же вложения денежных ресурсов в портфель контрольного участия являются наибольшими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то следует сделать вывод о том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банк не стремится получать доходы от операций с ценными бумагами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а преследует цель получения контроля за организациями и банками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эмитирующие данные ценные бумаги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Увеличение таких вложений снижает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объем собственного капитала-нетто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также приводит к потере доходности банковских операций</w:t>
      </w:r>
      <w:r w:rsidR="00F06851">
        <w:rPr>
          <w:sz w:val="28"/>
          <w:szCs w:val="28"/>
        </w:rPr>
        <w:t xml:space="preserve">. </w:t>
      </w:r>
    </w:p>
    <w:p w:rsidR="00677188" w:rsidRPr="00F06851" w:rsidRDefault="008F6B5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4)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Операции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с векселями являются традиционными операциями банка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поэтому рост объемов учтенных векселей свидетельствует лишь о наличии у банка свободных ресурсов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которые можно эффективно разместить в векселя надежных векселедателей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Следует отметить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наиболее активно банки начинают работать с векселями в периоды экономических кризисов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когда данные бумаги используются хозяйствующими субъектами как инструменты расчетов</w:t>
      </w:r>
      <w:r w:rsidR="00F06851">
        <w:rPr>
          <w:sz w:val="28"/>
          <w:szCs w:val="28"/>
        </w:rPr>
        <w:t xml:space="preserve">. </w:t>
      </w:r>
      <w:r w:rsidR="00677188" w:rsidRPr="00F06851">
        <w:rPr>
          <w:sz w:val="28"/>
          <w:szCs w:val="28"/>
        </w:rPr>
        <w:t>В настоящее время доля средств</w:t>
      </w:r>
      <w:r w:rsidR="00F06851">
        <w:rPr>
          <w:sz w:val="28"/>
          <w:szCs w:val="28"/>
        </w:rPr>
        <w:t xml:space="preserve">, </w:t>
      </w:r>
      <w:r w:rsidR="00677188" w:rsidRPr="00F06851">
        <w:rPr>
          <w:sz w:val="28"/>
          <w:szCs w:val="28"/>
        </w:rPr>
        <w:t>вкладываемых банками в ценные бумаги нерезидентов</w:t>
      </w:r>
      <w:r w:rsidR="00F06851">
        <w:rPr>
          <w:sz w:val="28"/>
          <w:szCs w:val="28"/>
        </w:rPr>
        <w:t xml:space="preserve">, </w:t>
      </w:r>
      <w:r w:rsidR="00677188" w:rsidRPr="00F06851">
        <w:rPr>
          <w:sz w:val="28"/>
          <w:szCs w:val="28"/>
        </w:rPr>
        <w:t>незначительна</w:t>
      </w:r>
      <w:r w:rsidR="00F06851">
        <w:rPr>
          <w:sz w:val="28"/>
          <w:szCs w:val="28"/>
        </w:rPr>
        <w:t xml:space="preserve">, </w:t>
      </w:r>
      <w:r w:rsidR="00677188" w:rsidRPr="00F06851">
        <w:rPr>
          <w:sz w:val="28"/>
          <w:szCs w:val="28"/>
        </w:rPr>
        <w:t>хотя имеет положительный рост</w:t>
      </w:r>
      <w:r w:rsidR="00F06851">
        <w:rPr>
          <w:sz w:val="28"/>
          <w:szCs w:val="28"/>
        </w:rPr>
        <w:t xml:space="preserve">, </w:t>
      </w:r>
      <w:r w:rsidR="00677188" w:rsidRPr="00F06851">
        <w:rPr>
          <w:sz w:val="28"/>
          <w:szCs w:val="28"/>
        </w:rPr>
        <w:t>что</w:t>
      </w:r>
      <w:r w:rsidR="00F06851">
        <w:rPr>
          <w:sz w:val="28"/>
          <w:szCs w:val="28"/>
        </w:rPr>
        <w:t xml:space="preserve">, </w:t>
      </w:r>
      <w:r w:rsidR="00677188" w:rsidRPr="00F06851">
        <w:rPr>
          <w:sz w:val="28"/>
          <w:szCs w:val="28"/>
        </w:rPr>
        <w:t>в первую очередь</w:t>
      </w:r>
      <w:r w:rsidR="00F06851">
        <w:rPr>
          <w:sz w:val="28"/>
          <w:szCs w:val="28"/>
        </w:rPr>
        <w:t xml:space="preserve">, </w:t>
      </w:r>
      <w:r w:rsidR="00677188" w:rsidRPr="00F06851">
        <w:rPr>
          <w:sz w:val="28"/>
          <w:szCs w:val="28"/>
        </w:rPr>
        <w:t>связано с меньшими рисками таких вложений</w:t>
      </w:r>
      <w:r w:rsidR="00F06851">
        <w:rPr>
          <w:sz w:val="28"/>
          <w:szCs w:val="28"/>
        </w:rPr>
        <w:t xml:space="preserve">. </w:t>
      </w:r>
      <w:r w:rsidR="00677188" w:rsidRPr="00F06851">
        <w:rPr>
          <w:sz w:val="28"/>
          <w:szCs w:val="28"/>
        </w:rPr>
        <w:t>Проведем анализ состава и структуры портфеля ценных бумаг на примере банка А</w:t>
      </w:r>
      <w:r w:rsidR="00F06851">
        <w:rPr>
          <w:sz w:val="28"/>
          <w:szCs w:val="28"/>
        </w:rPr>
        <w:t xml:space="preserve">. </w:t>
      </w:r>
    </w:p>
    <w:p w:rsidR="00435482" w:rsidRDefault="00435482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77188" w:rsidRPr="00F06851" w:rsidRDefault="00677188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 w:rsidRPr="00F06851">
        <w:rPr>
          <w:sz w:val="28"/>
        </w:rPr>
        <w:t>Таблица 5</w:t>
      </w:r>
      <w:r w:rsidR="00F06851">
        <w:rPr>
          <w:sz w:val="28"/>
        </w:rPr>
        <w:t xml:space="preserve">. </w:t>
      </w:r>
      <w:r w:rsidRPr="00F06851">
        <w:rPr>
          <w:sz w:val="28"/>
        </w:rPr>
        <w:t>Состав и структура портфеля ценных бумаг</w:t>
      </w:r>
      <w:r w:rsidR="00F06851">
        <w:rPr>
          <w:sz w:val="28"/>
        </w:rPr>
        <w:t xml:space="preserve">.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23"/>
        <w:gridCol w:w="1228"/>
        <w:gridCol w:w="1279"/>
        <w:gridCol w:w="1228"/>
        <w:gridCol w:w="1279"/>
        <w:gridCol w:w="1337"/>
        <w:gridCol w:w="1400"/>
      </w:tblGrid>
      <w:tr w:rsidR="00677188" w:rsidRPr="00435482" w:rsidTr="00435482">
        <w:trPr>
          <w:tblCellSpacing w:w="0" w:type="dxa"/>
        </w:trPr>
        <w:tc>
          <w:tcPr>
            <w:tcW w:w="866" w:type="pct"/>
            <w:vMerge w:val="restar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Показатели</w:t>
            </w:r>
          </w:p>
        </w:tc>
        <w:tc>
          <w:tcPr>
            <w:tcW w:w="1337" w:type="pct"/>
            <w:gridSpan w:val="2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На 01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01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09</w:t>
            </w:r>
          </w:p>
        </w:tc>
        <w:tc>
          <w:tcPr>
            <w:tcW w:w="1337" w:type="pct"/>
            <w:gridSpan w:val="2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на 01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04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09</w:t>
            </w:r>
          </w:p>
        </w:tc>
        <w:tc>
          <w:tcPr>
            <w:tcW w:w="1460" w:type="pct"/>
            <w:gridSpan w:val="2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на 01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07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09</w:t>
            </w:r>
          </w:p>
        </w:tc>
      </w:tr>
      <w:tr w:rsidR="00677188" w:rsidRPr="00435482" w:rsidTr="00435482">
        <w:trPr>
          <w:tblCellSpacing w:w="0" w:type="dxa"/>
        </w:trPr>
        <w:tc>
          <w:tcPr>
            <w:tcW w:w="866" w:type="pct"/>
            <w:vMerge/>
            <w:vAlign w:val="center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55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тыс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руб</w:t>
            </w:r>
            <w:r w:rsidR="00F06851" w:rsidRPr="00435482">
              <w:rPr>
                <w:sz w:val="20"/>
              </w:rPr>
              <w:t xml:space="preserve">. </w:t>
            </w:r>
          </w:p>
        </w:tc>
        <w:tc>
          <w:tcPr>
            <w:tcW w:w="682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Уд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вес</w:t>
            </w:r>
          </w:p>
        </w:tc>
        <w:tc>
          <w:tcPr>
            <w:tcW w:w="655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тыс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руб</w:t>
            </w:r>
            <w:r w:rsidR="00F06851" w:rsidRPr="00435482">
              <w:rPr>
                <w:sz w:val="20"/>
              </w:rPr>
              <w:t xml:space="preserve">. </w:t>
            </w:r>
          </w:p>
        </w:tc>
        <w:tc>
          <w:tcPr>
            <w:tcW w:w="682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Уд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вес</w:t>
            </w:r>
          </w:p>
        </w:tc>
        <w:tc>
          <w:tcPr>
            <w:tcW w:w="713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тыс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руб</w:t>
            </w:r>
            <w:r w:rsidR="00F06851" w:rsidRPr="00435482">
              <w:rPr>
                <w:sz w:val="20"/>
              </w:rPr>
              <w:t xml:space="preserve">. </w:t>
            </w:r>
          </w:p>
        </w:tc>
        <w:tc>
          <w:tcPr>
            <w:tcW w:w="747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Уд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вес</w:t>
            </w:r>
          </w:p>
        </w:tc>
      </w:tr>
      <w:tr w:rsidR="00677188" w:rsidRPr="00435482" w:rsidTr="00435482">
        <w:trPr>
          <w:tblCellSpacing w:w="0" w:type="dxa"/>
        </w:trPr>
        <w:tc>
          <w:tcPr>
            <w:tcW w:w="866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Торговый портфель</w:t>
            </w:r>
          </w:p>
        </w:tc>
        <w:tc>
          <w:tcPr>
            <w:tcW w:w="655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842</w:t>
            </w:r>
          </w:p>
        </w:tc>
        <w:tc>
          <w:tcPr>
            <w:tcW w:w="682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16</w:t>
            </w:r>
          </w:p>
        </w:tc>
        <w:tc>
          <w:tcPr>
            <w:tcW w:w="655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</w:t>
            </w:r>
          </w:p>
        </w:tc>
        <w:tc>
          <w:tcPr>
            <w:tcW w:w="682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</w:t>
            </w:r>
          </w:p>
        </w:tc>
        <w:tc>
          <w:tcPr>
            <w:tcW w:w="713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115 988</w:t>
            </w:r>
          </w:p>
        </w:tc>
        <w:tc>
          <w:tcPr>
            <w:tcW w:w="747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26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5</w:t>
            </w:r>
          </w:p>
        </w:tc>
      </w:tr>
      <w:tr w:rsidR="00677188" w:rsidRPr="00435482" w:rsidTr="00435482">
        <w:trPr>
          <w:tblCellSpacing w:w="0" w:type="dxa"/>
        </w:trPr>
        <w:tc>
          <w:tcPr>
            <w:tcW w:w="866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Инвестиционный портфель</w:t>
            </w:r>
          </w:p>
        </w:tc>
        <w:tc>
          <w:tcPr>
            <w:tcW w:w="655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172 580</w:t>
            </w:r>
          </w:p>
        </w:tc>
        <w:tc>
          <w:tcPr>
            <w:tcW w:w="682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34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1</w:t>
            </w:r>
          </w:p>
        </w:tc>
        <w:tc>
          <w:tcPr>
            <w:tcW w:w="655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395 222</w:t>
            </w:r>
          </w:p>
        </w:tc>
        <w:tc>
          <w:tcPr>
            <w:tcW w:w="682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80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19</w:t>
            </w:r>
          </w:p>
        </w:tc>
        <w:tc>
          <w:tcPr>
            <w:tcW w:w="713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166 928</w:t>
            </w:r>
          </w:p>
        </w:tc>
        <w:tc>
          <w:tcPr>
            <w:tcW w:w="747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38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18</w:t>
            </w:r>
          </w:p>
        </w:tc>
      </w:tr>
      <w:tr w:rsidR="00677188" w:rsidRPr="00435482" w:rsidTr="00435482">
        <w:trPr>
          <w:tblCellSpacing w:w="0" w:type="dxa"/>
        </w:trPr>
        <w:tc>
          <w:tcPr>
            <w:tcW w:w="866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Портфель контрольного участия</w:t>
            </w:r>
          </w:p>
        </w:tc>
        <w:tc>
          <w:tcPr>
            <w:tcW w:w="655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10</w:t>
            </w:r>
          </w:p>
        </w:tc>
        <w:tc>
          <w:tcPr>
            <w:tcW w:w="682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001</w:t>
            </w:r>
          </w:p>
        </w:tc>
        <w:tc>
          <w:tcPr>
            <w:tcW w:w="655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</w:t>
            </w:r>
          </w:p>
        </w:tc>
        <w:tc>
          <w:tcPr>
            <w:tcW w:w="682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</w:t>
            </w:r>
          </w:p>
        </w:tc>
        <w:tc>
          <w:tcPr>
            <w:tcW w:w="713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</w:t>
            </w:r>
          </w:p>
        </w:tc>
        <w:tc>
          <w:tcPr>
            <w:tcW w:w="747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</w:t>
            </w:r>
          </w:p>
        </w:tc>
      </w:tr>
      <w:tr w:rsidR="00677188" w:rsidRPr="00435482" w:rsidTr="00435482">
        <w:trPr>
          <w:tblCellSpacing w:w="0" w:type="dxa"/>
        </w:trPr>
        <w:tc>
          <w:tcPr>
            <w:tcW w:w="866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Портфель векселей</w:t>
            </w:r>
          </w:p>
        </w:tc>
        <w:tc>
          <w:tcPr>
            <w:tcW w:w="655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332 539</w:t>
            </w:r>
          </w:p>
        </w:tc>
        <w:tc>
          <w:tcPr>
            <w:tcW w:w="682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65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7</w:t>
            </w:r>
          </w:p>
        </w:tc>
        <w:tc>
          <w:tcPr>
            <w:tcW w:w="655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97 621</w:t>
            </w:r>
          </w:p>
        </w:tc>
        <w:tc>
          <w:tcPr>
            <w:tcW w:w="682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19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8</w:t>
            </w:r>
          </w:p>
        </w:tc>
        <w:tc>
          <w:tcPr>
            <w:tcW w:w="713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154 209</w:t>
            </w:r>
          </w:p>
        </w:tc>
        <w:tc>
          <w:tcPr>
            <w:tcW w:w="747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35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27</w:t>
            </w:r>
          </w:p>
        </w:tc>
      </w:tr>
      <w:tr w:rsidR="00677188" w:rsidRPr="00435482" w:rsidTr="00435482">
        <w:trPr>
          <w:tblCellSpacing w:w="0" w:type="dxa"/>
        </w:trPr>
        <w:tc>
          <w:tcPr>
            <w:tcW w:w="866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Итого </w:t>
            </w:r>
          </w:p>
        </w:tc>
        <w:tc>
          <w:tcPr>
            <w:tcW w:w="655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505 971</w:t>
            </w:r>
          </w:p>
        </w:tc>
        <w:tc>
          <w:tcPr>
            <w:tcW w:w="682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100</w:t>
            </w:r>
          </w:p>
        </w:tc>
        <w:tc>
          <w:tcPr>
            <w:tcW w:w="655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492 843</w:t>
            </w:r>
          </w:p>
        </w:tc>
        <w:tc>
          <w:tcPr>
            <w:tcW w:w="682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100</w:t>
            </w:r>
          </w:p>
        </w:tc>
        <w:tc>
          <w:tcPr>
            <w:tcW w:w="713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437 125</w:t>
            </w:r>
          </w:p>
        </w:tc>
        <w:tc>
          <w:tcPr>
            <w:tcW w:w="747" w:type="pct"/>
            <w:vAlign w:val="bottom"/>
          </w:tcPr>
          <w:p w:rsidR="00677188" w:rsidRPr="00435482" w:rsidRDefault="00677188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100</w:t>
            </w:r>
          </w:p>
        </w:tc>
      </w:tr>
    </w:tbl>
    <w:p w:rsidR="00435482" w:rsidRDefault="00435482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7188" w:rsidRPr="00F06851" w:rsidRDefault="0067718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Анализируя данные таблицы можно сделать следующие выводы:</w:t>
      </w:r>
    </w:p>
    <w:p w:rsidR="00677188" w:rsidRPr="00F06851" w:rsidRDefault="0067718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 на протяжении всего анализируемого периода банк осуществлял вложения в векселя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Однако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если в начале анализируемого периода данные вложения занимали максимальный удельный вес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то к 01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01</w:t>
      </w:r>
      <w:r w:rsidR="00F0685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06 г"/>
        </w:smartTagPr>
        <w:r w:rsidRPr="00F06851">
          <w:rPr>
            <w:sz w:val="28"/>
            <w:szCs w:val="28"/>
          </w:rPr>
          <w:t>06 г</w:t>
        </w:r>
      </w:smartTag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доля вложений в данный вид ценных бумаг снижается до удельного веса 35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27%;</w:t>
      </w:r>
    </w:p>
    <w:p w:rsidR="00677188" w:rsidRPr="00F06851" w:rsidRDefault="00677188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06851">
        <w:rPr>
          <w:sz w:val="28"/>
          <w:szCs w:val="28"/>
        </w:rPr>
        <w:t>- к концу анализируемого периода при наблюдающемся снижении совокупных вложений в ценные бумаги удельный вес вложений в торговый и инвестиционный портфели ценных бумаг растет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Так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если удельные веса данных портфелей на 01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01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04г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составляли 0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16 и 34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1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то к концу периода 26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5 и 38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18 соответственно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Данный факт может свидетельствовать о том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банк меняет структуру портфеля ценных бумаг в сторону инвестиционных вложений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однако при этом сохраняет достаточные доли торгового портфеля и портфеля векселей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Таким образом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можно сказать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портфель ценных бумаг банка А на конец периода хорошо</w:t>
      </w:r>
      <w:r w:rsidRPr="00F06851">
        <w:rPr>
          <w:sz w:val="28"/>
        </w:rPr>
        <w:t xml:space="preserve"> </w:t>
      </w:r>
      <w:r w:rsidRPr="00F06851">
        <w:rPr>
          <w:sz w:val="28"/>
          <w:szCs w:val="28"/>
        </w:rPr>
        <w:t>диверсифицирован</w:t>
      </w:r>
      <w:r w:rsidR="00F06851">
        <w:rPr>
          <w:sz w:val="28"/>
        </w:rPr>
        <w:t xml:space="preserve">. </w:t>
      </w:r>
    </w:p>
    <w:p w:rsidR="00A2653D" w:rsidRPr="00F06851" w:rsidRDefault="00A2653D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Проведем анализ инвестиционного портфеля банка А с целью выявления причин его положительной динамики</w:t>
      </w:r>
      <w:r w:rsidR="00F06851">
        <w:rPr>
          <w:sz w:val="28"/>
          <w:szCs w:val="28"/>
        </w:rPr>
        <w:t xml:space="preserve">. </w:t>
      </w:r>
    </w:p>
    <w:p w:rsidR="00435482" w:rsidRDefault="00435482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2653D" w:rsidRPr="00F06851" w:rsidRDefault="00A2653D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06851">
        <w:rPr>
          <w:sz w:val="28"/>
        </w:rPr>
        <w:t>Таблица</w:t>
      </w:r>
      <w:r w:rsidR="00F06851">
        <w:rPr>
          <w:sz w:val="28"/>
        </w:rPr>
        <w:t xml:space="preserve"> </w:t>
      </w:r>
      <w:r w:rsidRPr="00F06851">
        <w:rPr>
          <w:sz w:val="28"/>
        </w:rPr>
        <w:t>6</w:t>
      </w:r>
      <w:r w:rsidR="00F06851">
        <w:rPr>
          <w:sz w:val="28"/>
        </w:rPr>
        <w:t xml:space="preserve">. </w:t>
      </w:r>
      <w:r w:rsidRPr="00F06851">
        <w:rPr>
          <w:sz w:val="28"/>
        </w:rPr>
        <w:t>Структурно-динамический анализ инвестиционного портфеля ценных бумаг</w:t>
      </w:r>
      <w:r w:rsidR="00F06851">
        <w:rPr>
          <w:sz w:val="28"/>
        </w:rPr>
        <w:t xml:space="preserve">.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25"/>
        <w:gridCol w:w="1457"/>
        <w:gridCol w:w="874"/>
        <w:gridCol w:w="2518"/>
      </w:tblGrid>
      <w:tr w:rsidR="00A2653D" w:rsidRPr="00435482" w:rsidTr="00435482">
        <w:trPr>
          <w:tblCellSpacing w:w="0" w:type="dxa"/>
        </w:trPr>
        <w:tc>
          <w:tcPr>
            <w:tcW w:w="2414" w:type="pct"/>
            <w:vMerge w:val="restar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Вид ценных бумаг инвестиционного портфеля</w:t>
            </w:r>
          </w:p>
        </w:tc>
        <w:tc>
          <w:tcPr>
            <w:tcW w:w="1243" w:type="pct"/>
            <w:gridSpan w:val="2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01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01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05</w:t>
            </w:r>
          </w:p>
        </w:tc>
        <w:tc>
          <w:tcPr>
            <w:tcW w:w="1343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01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01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06</w:t>
            </w:r>
          </w:p>
        </w:tc>
      </w:tr>
      <w:tr w:rsidR="00A2653D" w:rsidRPr="00435482" w:rsidTr="00435482">
        <w:trPr>
          <w:tblCellSpacing w:w="0" w:type="dxa"/>
        </w:trPr>
        <w:tc>
          <w:tcPr>
            <w:tcW w:w="2414" w:type="pct"/>
            <w:vMerge/>
            <w:vAlign w:val="center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77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Тыс руб</w:t>
            </w:r>
          </w:p>
        </w:tc>
        <w:tc>
          <w:tcPr>
            <w:tcW w:w="466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Уд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вес</w:t>
            </w:r>
          </w:p>
        </w:tc>
        <w:tc>
          <w:tcPr>
            <w:tcW w:w="1343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Тыс руб</w:t>
            </w:r>
          </w:p>
        </w:tc>
      </w:tr>
      <w:tr w:rsidR="00A2653D" w:rsidRPr="00435482" w:rsidTr="00435482">
        <w:trPr>
          <w:tblCellSpacing w:w="0" w:type="dxa"/>
        </w:trPr>
        <w:tc>
          <w:tcPr>
            <w:tcW w:w="2414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Долговые обязательства РФ</w:t>
            </w:r>
          </w:p>
        </w:tc>
        <w:tc>
          <w:tcPr>
            <w:tcW w:w="777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207 415</w:t>
            </w:r>
          </w:p>
        </w:tc>
        <w:tc>
          <w:tcPr>
            <w:tcW w:w="466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52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5</w:t>
            </w:r>
          </w:p>
        </w:tc>
        <w:tc>
          <w:tcPr>
            <w:tcW w:w="1343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71 380</w:t>
            </w:r>
          </w:p>
        </w:tc>
      </w:tr>
      <w:tr w:rsidR="00A2653D" w:rsidRPr="00435482" w:rsidTr="00435482">
        <w:trPr>
          <w:tblCellSpacing w:w="0" w:type="dxa"/>
        </w:trPr>
        <w:tc>
          <w:tcPr>
            <w:tcW w:w="2414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Долговые обязательства субъектов РФ и органов самоуправления</w:t>
            </w:r>
          </w:p>
        </w:tc>
        <w:tc>
          <w:tcPr>
            <w:tcW w:w="777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91 489</w:t>
            </w:r>
          </w:p>
        </w:tc>
        <w:tc>
          <w:tcPr>
            <w:tcW w:w="466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21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3</w:t>
            </w:r>
          </w:p>
        </w:tc>
        <w:tc>
          <w:tcPr>
            <w:tcW w:w="1343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11 225</w:t>
            </w:r>
          </w:p>
        </w:tc>
      </w:tr>
      <w:tr w:rsidR="00A2653D" w:rsidRPr="00435482" w:rsidTr="00435482">
        <w:trPr>
          <w:tblCellSpacing w:w="0" w:type="dxa"/>
        </w:trPr>
        <w:tc>
          <w:tcPr>
            <w:tcW w:w="2414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Прочие долговые обязательства (ком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предприятий и организаций)</w:t>
            </w:r>
          </w:p>
        </w:tc>
        <w:tc>
          <w:tcPr>
            <w:tcW w:w="777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60 563</w:t>
            </w:r>
          </w:p>
        </w:tc>
        <w:tc>
          <w:tcPr>
            <w:tcW w:w="466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15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3</w:t>
            </w:r>
          </w:p>
        </w:tc>
        <w:tc>
          <w:tcPr>
            <w:tcW w:w="1343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19 548</w:t>
            </w:r>
          </w:p>
        </w:tc>
      </w:tr>
      <w:tr w:rsidR="00A2653D" w:rsidRPr="00435482" w:rsidTr="00435482">
        <w:trPr>
          <w:tblCellSpacing w:w="0" w:type="dxa"/>
        </w:trPr>
        <w:tc>
          <w:tcPr>
            <w:tcW w:w="2414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Прочие долговые обязательства нерезидентов</w:t>
            </w:r>
          </w:p>
        </w:tc>
        <w:tc>
          <w:tcPr>
            <w:tcW w:w="777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</w:t>
            </w:r>
          </w:p>
        </w:tc>
        <w:tc>
          <w:tcPr>
            <w:tcW w:w="466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</w:t>
            </w:r>
          </w:p>
        </w:tc>
        <w:tc>
          <w:tcPr>
            <w:tcW w:w="1343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56 088</w:t>
            </w:r>
          </w:p>
        </w:tc>
      </w:tr>
      <w:tr w:rsidR="00A2653D" w:rsidRPr="00435482" w:rsidTr="00435482">
        <w:trPr>
          <w:tblCellSpacing w:w="0" w:type="dxa"/>
        </w:trPr>
        <w:tc>
          <w:tcPr>
            <w:tcW w:w="2414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Акции кредитных организаций</w:t>
            </w:r>
          </w:p>
        </w:tc>
        <w:tc>
          <w:tcPr>
            <w:tcW w:w="777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1 757</w:t>
            </w:r>
          </w:p>
        </w:tc>
        <w:tc>
          <w:tcPr>
            <w:tcW w:w="466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4</w:t>
            </w:r>
          </w:p>
        </w:tc>
        <w:tc>
          <w:tcPr>
            <w:tcW w:w="1343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264</w:t>
            </w:r>
          </w:p>
        </w:tc>
      </w:tr>
      <w:tr w:rsidR="00A2653D" w:rsidRPr="00435482" w:rsidTr="00435482">
        <w:trPr>
          <w:tblCellSpacing w:w="0" w:type="dxa"/>
        </w:trPr>
        <w:tc>
          <w:tcPr>
            <w:tcW w:w="2414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Прочие акции</w:t>
            </w:r>
          </w:p>
        </w:tc>
        <w:tc>
          <w:tcPr>
            <w:tcW w:w="777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74</w:t>
            </w:r>
          </w:p>
        </w:tc>
        <w:tc>
          <w:tcPr>
            <w:tcW w:w="466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0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02</w:t>
            </w:r>
          </w:p>
        </w:tc>
        <w:tc>
          <w:tcPr>
            <w:tcW w:w="1343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67</w:t>
            </w:r>
          </w:p>
        </w:tc>
      </w:tr>
      <w:tr w:rsidR="00A2653D" w:rsidRPr="00435482" w:rsidTr="00435482">
        <w:trPr>
          <w:tblCellSpacing w:w="0" w:type="dxa"/>
        </w:trPr>
        <w:tc>
          <w:tcPr>
            <w:tcW w:w="2414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Прочие акции нерезидентов</w:t>
            </w:r>
          </w:p>
        </w:tc>
        <w:tc>
          <w:tcPr>
            <w:tcW w:w="777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33 924</w:t>
            </w:r>
          </w:p>
        </w:tc>
        <w:tc>
          <w:tcPr>
            <w:tcW w:w="466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8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6</w:t>
            </w:r>
          </w:p>
        </w:tc>
        <w:tc>
          <w:tcPr>
            <w:tcW w:w="1343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8 356</w:t>
            </w:r>
          </w:p>
        </w:tc>
      </w:tr>
      <w:tr w:rsidR="00A2653D" w:rsidRPr="00435482" w:rsidTr="00435482">
        <w:trPr>
          <w:tblCellSpacing w:w="0" w:type="dxa"/>
        </w:trPr>
        <w:tc>
          <w:tcPr>
            <w:tcW w:w="2414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Итого инвестиционный портфель</w:t>
            </w:r>
          </w:p>
        </w:tc>
        <w:tc>
          <w:tcPr>
            <w:tcW w:w="777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395 222</w:t>
            </w:r>
          </w:p>
        </w:tc>
        <w:tc>
          <w:tcPr>
            <w:tcW w:w="466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100</w:t>
            </w:r>
          </w:p>
        </w:tc>
        <w:tc>
          <w:tcPr>
            <w:tcW w:w="1343" w:type="pct"/>
          </w:tcPr>
          <w:p w:rsidR="00A2653D" w:rsidRPr="00435482" w:rsidRDefault="00A2653D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166 928</w:t>
            </w:r>
          </w:p>
        </w:tc>
      </w:tr>
    </w:tbl>
    <w:p w:rsidR="00435482" w:rsidRDefault="00435482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3C06" w:rsidRPr="00435482" w:rsidRDefault="00A2653D" w:rsidP="00435482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35482">
        <w:rPr>
          <w:sz w:val="28"/>
          <w:szCs w:val="28"/>
        </w:rPr>
        <w:t>Анализ показал</w:t>
      </w:r>
      <w:r w:rsidR="00F06851" w:rsidRPr="00435482">
        <w:rPr>
          <w:sz w:val="28"/>
          <w:szCs w:val="28"/>
        </w:rPr>
        <w:t xml:space="preserve">, </w:t>
      </w:r>
      <w:r w:rsidRPr="00435482">
        <w:rPr>
          <w:sz w:val="28"/>
          <w:szCs w:val="28"/>
        </w:rPr>
        <w:t>что банк преимущественно размещал денежные средства в государственные ценные бумаги на долгосрочной основе</w:t>
      </w:r>
      <w:r w:rsidR="00F06851" w:rsidRPr="00435482">
        <w:rPr>
          <w:sz w:val="28"/>
          <w:szCs w:val="28"/>
        </w:rPr>
        <w:t xml:space="preserve">, </w:t>
      </w:r>
      <w:r w:rsidRPr="00435482">
        <w:rPr>
          <w:sz w:val="28"/>
          <w:szCs w:val="28"/>
        </w:rPr>
        <w:t>что объясняется рядом причин</w:t>
      </w:r>
      <w:r w:rsidR="00F06851" w:rsidRPr="00435482">
        <w:rPr>
          <w:sz w:val="28"/>
          <w:szCs w:val="28"/>
        </w:rPr>
        <w:t xml:space="preserve">. </w:t>
      </w:r>
      <w:r w:rsidRPr="00435482">
        <w:rPr>
          <w:sz w:val="28"/>
          <w:szCs w:val="28"/>
        </w:rPr>
        <w:t>Во-первых</w:t>
      </w:r>
      <w:r w:rsidR="00F06851" w:rsidRPr="00435482">
        <w:rPr>
          <w:sz w:val="28"/>
          <w:szCs w:val="28"/>
        </w:rPr>
        <w:t xml:space="preserve">, </w:t>
      </w:r>
      <w:r w:rsidRPr="00435482">
        <w:rPr>
          <w:sz w:val="28"/>
          <w:szCs w:val="28"/>
        </w:rPr>
        <w:t>данные бумаги являются инструментами</w:t>
      </w:r>
      <w:r w:rsidR="00F06851" w:rsidRPr="00435482">
        <w:rPr>
          <w:sz w:val="28"/>
          <w:szCs w:val="28"/>
        </w:rPr>
        <w:t xml:space="preserve">, </w:t>
      </w:r>
      <w:r w:rsidRPr="00435482">
        <w:rPr>
          <w:sz w:val="28"/>
          <w:szCs w:val="28"/>
        </w:rPr>
        <w:t>имеющими минимальный риск</w:t>
      </w:r>
      <w:r w:rsidR="00F06851" w:rsidRPr="00435482">
        <w:rPr>
          <w:sz w:val="28"/>
          <w:szCs w:val="28"/>
        </w:rPr>
        <w:t xml:space="preserve">, </w:t>
      </w:r>
      <w:r w:rsidRPr="00435482">
        <w:rPr>
          <w:sz w:val="28"/>
          <w:szCs w:val="28"/>
        </w:rPr>
        <w:t>что позволяет банку выполнять требования Банка России по уровню достаточности капитала</w:t>
      </w:r>
      <w:r w:rsidR="00F06851" w:rsidRPr="00435482">
        <w:rPr>
          <w:sz w:val="28"/>
          <w:szCs w:val="28"/>
        </w:rPr>
        <w:t xml:space="preserve">. </w:t>
      </w:r>
      <w:r w:rsidRPr="00435482">
        <w:rPr>
          <w:sz w:val="28"/>
          <w:szCs w:val="28"/>
        </w:rPr>
        <w:t>Во-вторых</w:t>
      </w:r>
      <w:r w:rsidR="00F06851" w:rsidRPr="00435482">
        <w:rPr>
          <w:sz w:val="28"/>
          <w:szCs w:val="28"/>
        </w:rPr>
        <w:t xml:space="preserve">, </w:t>
      </w:r>
      <w:r w:rsidRPr="00435482">
        <w:rPr>
          <w:sz w:val="28"/>
          <w:szCs w:val="28"/>
        </w:rPr>
        <w:t>данные ценные бумаги могут использоваться банком в качестве залогового инструмента при получении кредитов от Банка России и других коммерческих банков</w:t>
      </w:r>
      <w:r w:rsidR="00F06851" w:rsidRPr="00435482">
        <w:rPr>
          <w:sz w:val="28"/>
          <w:szCs w:val="28"/>
        </w:rPr>
        <w:t xml:space="preserve">. </w:t>
      </w:r>
      <w:r w:rsidR="00563C06" w:rsidRPr="00435482">
        <w:rPr>
          <w:sz w:val="28"/>
          <w:szCs w:val="28"/>
        </w:rPr>
        <w:t>Анализ выпущенных банком ценных бумаг может проводиться в разрезе следующих групп:</w:t>
      </w:r>
    </w:p>
    <w:p w:rsidR="00563C06" w:rsidRPr="00F06851" w:rsidRDefault="00563C06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35482">
        <w:rPr>
          <w:sz w:val="28"/>
          <w:szCs w:val="28"/>
        </w:rPr>
        <w:t>- по видам ценных</w:t>
      </w:r>
      <w:r w:rsidRPr="00F06851">
        <w:rPr>
          <w:sz w:val="28"/>
          <w:szCs w:val="28"/>
        </w:rPr>
        <w:t xml:space="preserve"> бумаг;</w:t>
      </w:r>
    </w:p>
    <w:p w:rsidR="00563C06" w:rsidRPr="00F06851" w:rsidRDefault="00563C06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 по срокам выпуска ценных бумаг</w:t>
      </w:r>
      <w:r w:rsidR="00F06851">
        <w:rPr>
          <w:sz w:val="28"/>
          <w:szCs w:val="28"/>
        </w:rPr>
        <w:t xml:space="preserve">. </w:t>
      </w:r>
      <w:r w:rsidRPr="00F06851">
        <w:rPr>
          <w:rStyle w:val="a8"/>
          <w:sz w:val="28"/>
          <w:szCs w:val="28"/>
        </w:rPr>
        <w:footnoteReference w:customMarkFollows="1" w:id="8"/>
        <w:t>8</w:t>
      </w:r>
    </w:p>
    <w:p w:rsidR="00563C06" w:rsidRPr="00F06851" w:rsidRDefault="00435482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63C06" w:rsidRPr="00F06851">
        <w:rPr>
          <w:sz w:val="28"/>
        </w:rPr>
        <w:t>Таблица 7</w:t>
      </w:r>
      <w:r w:rsidR="00F06851">
        <w:rPr>
          <w:sz w:val="28"/>
        </w:rPr>
        <w:t xml:space="preserve">. </w:t>
      </w:r>
      <w:r w:rsidR="00563C06" w:rsidRPr="00F06851">
        <w:rPr>
          <w:sz w:val="28"/>
        </w:rPr>
        <w:t>Анализ структуры и динамики выпущенных банком ценных бумаг</w:t>
      </w:r>
      <w:r w:rsidR="00F06851">
        <w:rPr>
          <w:sz w:val="28"/>
        </w:rPr>
        <w:t xml:space="preserve">.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"/>
        <w:gridCol w:w="3462"/>
        <w:gridCol w:w="1056"/>
        <w:gridCol w:w="1056"/>
        <w:gridCol w:w="1056"/>
        <w:gridCol w:w="1056"/>
        <w:gridCol w:w="1207"/>
      </w:tblGrid>
      <w:tr w:rsidR="00563C06" w:rsidRPr="00435482" w:rsidTr="00435482">
        <w:trPr>
          <w:tblCellSpacing w:w="0" w:type="dxa"/>
        </w:trPr>
        <w:tc>
          <w:tcPr>
            <w:tcW w:w="257" w:type="pct"/>
            <w:vMerge w:val="restart"/>
            <w:vAlign w:val="center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№ п/п</w:t>
            </w:r>
          </w:p>
        </w:tc>
        <w:tc>
          <w:tcPr>
            <w:tcW w:w="1847" w:type="pct"/>
            <w:vMerge w:val="restart"/>
            <w:vAlign w:val="center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Наименование статьи</w:t>
            </w:r>
          </w:p>
        </w:tc>
        <w:tc>
          <w:tcPr>
            <w:tcW w:w="1125" w:type="pct"/>
            <w:gridSpan w:val="2"/>
            <w:vAlign w:val="center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Сумма по выпускам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в тыс</w:t>
            </w:r>
            <w:r w:rsidR="00F06851" w:rsidRPr="00435482">
              <w:rPr>
                <w:sz w:val="20"/>
              </w:rPr>
              <w:t xml:space="preserve">. </w:t>
            </w:r>
            <w:r w:rsidRPr="00435482">
              <w:rPr>
                <w:sz w:val="20"/>
              </w:rPr>
              <w:t>руб</w:t>
            </w:r>
            <w:r w:rsidR="00F06851" w:rsidRPr="00435482">
              <w:rPr>
                <w:sz w:val="20"/>
              </w:rPr>
              <w:t xml:space="preserve">. </w:t>
            </w:r>
          </w:p>
        </w:tc>
        <w:tc>
          <w:tcPr>
            <w:tcW w:w="1125" w:type="pct"/>
            <w:gridSpan w:val="2"/>
            <w:vAlign w:val="center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Структура выпуска</w:t>
            </w:r>
            <w:r w:rsidR="00F06851" w:rsidRPr="00435482">
              <w:rPr>
                <w:sz w:val="20"/>
              </w:rPr>
              <w:t xml:space="preserve">, </w:t>
            </w:r>
            <w:r w:rsidRPr="00435482">
              <w:rPr>
                <w:sz w:val="20"/>
              </w:rPr>
              <w:t>в%</w:t>
            </w:r>
          </w:p>
        </w:tc>
        <w:tc>
          <w:tcPr>
            <w:tcW w:w="645" w:type="pct"/>
            <w:vAlign w:val="center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Изменения за период (+/-)</w:t>
            </w:r>
          </w:p>
        </w:tc>
      </w:tr>
      <w:tr w:rsidR="00563C06" w:rsidRPr="00435482" w:rsidTr="00435482">
        <w:trPr>
          <w:tblCellSpacing w:w="0" w:type="dxa"/>
        </w:trPr>
        <w:tc>
          <w:tcPr>
            <w:tcW w:w="257" w:type="pct"/>
            <w:vMerge/>
            <w:vAlign w:val="center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47" w:type="pct"/>
            <w:vMerge/>
            <w:vAlign w:val="center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63" w:type="pct"/>
            <w:vAlign w:val="center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Период 1</w:t>
            </w:r>
          </w:p>
        </w:tc>
        <w:tc>
          <w:tcPr>
            <w:tcW w:w="563" w:type="pct"/>
            <w:vAlign w:val="center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Период 2</w:t>
            </w:r>
          </w:p>
        </w:tc>
        <w:tc>
          <w:tcPr>
            <w:tcW w:w="563" w:type="pct"/>
            <w:vAlign w:val="center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Период 1</w:t>
            </w:r>
          </w:p>
        </w:tc>
        <w:tc>
          <w:tcPr>
            <w:tcW w:w="563" w:type="pct"/>
            <w:vAlign w:val="center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Период 2</w:t>
            </w:r>
          </w:p>
        </w:tc>
        <w:tc>
          <w:tcPr>
            <w:tcW w:w="645" w:type="pct"/>
            <w:vAlign w:val="center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</w:tr>
      <w:tr w:rsidR="00563C06" w:rsidRPr="00435482" w:rsidTr="00435482">
        <w:trPr>
          <w:tblCellSpacing w:w="0" w:type="dxa"/>
        </w:trPr>
        <w:tc>
          <w:tcPr>
            <w:tcW w:w="257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1</w:t>
            </w:r>
            <w:r w:rsidR="00F06851" w:rsidRPr="00435482">
              <w:rPr>
                <w:sz w:val="20"/>
              </w:rPr>
              <w:t xml:space="preserve">. </w:t>
            </w:r>
          </w:p>
        </w:tc>
        <w:tc>
          <w:tcPr>
            <w:tcW w:w="1847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Выпущенные облигации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645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</w:tr>
      <w:tr w:rsidR="00563C06" w:rsidRPr="00435482" w:rsidTr="00435482">
        <w:trPr>
          <w:tblCellSpacing w:w="0" w:type="dxa"/>
        </w:trPr>
        <w:tc>
          <w:tcPr>
            <w:tcW w:w="257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2</w:t>
            </w:r>
            <w:r w:rsidR="00F06851" w:rsidRPr="00435482">
              <w:rPr>
                <w:sz w:val="20"/>
              </w:rPr>
              <w:t xml:space="preserve">. </w:t>
            </w:r>
          </w:p>
        </w:tc>
        <w:tc>
          <w:tcPr>
            <w:tcW w:w="1847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Выпущенные депозитные сертификаты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645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</w:tr>
      <w:tr w:rsidR="00563C06" w:rsidRPr="00435482" w:rsidTr="00435482">
        <w:trPr>
          <w:tblCellSpacing w:w="0" w:type="dxa"/>
        </w:trPr>
        <w:tc>
          <w:tcPr>
            <w:tcW w:w="257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3</w:t>
            </w:r>
            <w:r w:rsidR="00F06851" w:rsidRPr="00435482">
              <w:rPr>
                <w:sz w:val="20"/>
              </w:rPr>
              <w:t xml:space="preserve">. </w:t>
            </w:r>
          </w:p>
        </w:tc>
        <w:tc>
          <w:tcPr>
            <w:tcW w:w="1847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Выпущенные сберегательные сертификаты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645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</w:tr>
      <w:tr w:rsidR="00563C06" w:rsidRPr="00435482" w:rsidTr="00435482">
        <w:trPr>
          <w:tblCellSpacing w:w="0" w:type="dxa"/>
        </w:trPr>
        <w:tc>
          <w:tcPr>
            <w:tcW w:w="257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4</w:t>
            </w:r>
            <w:r w:rsidR="00F06851" w:rsidRPr="00435482">
              <w:rPr>
                <w:sz w:val="20"/>
              </w:rPr>
              <w:t xml:space="preserve">. </w:t>
            </w:r>
          </w:p>
        </w:tc>
        <w:tc>
          <w:tcPr>
            <w:tcW w:w="1847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Выпущенные векселя и банковские акцепты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645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</w:tr>
      <w:tr w:rsidR="00563C06" w:rsidRPr="00435482" w:rsidTr="00435482">
        <w:trPr>
          <w:tblCellSpacing w:w="0" w:type="dxa"/>
        </w:trPr>
        <w:tc>
          <w:tcPr>
            <w:tcW w:w="257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1847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Итого портфель выпущенных банком ценных бумаг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563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  <w:tc>
          <w:tcPr>
            <w:tcW w:w="645" w:type="pct"/>
          </w:tcPr>
          <w:p w:rsidR="00563C06" w:rsidRPr="00435482" w:rsidRDefault="00563C06" w:rsidP="00435482">
            <w:pPr>
              <w:spacing w:line="360" w:lineRule="auto"/>
              <w:jc w:val="both"/>
              <w:rPr>
                <w:sz w:val="20"/>
              </w:rPr>
            </w:pPr>
            <w:r w:rsidRPr="00435482">
              <w:rPr>
                <w:sz w:val="20"/>
              </w:rPr>
              <w:t> </w:t>
            </w:r>
          </w:p>
        </w:tc>
      </w:tr>
    </w:tbl>
    <w:p w:rsidR="00C568B7" w:rsidRPr="00F06851" w:rsidRDefault="00C568B7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6851" w:rsidRDefault="00B37B3E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06851">
        <w:rPr>
          <w:sz w:val="28"/>
          <w:szCs w:val="28"/>
        </w:rPr>
        <w:br w:type="page"/>
      </w:r>
      <w:r w:rsidR="00C35B18" w:rsidRPr="00F06851">
        <w:rPr>
          <w:b/>
          <w:bCs/>
          <w:sz w:val="28"/>
          <w:szCs w:val="28"/>
        </w:rPr>
        <w:t>Г</w:t>
      </w:r>
      <w:r w:rsidR="00435482" w:rsidRPr="00F06851">
        <w:rPr>
          <w:b/>
          <w:bCs/>
          <w:sz w:val="28"/>
          <w:szCs w:val="28"/>
        </w:rPr>
        <w:t>лава</w:t>
      </w:r>
      <w:r w:rsidR="00435482">
        <w:rPr>
          <w:b/>
          <w:bCs/>
          <w:sz w:val="28"/>
          <w:szCs w:val="28"/>
        </w:rPr>
        <w:t xml:space="preserve"> </w:t>
      </w:r>
      <w:r w:rsidR="00C35B18" w:rsidRPr="00F06851">
        <w:rPr>
          <w:b/>
          <w:bCs/>
          <w:sz w:val="28"/>
          <w:szCs w:val="28"/>
        </w:rPr>
        <w:t>3</w:t>
      </w:r>
      <w:r w:rsidR="00F06851">
        <w:rPr>
          <w:sz w:val="28"/>
          <w:szCs w:val="28"/>
        </w:rPr>
        <w:t xml:space="preserve">. </w:t>
      </w:r>
      <w:r w:rsidR="001F0775" w:rsidRPr="00F06851">
        <w:rPr>
          <w:b/>
          <w:bCs/>
          <w:sz w:val="28"/>
          <w:szCs w:val="28"/>
        </w:rPr>
        <w:t>О</w:t>
      </w:r>
      <w:r w:rsidR="00435482" w:rsidRPr="00F06851">
        <w:rPr>
          <w:b/>
          <w:bCs/>
          <w:sz w:val="28"/>
          <w:szCs w:val="28"/>
        </w:rPr>
        <w:t>сновные направления повышения эффективности деятельности коммерческого банка на рынке ценных бумаг</w:t>
      </w:r>
    </w:p>
    <w:p w:rsidR="00F06851" w:rsidRDefault="00F06851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6851" w:rsidRDefault="002E454E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06851">
        <w:rPr>
          <w:b/>
          <w:bCs/>
          <w:sz w:val="28"/>
          <w:szCs w:val="28"/>
        </w:rPr>
        <w:t>3</w:t>
      </w:r>
      <w:r w:rsidR="00435482">
        <w:rPr>
          <w:b/>
          <w:bCs/>
          <w:sz w:val="28"/>
          <w:szCs w:val="28"/>
        </w:rPr>
        <w:t>.1</w:t>
      </w:r>
      <w:r w:rsidRPr="00F06851">
        <w:rPr>
          <w:b/>
          <w:bCs/>
          <w:sz w:val="28"/>
          <w:szCs w:val="28"/>
        </w:rPr>
        <w:t xml:space="preserve"> Основные пути решения проблем</w:t>
      </w:r>
    </w:p>
    <w:p w:rsidR="00435482" w:rsidRDefault="00435482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1A65" w:rsidRPr="00F06851" w:rsidRDefault="002E454E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Для решения проблем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возникающих у коммерческих банков</w:t>
      </w:r>
      <w:r w:rsidR="00F06851">
        <w:rPr>
          <w:sz w:val="28"/>
          <w:szCs w:val="28"/>
        </w:rPr>
        <w:t xml:space="preserve">, </w:t>
      </w:r>
      <w:r w:rsidR="009A1A65" w:rsidRPr="00F06851">
        <w:rPr>
          <w:sz w:val="28"/>
          <w:szCs w:val="28"/>
        </w:rPr>
        <w:t>необходимо:</w:t>
      </w:r>
      <w:r w:rsidRPr="00F06851">
        <w:rPr>
          <w:sz w:val="28"/>
          <w:szCs w:val="28"/>
        </w:rPr>
        <w:t xml:space="preserve"> </w:t>
      </w:r>
    </w:p>
    <w:p w:rsidR="009A1A65" w:rsidRPr="00F06851" w:rsidRDefault="009A1A65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 необходимо преодолеть последствия мирового финансового кризис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Для этого Правительство РФ и Банк России в единстве должны проводить эффективную политику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которая должна быть направлена на преодоление кризисных явлений в российской банковской системе</w:t>
      </w:r>
    </w:p>
    <w:p w:rsidR="009A1A65" w:rsidRPr="00F06851" w:rsidRDefault="009A1A65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-необходимо большее развитие региональной сети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 xml:space="preserve">розничного и корпоративного бизнеса с целью повышения конкурентоспособности коммерческих банков </w:t>
      </w:r>
    </w:p>
    <w:p w:rsidR="009A1A65" w:rsidRPr="00F06851" w:rsidRDefault="009A1A65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 углубления диверсификации ресурсной базы за счет активизации деятельности на российских финансовых рынках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а так же в сегменте роз-</w:t>
      </w:r>
    </w:p>
    <w:p w:rsidR="009A1A65" w:rsidRPr="00F06851" w:rsidRDefault="009A1A65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ничногобизнеса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В связи с нестабильной макроэкономической ситуацией в стране коммерческие банки не в силах вводить в процесс своей деятельности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какие-либо новшества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Для искоренения данной проблемы необходимо улучшить инвестиционный климат отечественной экономики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что позволит банкам</w:t>
      </w:r>
      <w:r w:rsidR="00F06851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широко использовать новые финансовые продукты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Рост благосостояния населения России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а также развитие инфраструктуры банковского бизнеса позволит коммерческим банкам расширить сферу своей деятельности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в частности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деятельность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связанную с операциями по ценным бумагам</w:t>
      </w:r>
      <w:r w:rsidR="008B2BB8" w:rsidRPr="00F06851">
        <w:rPr>
          <w:rStyle w:val="a8"/>
          <w:sz w:val="28"/>
          <w:szCs w:val="28"/>
        </w:rPr>
        <w:footnoteReference w:customMarkFollows="1" w:id="9"/>
        <w:t>9</w:t>
      </w:r>
      <w:r w:rsidR="00F06851">
        <w:rPr>
          <w:sz w:val="28"/>
          <w:szCs w:val="28"/>
        </w:rPr>
        <w:t xml:space="preserve">. </w:t>
      </w:r>
    </w:p>
    <w:p w:rsidR="00EF234D" w:rsidRPr="00F06851" w:rsidRDefault="00435482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012DC" w:rsidRPr="00F06851">
        <w:rPr>
          <w:b/>
          <w:bCs/>
          <w:sz w:val="28"/>
          <w:szCs w:val="28"/>
        </w:rPr>
        <w:t>3</w:t>
      </w:r>
      <w:r w:rsidR="00F06851">
        <w:rPr>
          <w:b/>
          <w:bCs/>
          <w:sz w:val="28"/>
          <w:szCs w:val="28"/>
        </w:rPr>
        <w:t>.</w:t>
      </w:r>
      <w:r w:rsidR="007012DC" w:rsidRPr="00F06851">
        <w:rPr>
          <w:b/>
          <w:bCs/>
          <w:sz w:val="28"/>
          <w:szCs w:val="28"/>
        </w:rPr>
        <w:t>2</w:t>
      </w:r>
      <w:r w:rsidR="00F06851">
        <w:rPr>
          <w:b/>
          <w:bCs/>
          <w:sz w:val="28"/>
          <w:szCs w:val="28"/>
        </w:rPr>
        <w:t xml:space="preserve"> </w:t>
      </w:r>
      <w:r w:rsidR="00EF234D" w:rsidRPr="00F06851">
        <w:rPr>
          <w:b/>
          <w:bCs/>
          <w:sz w:val="28"/>
          <w:szCs w:val="28"/>
        </w:rPr>
        <w:t xml:space="preserve">Перспективные операции способствующие </w:t>
      </w:r>
      <w:r w:rsidR="007012DC" w:rsidRPr="00F06851">
        <w:rPr>
          <w:b/>
          <w:bCs/>
          <w:sz w:val="28"/>
          <w:szCs w:val="28"/>
        </w:rPr>
        <w:t>развитию банка на</w:t>
      </w:r>
      <w:r w:rsidR="00F06851">
        <w:rPr>
          <w:b/>
          <w:bCs/>
          <w:sz w:val="28"/>
          <w:szCs w:val="28"/>
        </w:rPr>
        <w:t xml:space="preserve"> </w:t>
      </w:r>
      <w:r w:rsidR="007012DC" w:rsidRPr="00F06851">
        <w:rPr>
          <w:b/>
          <w:bCs/>
          <w:sz w:val="28"/>
          <w:szCs w:val="28"/>
        </w:rPr>
        <w:t>рынке ценных бумаг</w:t>
      </w:r>
    </w:p>
    <w:p w:rsidR="00F06851" w:rsidRDefault="00F06851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012DC" w:rsidRPr="00F06851" w:rsidRDefault="007012DC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В отечественной банковской системе существуют наиболее перспективные операции на рынке ценных бумаг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которые в перспективе могут выполнить роль «локомотива» для банковского сектора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Это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в первую очередь операции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связанные с возможностями рефинансирования имеющихся у банков активов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Это сделки по секьюритизации активов</w:t>
      </w:r>
      <w:r w:rsidR="00F06851">
        <w:rPr>
          <w:sz w:val="28"/>
          <w:szCs w:val="28"/>
        </w:rPr>
        <w:t xml:space="preserve">. </w:t>
      </w:r>
    </w:p>
    <w:p w:rsidR="00F06851" w:rsidRDefault="007012DC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rFonts w:cs="Century Gothic"/>
          <w:sz w:val="28"/>
          <w:szCs w:val="28"/>
        </w:rPr>
      </w:pPr>
      <w:r w:rsidRPr="00F06851">
        <w:rPr>
          <w:rFonts w:cs="Century Gothic"/>
          <w:sz w:val="28"/>
          <w:szCs w:val="28"/>
        </w:rPr>
        <w:t>Секьюритизация –</w:t>
      </w:r>
      <w:r w:rsidR="00435482">
        <w:rPr>
          <w:rFonts w:cs="Century Gothic"/>
          <w:sz w:val="28"/>
          <w:szCs w:val="28"/>
        </w:rPr>
        <w:t xml:space="preserve"> </w:t>
      </w:r>
      <w:r w:rsidRPr="00F06851">
        <w:rPr>
          <w:rFonts w:cs="Century Gothic"/>
          <w:sz w:val="28"/>
          <w:szCs w:val="28"/>
        </w:rPr>
        <w:t xml:space="preserve">это </w:t>
      </w:r>
      <w:r w:rsidRPr="00F06851">
        <w:rPr>
          <w:rFonts w:cs="Century Gothic"/>
          <w:sz w:val="28"/>
        </w:rPr>
        <w:t xml:space="preserve">одна из форм привлечения финансирования путём выпуска </w:t>
      </w:r>
      <w:r w:rsidRPr="00570E55">
        <w:rPr>
          <w:rFonts w:cs="Century Gothic"/>
          <w:sz w:val="28"/>
        </w:rPr>
        <w:t>ценных бумаг</w:t>
      </w:r>
      <w:r w:rsidR="00F06851">
        <w:rPr>
          <w:rFonts w:cs="Century Gothic"/>
          <w:sz w:val="28"/>
        </w:rPr>
        <w:t xml:space="preserve">, </w:t>
      </w:r>
      <w:r w:rsidRPr="00F06851">
        <w:rPr>
          <w:rFonts w:cs="Century Gothic"/>
          <w:sz w:val="28"/>
        </w:rPr>
        <w:t>обеспеченных активами</w:t>
      </w:r>
      <w:r w:rsidR="00F06851">
        <w:rPr>
          <w:rFonts w:cs="Century Gothic"/>
          <w:sz w:val="28"/>
        </w:rPr>
        <w:t xml:space="preserve">, </w:t>
      </w:r>
      <w:r w:rsidRPr="00F06851">
        <w:rPr>
          <w:rFonts w:cs="Century Gothic"/>
          <w:sz w:val="28"/>
        </w:rPr>
        <w:t>генерирующими стабильные денежные потоки (например</w:t>
      </w:r>
      <w:r w:rsidR="00F06851">
        <w:rPr>
          <w:rFonts w:cs="Century Gothic"/>
          <w:sz w:val="28"/>
        </w:rPr>
        <w:t xml:space="preserve">, </w:t>
      </w:r>
      <w:r w:rsidRPr="00F06851">
        <w:rPr>
          <w:rFonts w:cs="Century Gothic"/>
          <w:sz w:val="28"/>
        </w:rPr>
        <w:t>портфель ипотечных кредитов</w:t>
      </w:r>
      <w:r w:rsidR="00F06851">
        <w:rPr>
          <w:rFonts w:cs="Century Gothic"/>
          <w:sz w:val="28"/>
        </w:rPr>
        <w:t xml:space="preserve">, </w:t>
      </w:r>
      <w:r w:rsidRPr="00F06851">
        <w:rPr>
          <w:rFonts w:cs="Century Gothic"/>
          <w:sz w:val="28"/>
        </w:rPr>
        <w:t>автокредитов</w:t>
      </w:r>
      <w:r w:rsidR="00F06851">
        <w:rPr>
          <w:rFonts w:cs="Century Gothic"/>
          <w:sz w:val="28"/>
        </w:rPr>
        <w:t xml:space="preserve">, </w:t>
      </w:r>
      <w:r w:rsidRPr="00F06851">
        <w:rPr>
          <w:rFonts w:cs="Century Gothic"/>
          <w:sz w:val="28"/>
        </w:rPr>
        <w:t>лизинговые активы</w:t>
      </w:r>
      <w:r w:rsidR="00F06851">
        <w:rPr>
          <w:rFonts w:cs="Century Gothic"/>
          <w:sz w:val="28"/>
        </w:rPr>
        <w:t xml:space="preserve">, </w:t>
      </w:r>
      <w:r w:rsidRPr="00F06851">
        <w:rPr>
          <w:rFonts w:cs="Century Gothic"/>
          <w:sz w:val="28"/>
        </w:rPr>
        <w:t>коммерческая недвижимость</w:t>
      </w:r>
      <w:r w:rsidR="00F06851">
        <w:rPr>
          <w:rFonts w:cs="Century Gothic"/>
          <w:sz w:val="28"/>
        </w:rPr>
        <w:t xml:space="preserve">, </w:t>
      </w:r>
      <w:r w:rsidRPr="00F06851">
        <w:rPr>
          <w:rFonts w:cs="Century Gothic"/>
          <w:sz w:val="28"/>
        </w:rPr>
        <w:t>генерирующая стабильный рентный доход и т</w:t>
      </w:r>
      <w:r w:rsidR="00F06851">
        <w:rPr>
          <w:rFonts w:cs="Century Gothic"/>
          <w:sz w:val="28"/>
        </w:rPr>
        <w:t xml:space="preserve">. </w:t>
      </w:r>
      <w:r w:rsidRPr="00F06851">
        <w:rPr>
          <w:rFonts w:cs="Century Gothic"/>
          <w:sz w:val="28"/>
        </w:rPr>
        <w:t>д</w:t>
      </w:r>
      <w:r w:rsidR="00F06851">
        <w:rPr>
          <w:rFonts w:cs="Century Gothic"/>
          <w:sz w:val="28"/>
        </w:rPr>
        <w:t xml:space="preserve">. </w:t>
      </w:r>
      <w:r w:rsidRPr="00F06851">
        <w:rPr>
          <w:rFonts w:cs="Century Gothic"/>
          <w:sz w:val="28"/>
        </w:rPr>
        <w:t>)</w:t>
      </w:r>
      <w:r w:rsidR="00F06851">
        <w:rPr>
          <w:rFonts w:cs="Century Gothic"/>
          <w:sz w:val="28"/>
        </w:rPr>
        <w:t xml:space="preserve">. </w:t>
      </w:r>
    </w:p>
    <w:p w:rsidR="002E454E" w:rsidRPr="00F06851" w:rsidRDefault="007012DC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06851">
        <w:rPr>
          <w:sz w:val="28"/>
          <w:szCs w:val="28"/>
        </w:rPr>
        <w:t>В последние два-три года эти сделки становятся традиционными и применяются не только крупными банками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но и мелкими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Секьюритизация дает коммерческим банкам возможность провести рефинансирование не только портфелей коммерческих кредитов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в том числе розничных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но и выпустить бумаги под будущие регулярные поступления платежей</w:t>
      </w:r>
      <w:r w:rsidR="00F06851">
        <w:rPr>
          <w:sz w:val="28"/>
          <w:szCs w:val="28"/>
        </w:rPr>
        <w:t xml:space="preserve">. . </w:t>
      </w:r>
      <w:r w:rsidRPr="00F06851">
        <w:rPr>
          <w:sz w:val="28"/>
          <w:szCs w:val="28"/>
        </w:rPr>
        <w:t>Перспективным направлением развития процессов рефинансирования банковского сектора стало в последние годы проведение сделок РЕПО и расширение круга участников этого рынка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Большой шаг вперед сделан при этом Банком России и ММВБ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Являясь основным регулятором банковской деятельности и основной российской торговой площадкой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эти организации на протяжении последних трех лет значительно модернизировали ранее прим</w:t>
      </w:r>
      <w:r w:rsidR="00B34603" w:rsidRPr="00F06851">
        <w:rPr>
          <w:sz w:val="28"/>
          <w:szCs w:val="28"/>
        </w:rPr>
        <w:t xml:space="preserve">енявшиеся технологии проведения </w:t>
      </w:r>
      <w:r w:rsidRPr="00F06851">
        <w:rPr>
          <w:sz w:val="28"/>
          <w:szCs w:val="28"/>
        </w:rPr>
        <w:t>РЕПО</w:t>
      </w:r>
      <w:r w:rsidR="00F06851">
        <w:rPr>
          <w:sz w:val="28"/>
        </w:rPr>
        <w:t xml:space="preserve">. </w:t>
      </w:r>
    </w:p>
    <w:p w:rsidR="002E454E" w:rsidRPr="00F06851" w:rsidRDefault="00B34603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rFonts w:cs="Century Gothic"/>
          <w:sz w:val="28"/>
        </w:rPr>
      </w:pPr>
      <w:r w:rsidRPr="00F06851">
        <w:rPr>
          <w:rFonts w:cs="Century Gothic"/>
          <w:sz w:val="28"/>
        </w:rPr>
        <w:t xml:space="preserve">Сделка РЕПО— сделка покупки (продажи) </w:t>
      </w:r>
      <w:r w:rsidRPr="00570E55">
        <w:rPr>
          <w:rFonts w:cs="Century Gothic"/>
          <w:sz w:val="28"/>
        </w:rPr>
        <w:t>ценной бумаги</w:t>
      </w:r>
      <w:r w:rsidRPr="00F06851">
        <w:rPr>
          <w:rFonts w:cs="Century Gothic"/>
          <w:sz w:val="28"/>
        </w:rPr>
        <w:t xml:space="preserve"> с обязательством обратной продажи (покупки) через определенный срок по заранее определенной цене</w:t>
      </w:r>
      <w:r w:rsidR="00F06851">
        <w:rPr>
          <w:rFonts w:cs="Century Gothic"/>
          <w:sz w:val="28"/>
        </w:rPr>
        <w:t xml:space="preserve">. </w:t>
      </w:r>
      <w:r w:rsidRPr="00F06851">
        <w:rPr>
          <w:rStyle w:val="a8"/>
          <w:rFonts w:cs="Century Gothic"/>
          <w:sz w:val="28"/>
        </w:rPr>
        <w:footnoteReference w:customMarkFollows="1" w:id="10"/>
        <w:t>10</w:t>
      </w:r>
    </w:p>
    <w:p w:rsidR="00F06851" w:rsidRDefault="00435482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rFonts w:cs="Century Gothic"/>
          <w:sz w:val="28"/>
          <w:szCs w:val="28"/>
        </w:rPr>
        <w:br w:type="page"/>
      </w:r>
      <w:r w:rsidRPr="00F06851">
        <w:rPr>
          <w:b/>
          <w:bCs/>
          <w:sz w:val="28"/>
          <w:szCs w:val="28"/>
        </w:rPr>
        <w:t>Заключение</w:t>
      </w:r>
    </w:p>
    <w:p w:rsidR="00435482" w:rsidRDefault="00435482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A1775" w:rsidRPr="00F06851" w:rsidRDefault="006A1775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В заключени</w:t>
      </w:r>
      <w:r w:rsidR="00435482" w:rsidRPr="00F06851">
        <w:rPr>
          <w:sz w:val="28"/>
          <w:szCs w:val="28"/>
        </w:rPr>
        <w:t>е</w:t>
      </w:r>
      <w:r w:rsidRPr="00F06851">
        <w:rPr>
          <w:sz w:val="28"/>
          <w:szCs w:val="28"/>
        </w:rPr>
        <w:t xml:space="preserve"> курсовой работы можно сделать следующие выводы:</w:t>
      </w:r>
    </w:p>
    <w:p w:rsidR="00B2497C" w:rsidRPr="00F06851" w:rsidRDefault="00B2497C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</w:t>
      </w:r>
      <w:r w:rsidR="00435482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деятельность банков на рынке ценных бумаг многогранна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поскольку они не только традиционно являются посредниками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связывающими интересы и денежные средства эмитентов и инвесторов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но и сами активно используют финансовые инструменты для формирования собственной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ресурсной базы</w:t>
      </w:r>
      <w:r w:rsidR="00F06851">
        <w:rPr>
          <w:sz w:val="28"/>
          <w:szCs w:val="28"/>
        </w:rPr>
        <w:t xml:space="preserve">. </w:t>
      </w:r>
    </w:p>
    <w:p w:rsidR="002E454E" w:rsidRPr="00F06851" w:rsidRDefault="00B2497C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</w:t>
      </w:r>
      <w:r w:rsidR="009A1B8D" w:rsidRPr="00F06851">
        <w:rPr>
          <w:sz w:val="28"/>
          <w:szCs w:val="28"/>
        </w:rPr>
        <w:t>деятельности российских банков на рынке ценных бумаг заключается в том</w:t>
      </w:r>
      <w:r w:rsidR="00F06851">
        <w:rPr>
          <w:sz w:val="28"/>
          <w:szCs w:val="28"/>
        </w:rPr>
        <w:t xml:space="preserve">, </w:t>
      </w:r>
      <w:r w:rsidR="009A1B8D" w:rsidRPr="00F06851">
        <w:rPr>
          <w:sz w:val="28"/>
          <w:szCs w:val="28"/>
        </w:rPr>
        <w:t>что они осуществляют операции на этом рынке по общим правилам</w:t>
      </w:r>
      <w:r w:rsidR="00F06851">
        <w:rPr>
          <w:sz w:val="28"/>
          <w:szCs w:val="28"/>
        </w:rPr>
        <w:t xml:space="preserve">, </w:t>
      </w:r>
      <w:r w:rsidR="009A1B8D" w:rsidRPr="00F06851">
        <w:rPr>
          <w:sz w:val="28"/>
          <w:szCs w:val="28"/>
        </w:rPr>
        <w:t>действующим для всех участников рынка ценных бумаг</w:t>
      </w:r>
      <w:r w:rsidR="00F06851">
        <w:rPr>
          <w:sz w:val="28"/>
          <w:szCs w:val="28"/>
        </w:rPr>
        <w:t xml:space="preserve">, </w:t>
      </w:r>
      <w:r w:rsidR="009A1B8D" w:rsidRPr="00F06851">
        <w:rPr>
          <w:sz w:val="28"/>
          <w:szCs w:val="28"/>
        </w:rPr>
        <w:t>но при этом должны соблюдать еще и дополнительные правила</w:t>
      </w:r>
      <w:r w:rsidR="00F06851">
        <w:rPr>
          <w:sz w:val="28"/>
          <w:szCs w:val="28"/>
        </w:rPr>
        <w:t xml:space="preserve">, </w:t>
      </w:r>
      <w:r w:rsidR="009A1B8D" w:rsidRPr="00F06851">
        <w:rPr>
          <w:sz w:val="28"/>
          <w:szCs w:val="28"/>
        </w:rPr>
        <w:t>устанавливаемые Банком России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-п</w:t>
      </w:r>
      <w:r w:rsidR="002D0AFD" w:rsidRPr="00F06851">
        <w:rPr>
          <w:sz w:val="28"/>
          <w:szCs w:val="28"/>
        </w:rPr>
        <w:t>ри осуществлении операций на финансовых рынках банк должен строить отношения с клиентами на принципах добросовестности</w:t>
      </w:r>
      <w:r w:rsidR="00F06851">
        <w:rPr>
          <w:sz w:val="28"/>
          <w:szCs w:val="28"/>
        </w:rPr>
        <w:t xml:space="preserve">, </w:t>
      </w:r>
      <w:r w:rsidR="002D0AFD" w:rsidRPr="00F06851">
        <w:rPr>
          <w:sz w:val="28"/>
          <w:szCs w:val="28"/>
        </w:rPr>
        <w:t>честности</w:t>
      </w:r>
      <w:r w:rsidR="00F06851">
        <w:rPr>
          <w:sz w:val="28"/>
          <w:szCs w:val="28"/>
        </w:rPr>
        <w:t xml:space="preserve">, </w:t>
      </w:r>
      <w:r w:rsidR="002D0AFD" w:rsidRPr="00F06851">
        <w:rPr>
          <w:sz w:val="28"/>
          <w:szCs w:val="28"/>
        </w:rPr>
        <w:t>полноты раскрытия необходимой информации</w:t>
      </w:r>
      <w:r w:rsidR="00F06851">
        <w:rPr>
          <w:sz w:val="28"/>
          <w:szCs w:val="28"/>
        </w:rPr>
        <w:t xml:space="preserve">, </w:t>
      </w:r>
      <w:r w:rsidR="002D0AFD" w:rsidRPr="00F06851">
        <w:rPr>
          <w:sz w:val="28"/>
          <w:szCs w:val="28"/>
        </w:rPr>
        <w:t>выполнения поручений клиента исключительно в его интересах</w:t>
      </w:r>
      <w:r w:rsidR="00F06851">
        <w:rPr>
          <w:sz w:val="28"/>
          <w:szCs w:val="28"/>
        </w:rPr>
        <w:t xml:space="preserve">. </w:t>
      </w:r>
      <w:r w:rsidR="002D0AFD" w:rsidRPr="00F06851">
        <w:rPr>
          <w:sz w:val="28"/>
          <w:szCs w:val="28"/>
        </w:rPr>
        <w:t>При осуществлении брокерской и дилерской деятельности на рынке ценных бумаг кредитные организации - профессиональные участники рынка должны придерживаться определенных правил</w:t>
      </w:r>
      <w:r w:rsidR="00F06851">
        <w:rPr>
          <w:sz w:val="28"/>
          <w:szCs w:val="28"/>
        </w:rPr>
        <w:t xml:space="preserve">. </w:t>
      </w:r>
    </w:p>
    <w:p w:rsidR="00737F33" w:rsidRPr="00F06851" w:rsidRDefault="00737F33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06851">
        <w:rPr>
          <w:sz w:val="28"/>
          <w:szCs w:val="28"/>
        </w:rPr>
        <w:t>-коммерческие банки на рынке ценных бумаг играют одну из важнейших ролей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Деятельность банков на рынке ценных бумаг можно разделить на четыре вида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которые отражают различную роль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выполняемую банками при проведении определенных операций с ценными бумагами:</w:t>
      </w:r>
    </w:p>
    <w:p w:rsidR="00F06851" w:rsidRDefault="00737F33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 деятельность банков как эмитентов;</w:t>
      </w:r>
    </w:p>
    <w:p w:rsidR="00737F33" w:rsidRPr="00F06851" w:rsidRDefault="00737F33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-деятельность банков как инвесторов;</w:t>
      </w:r>
    </w:p>
    <w:p w:rsidR="00737F33" w:rsidRPr="00F06851" w:rsidRDefault="00737F33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 профессиональная деятельность банков на рынке ценных бумаг;</w:t>
      </w:r>
    </w:p>
    <w:p w:rsidR="00737F33" w:rsidRPr="00F06851" w:rsidRDefault="00737F33" w:rsidP="00485FE0">
      <w:pPr>
        <w:pStyle w:val="af"/>
        <w:tabs>
          <w:tab w:val="left" w:pos="1080"/>
        </w:tabs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-традиционные банковские операции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связанные с обслуживанием рынка ценных бумаг</w:t>
      </w:r>
      <w:r w:rsidR="00F06851">
        <w:rPr>
          <w:sz w:val="28"/>
          <w:szCs w:val="28"/>
        </w:rPr>
        <w:t xml:space="preserve">. </w:t>
      </w:r>
    </w:p>
    <w:p w:rsidR="00F06851" w:rsidRDefault="00737F33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06851">
        <w:rPr>
          <w:sz w:val="28"/>
          <w:szCs w:val="28"/>
        </w:rPr>
        <w:t>Каждый из этих видов деятельности включает в себя широкий спектр разнообразных операций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опосредующих как движение самих ценных бумаг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так и реализацию прав</w:t>
      </w:r>
      <w:r w:rsidR="00F06851">
        <w:rPr>
          <w:sz w:val="28"/>
          <w:szCs w:val="28"/>
        </w:rPr>
        <w:t xml:space="preserve">, </w:t>
      </w:r>
      <w:r w:rsidRPr="00F06851">
        <w:rPr>
          <w:sz w:val="28"/>
          <w:szCs w:val="28"/>
        </w:rPr>
        <w:t>вытекающих из этих ценных бумаг</w:t>
      </w:r>
      <w:r w:rsidR="00F06851">
        <w:rPr>
          <w:sz w:val="28"/>
          <w:szCs w:val="28"/>
        </w:rPr>
        <w:t xml:space="preserve">. </w:t>
      </w:r>
    </w:p>
    <w:p w:rsidR="00F06851" w:rsidRDefault="00D35416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Наличие в России рынка ценных бумаг расширяет возможности самих банков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усиливает рыночный характер их деятельности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позволяет смягчить</w:t>
      </w:r>
      <w:r w:rsidR="00435482">
        <w:rPr>
          <w:rFonts w:cs="TimesNewRomanPSMT"/>
          <w:sz w:val="28"/>
          <w:szCs w:val="28"/>
        </w:rPr>
        <w:t xml:space="preserve"> </w:t>
      </w:r>
      <w:r w:rsidRPr="00F06851">
        <w:rPr>
          <w:rFonts w:cs="TimesNewRomanPSMT"/>
          <w:sz w:val="28"/>
          <w:szCs w:val="28"/>
        </w:rPr>
        <w:t>риски при выполнении банками основных банковских операций</w:t>
      </w:r>
      <w:r w:rsidR="00F06851">
        <w:rPr>
          <w:rFonts w:cs="TimesNewRomanPSMT"/>
          <w:sz w:val="28"/>
          <w:szCs w:val="28"/>
        </w:rPr>
        <w:t xml:space="preserve">. </w:t>
      </w:r>
    </w:p>
    <w:p w:rsidR="007C66A9" w:rsidRPr="00F06851" w:rsidRDefault="007C66A9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TimesNewRomanPSMT"/>
          <w:sz w:val="28"/>
          <w:szCs w:val="28"/>
        </w:rPr>
        <w:t>Роль банков как участников рынка ценных бумаг заключается в следующем:</w:t>
      </w:r>
    </w:p>
    <w:p w:rsidR="007C66A9" w:rsidRPr="00F06851" w:rsidRDefault="007C66A9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SymbolMT"/>
          <w:sz w:val="28"/>
          <w:szCs w:val="28"/>
        </w:rPr>
        <w:t xml:space="preserve">- </w:t>
      </w:r>
      <w:r w:rsidRPr="00F06851">
        <w:rPr>
          <w:rFonts w:cs="TimesNewRomanPSMT"/>
          <w:sz w:val="28"/>
          <w:szCs w:val="28"/>
        </w:rPr>
        <w:t>активизируют участников рынка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оказы</w:t>
      </w:r>
      <w:r w:rsidR="00435482">
        <w:rPr>
          <w:rFonts w:cs="TimesNewRomanPSMT"/>
          <w:sz w:val="28"/>
          <w:szCs w:val="28"/>
        </w:rPr>
        <w:t>вая влияние на их профессиональ</w:t>
      </w:r>
      <w:r w:rsidRPr="00F06851">
        <w:rPr>
          <w:rFonts w:cs="TimesNewRomanPSMT"/>
          <w:sz w:val="28"/>
          <w:szCs w:val="28"/>
        </w:rPr>
        <w:t>ный уровень;</w:t>
      </w:r>
    </w:p>
    <w:p w:rsidR="007C66A9" w:rsidRPr="00F06851" w:rsidRDefault="007C66A9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SymbolMT"/>
          <w:sz w:val="28"/>
          <w:szCs w:val="28"/>
        </w:rPr>
        <w:t xml:space="preserve">- </w:t>
      </w:r>
      <w:r w:rsidRPr="00F06851">
        <w:rPr>
          <w:rFonts w:cs="TimesNewRomanPSMT"/>
          <w:sz w:val="28"/>
          <w:szCs w:val="28"/>
        </w:rPr>
        <w:t>инициируют создание новых для росси</w:t>
      </w:r>
      <w:r w:rsidR="00435482">
        <w:rPr>
          <w:rFonts w:cs="TimesNewRomanPSMT"/>
          <w:sz w:val="28"/>
          <w:szCs w:val="28"/>
        </w:rPr>
        <w:t>йской финансовой системы инстру</w:t>
      </w:r>
      <w:r w:rsidRPr="00F06851">
        <w:rPr>
          <w:rFonts w:cs="TimesNewRomanPSMT"/>
          <w:sz w:val="28"/>
          <w:szCs w:val="28"/>
        </w:rPr>
        <w:t>ментов (фьючерсы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опционы</w:t>
      </w:r>
      <w:r w:rsidR="00F06851">
        <w:rPr>
          <w:rFonts w:cs="TimesNewRomanPSMT"/>
          <w:sz w:val="28"/>
          <w:szCs w:val="28"/>
        </w:rPr>
        <w:t xml:space="preserve">, , </w:t>
      </w:r>
      <w:r w:rsidRPr="00F06851">
        <w:rPr>
          <w:rFonts w:cs="TimesNewRomanPSMT"/>
          <w:sz w:val="28"/>
          <w:szCs w:val="28"/>
        </w:rPr>
        <w:t>пластиковые карточки и др</w:t>
      </w:r>
      <w:r w:rsidR="00F06851">
        <w:rPr>
          <w:rFonts w:cs="TimesNewRomanPSMT"/>
          <w:sz w:val="28"/>
          <w:szCs w:val="28"/>
        </w:rPr>
        <w:t xml:space="preserve">. </w:t>
      </w:r>
      <w:r w:rsidRPr="00F06851">
        <w:rPr>
          <w:rFonts w:cs="TimesNewRomanPSMT"/>
          <w:sz w:val="28"/>
          <w:szCs w:val="28"/>
        </w:rPr>
        <w:t>);</w:t>
      </w:r>
    </w:p>
    <w:p w:rsidR="007C66A9" w:rsidRPr="00F06851" w:rsidRDefault="007C66A9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SymbolMT"/>
          <w:sz w:val="28"/>
          <w:szCs w:val="28"/>
        </w:rPr>
        <w:t xml:space="preserve">- </w:t>
      </w:r>
      <w:r w:rsidRPr="00F06851">
        <w:rPr>
          <w:rFonts w:cs="TimesNewRomanPSMT"/>
          <w:sz w:val="28"/>
          <w:szCs w:val="28"/>
        </w:rPr>
        <w:t>способствуют развитию инфраструктуры рынка ценных бумаг</w:t>
      </w:r>
      <w:r w:rsidR="00435482">
        <w:rPr>
          <w:rFonts w:cs="TimesNewRomanPSMT"/>
          <w:sz w:val="28"/>
          <w:szCs w:val="28"/>
        </w:rPr>
        <w:t xml:space="preserve"> </w:t>
      </w:r>
      <w:r w:rsidRPr="00F06851">
        <w:rPr>
          <w:rFonts w:cs="TimesNewRomanPSMT"/>
          <w:sz w:val="28"/>
          <w:szCs w:val="28"/>
        </w:rPr>
        <w:t>депозитарии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клиринги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информационные</w:t>
      </w:r>
      <w:r w:rsidR="00F06851">
        <w:rPr>
          <w:rFonts w:cs="TimesNewRomanPSMT"/>
          <w:sz w:val="28"/>
          <w:szCs w:val="28"/>
        </w:rPr>
        <w:t xml:space="preserve">, </w:t>
      </w:r>
      <w:r w:rsidRPr="00F06851">
        <w:rPr>
          <w:rFonts w:cs="TimesNewRomanPSMT"/>
          <w:sz w:val="28"/>
          <w:szCs w:val="28"/>
        </w:rPr>
        <w:t>консалтинговые фирмы и т</w:t>
      </w:r>
      <w:r w:rsidR="00F06851">
        <w:rPr>
          <w:rFonts w:cs="TimesNewRomanPSMT"/>
          <w:sz w:val="28"/>
          <w:szCs w:val="28"/>
        </w:rPr>
        <w:t xml:space="preserve">. </w:t>
      </w:r>
      <w:r w:rsidRPr="00F06851">
        <w:rPr>
          <w:rFonts w:cs="TimesNewRomanPSMT"/>
          <w:sz w:val="28"/>
          <w:szCs w:val="28"/>
        </w:rPr>
        <w:t>д</w:t>
      </w:r>
      <w:r w:rsidR="00435482">
        <w:rPr>
          <w:rFonts w:cs="TimesNewRomanPSMT"/>
          <w:sz w:val="28"/>
          <w:szCs w:val="28"/>
        </w:rPr>
        <w:t>.</w:t>
      </w:r>
      <w:r w:rsidRPr="00F06851">
        <w:rPr>
          <w:rFonts w:cs="TimesNewRomanPSMT"/>
          <w:sz w:val="28"/>
          <w:szCs w:val="28"/>
        </w:rPr>
        <w:t>);</w:t>
      </w:r>
    </w:p>
    <w:p w:rsidR="007C66A9" w:rsidRPr="00F06851" w:rsidRDefault="007C66A9" w:rsidP="00485FE0">
      <w:pPr>
        <w:tabs>
          <w:tab w:val="left" w:pos="108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06851">
        <w:rPr>
          <w:rFonts w:cs="SymbolMT"/>
          <w:sz w:val="28"/>
          <w:szCs w:val="28"/>
        </w:rPr>
        <w:t xml:space="preserve">- </w:t>
      </w:r>
      <w:r w:rsidRPr="00F06851">
        <w:rPr>
          <w:rFonts w:cs="TimesNewRomanPSMT"/>
          <w:sz w:val="28"/>
          <w:szCs w:val="28"/>
        </w:rPr>
        <w:t>создают условия для значительного притока в российскую экономику портфельных и прямых инвестиций западных финансовых институтов</w:t>
      </w:r>
      <w:r w:rsidR="00F06851">
        <w:rPr>
          <w:rFonts w:cs="TimesNewRomanPSMT"/>
          <w:sz w:val="28"/>
          <w:szCs w:val="28"/>
        </w:rPr>
        <w:t xml:space="preserve">. </w:t>
      </w:r>
    </w:p>
    <w:p w:rsidR="008B5332" w:rsidRDefault="00073CCA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06851">
        <w:rPr>
          <w:b/>
          <w:bCs/>
          <w:sz w:val="28"/>
          <w:szCs w:val="28"/>
        </w:rPr>
        <w:br w:type="page"/>
      </w:r>
      <w:r w:rsidR="00C351B8" w:rsidRPr="00F06851">
        <w:rPr>
          <w:b/>
          <w:bCs/>
          <w:sz w:val="28"/>
          <w:szCs w:val="28"/>
        </w:rPr>
        <w:t>С</w:t>
      </w:r>
      <w:r w:rsidR="00435482" w:rsidRPr="00F06851">
        <w:rPr>
          <w:b/>
          <w:bCs/>
          <w:sz w:val="28"/>
          <w:szCs w:val="28"/>
        </w:rPr>
        <w:t>писок использованных источников</w:t>
      </w:r>
    </w:p>
    <w:p w:rsidR="00435482" w:rsidRPr="00F06851" w:rsidRDefault="00435482" w:rsidP="00485FE0">
      <w:pPr>
        <w:tabs>
          <w:tab w:val="left" w:pos="1080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5332" w:rsidRPr="00F06851" w:rsidRDefault="008B5332" w:rsidP="00435482">
      <w:pPr>
        <w:tabs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F06851">
        <w:rPr>
          <w:sz w:val="28"/>
          <w:szCs w:val="28"/>
        </w:rPr>
        <w:t>1)</w:t>
      </w:r>
      <w:r w:rsidR="00435482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Новашина Т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С</w:t>
      </w:r>
      <w:r w:rsidR="00F06851">
        <w:rPr>
          <w:sz w:val="28"/>
          <w:szCs w:val="28"/>
        </w:rPr>
        <w:t xml:space="preserve">. , </w:t>
      </w:r>
      <w:r w:rsidRPr="00F06851">
        <w:rPr>
          <w:sz w:val="28"/>
          <w:szCs w:val="28"/>
        </w:rPr>
        <w:t>Криворучко С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В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”Операции банков с ценными бумагами”учебное пособие МФПА 2005г</w:t>
      </w:r>
      <w:r w:rsidR="00F06851">
        <w:rPr>
          <w:sz w:val="28"/>
          <w:szCs w:val="28"/>
        </w:rPr>
        <w:t xml:space="preserve">. </w:t>
      </w:r>
    </w:p>
    <w:p w:rsidR="008B5332" w:rsidRPr="00F06851" w:rsidRDefault="008B5332" w:rsidP="00435482">
      <w:pPr>
        <w:tabs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F06851">
        <w:rPr>
          <w:sz w:val="28"/>
          <w:szCs w:val="28"/>
        </w:rPr>
        <w:t>2)</w:t>
      </w:r>
      <w:r w:rsidRPr="00F06851">
        <w:rPr>
          <w:sz w:val="28"/>
        </w:rPr>
        <w:t xml:space="preserve"> </w:t>
      </w:r>
      <w:r w:rsidRPr="00F06851">
        <w:rPr>
          <w:sz w:val="28"/>
          <w:szCs w:val="28"/>
        </w:rPr>
        <w:t>Моисеев С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Р</w:t>
      </w:r>
      <w:r w:rsidR="00F06851">
        <w:rPr>
          <w:sz w:val="28"/>
          <w:szCs w:val="28"/>
        </w:rPr>
        <w:t xml:space="preserve">. , </w:t>
      </w:r>
      <w:r w:rsidRPr="00F06851">
        <w:rPr>
          <w:sz w:val="28"/>
          <w:szCs w:val="28"/>
        </w:rPr>
        <w:t>Ключников М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В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Пищулин Е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А</w:t>
      </w:r>
      <w:r w:rsidR="00F06851">
        <w:rPr>
          <w:sz w:val="28"/>
          <w:szCs w:val="28"/>
        </w:rPr>
        <w:t xml:space="preserve">. , </w:t>
      </w:r>
      <w:r w:rsidRPr="00F06851">
        <w:rPr>
          <w:sz w:val="28"/>
          <w:szCs w:val="28"/>
        </w:rPr>
        <w:t>учебник МФПА “Банковское дело”изд 2008г</w:t>
      </w:r>
      <w:r w:rsidR="00F06851">
        <w:rPr>
          <w:sz w:val="28"/>
          <w:szCs w:val="28"/>
        </w:rPr>
        <w:t xml:space="preserve">. </w:t>
      </w:r>
    </w:p>
    <w:p w:rsidR="006A1775" w:rsidRPr="00F06851" w:rsidRDefault="006A1775" w:rsidP="00435482">
      <w:pPr>
        <w:tabs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F06851">
        <w:rPr>
          <w:sz w:val="28"/>
          <w:szCs w:val="28"/>
        </w:rPr>
        <w:t>3)</w:t>
      </w:r>
      <w:r w:rsidR="00435482">
        <w:rPr>
          <w:sz w:val="28"/>
          <w:szCs w:val="28"/>
        </w:rPr>
        <w:t xml:space="preserve"> </w:t>
      </w:r>
      <w:r w:rsidRPr="00F06851">
        <w:rPr>
          <w:sz w:val="28"/>
          <w:szCs w:val="28"/>
        </w:rPr>
        <w:t>Аскинадзи В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М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учебное пособие МФПА”Рынок ценных бумаг”изд</w:t>
      </w:r>
      <w:r w:rsidR="00F06851">
        <w:rPr>
          <w:sz w:val="28"/>
          <w:szCs w:val="28"/>
        </w:rPr>
        <w:t xml:space="preserve">. </w:t>
      </w:r>
      <w:r w:rsidRPr="00F06851">
        <w:rPr>
          <w:sz w:val="28"/>
          <w:szCs w:val="28"/>
        </w:rPr>
        <w:t>2008г</w:t>
      </w:r>
      <w:r w:rsidR="00F06851">
        <w:rPr>
          <w:sz w:val="28"/>
          <w:szCs w:val="28"/>
        </w:rPr>
        <w:t xml:space="preserve">. </w:t>
      </w:r>
    </w:p>
    <w:p w:rsidR="008B5332" w:rsidRPr="00F06851" w:rsidRDefault="006A1775" w:rsidP="00435482">
      <w:pPr>
        <w:tabs>
          <w:tab w:val="left" w:pos="1080"/>
        </w:tabs>
        <w:suppressAutoHyphens/>
        <w:spacing w:line="360" w:lineRule="auto"/>
        <w:rPr>
          <w:sz w:val="28"/>
          <w:szCs w:val="28"/>
          <w:lang w:val="en-US"/>
        </w:rPr>
      </w:pPr>
      <w:r w:rsidRPr="00F06851">
        <w:rPr>
          <w:sz w:val="28"/>
          <w:szCs w:val="28"/>
          <w:lang w:val="en-US"/>
        </w:rPr>
        <w:t>4</w:t>
      </w:r>
      <w:r w:rsidR="008B5332" w:rsidRPr="00F06851">
        <w:rPr>
          <w:sz w:val="28"/>
          <w:szCs w:val="28"/>
          <w:lang w:val="en-US"/>
        </w:rPr>
        <w:t>)</w:t>
      </w:r>
      <w:r w:rsidR="00D35C54" w:rsidRPr="00F06851">
        <w:rPr>
          <w:sz w:val="28"/>
          <w:szCs w:val="28"/>
          <w:lang w:val="en-US"/>
        </w:rPr>
        <w:t xml:space="preserve"> </w:t>
      </w:r>
      <w:r w:rsidR="00D35C54" w:rsidRPr="00570E55">
        <w:rPr>
          <w:sz w:val="28"/>
          <w:szCs w:val="28"/>
          <w:lang w:val="en-US"/>
        </w:rPr>
        <w:t>http://www</w:t>
      </w:r>
      <w:r w:rsidR="00F06851" w:rsidRPr="00570E55">
        <w:rPr>
          <w:sz w:val="28"/>
          <w:szCs w:val="28"/>
          <w:lang w:val="en-US"/>
        </w:rPr>
        <w:t xml:space="preserve">. </w:t>
      </w:r>
      <w:r w:rsidR="00D35C54" w:rsidRPr="00570E55">
        <w:rPr>
          <w:sz w:val="28"/>
          <w:szCs w:val="28"/>
          <w:lang w:val="en-US"/>
        </w:rPr>
        <w:t>besteconomics</w:t>
      </w:r>
      <w:r w:rsidR="00F06851" w:rsidRPr="00570E55">
        <w:rPr>
          <w:sz w:val="28"/>
          <w:szCs w:val="28"/>
          <w:lang w:val="en-US"/>
        </w:rPr>
        <w:t xml:space="preserve">. </w:t>
      </w:r>
      <w:r w:rsidR="00D35C54" w:rsidRPr="00570E55">
        <w:rPr>
          <w:sz w:val="28"/>
          <w:szCs w:val="28"/>
          <w:lang w:val="en-US"/>
        </w:rPr>
        <w:t>ru</w:t>
      </w:r>
    </w:p>
    <w:p w:rsidR="00D35C54" w:rsidRPr="00F06851" w:rsidRDefault="006A1775" w:rsidP="00435482">
      <w:pPr>
        <w:tabs>
          <w:tab w:val="left" w:pos="1080"/>
        </w:tabs>
        <w:suppressAutoHyphens/>
        <w:spacing w:line="360" w:lineRule="auto"/>
        <w:rPr>
          <w:sz w:val="28"/>
          <w:szCs w:val="28"/>
          <w:lang w:val="en-US"/>
        </w:rPr>
      </w:pPr>
      <w:r w:rsidRPr="00F06851">
        <w:rPr>
          <w:sz w:val="28"/>
          <w:szCs w:val="28"/>
          <w:lang w:val="en-US"/>
        </w:rPr>
        <w:t>5</w:t>
      </w:r>
      <w:r w:rsidR="00D35C54" w:rsidRPr="00F06851">
        <w:rPr>
          <w:sz w:val="28"/>
          <w:szCs w:val="28"/>
          <w:lang w:val="en-US"/>
        </w:rPr>
        <w:t>)</w:t>
      </w:r>
      <w:r w:rsidR="00D35C54" w:rsidRPr="00F06851">
        <w:rPr>
          <w:sz w:val="28"/>
          <w:lang w:val="en-US"/>
        </w:rPr>
        <w:t xml:space="preserve"> </w:t>
      </w:r>
      <w:r w:rsidR="00D35C54" w:rsidRPr="00570E55">
        <w:rPr>
          <w:sz w:val="28"/>
          <w:szCs w:val="28"/>
          <w:lang w:val="en-US"/>
        </w:rPr>
        <w:t>http://www</w:t>
      </w:r>
      <w:r w:rsidR="00F06851" w:rsidRPr="00570E55">
        <w:rPr>
          <w:sz w:val="28"/>
          <w:szCs w:val="28"/>
          <w:lang w:val="en-US"/>
        </w:rPr>
        <w:t xml:space="preserve">. </w:t>
      </w:r>
      <w:r w:rsidR="00D35C54" w:rsidRPr="00570E55">
        <w:rPr>
          <w:sz w:val="28"/>
          <w:szCs w:val="28"/>
          <w:lang w:val="en-US"/>
        </w:rPr>
        <w:t>econference</w:t>
      </w:r>
      <w:r w:rsidR="00F06851" w:rsidRPr="00570E55">
        <w:rPr>
          <w:sz w:val="28"/>
          <w:szCs w:val="28"/>
          <w:lang w:val="en-US"/>
        </w:rPr>
        <w:t xml:space="preserve">. </w:t>
      </w:r>
      <w:r w:rsidR="00D35C54" w:rsidRPr="00570E55">
        <w:rPr>
          <w:sz w:val="28"/>
          <w:szCs w:val="28"/>
          <w:lang w:val="en-US"/>
        </w:rPr>
        <w:t>ru</w:t>
      </w:r>
    </w:p>
    <w:p w:rsidR="00D35C54" w:rsidRPr="00F06851" w:rsidRDefault="006A1775" w:rsidP="00435482">
      <w:pPr>
        <w:tabs>
          <w:tab w:val="left" w:pos="1080"/>
        </w:tabs>
        <w:suppressAutoHyphens/>
        <w:spacing w:line="360" w:lineRule="auto"/>
        <w:rPr>
          <w:sz w:val="28"/>
          <w:szCs w:val="28"/>
          <w:lang w:val="en-US"/>
        </w:rPr>
      </w:pPr>
      <w:r w:rsidRPr="00F06851">
        <w:rPr>
          <w:sz w:val="28"/>
          <w:szCs w:val="28"/>
          <w:lang w:val="en-US"/>
        </w:rPr>
        <w:t>6</w:t>
      </w:r>
      <w:r w:rsidR="00D35C54" w:rsidRPr="00F06851">
        <w:rPr>
          <w:sz w:val="28"/>
          <w:szCs w:val="28"/>
          <w:lang w:val="en-US"/>
        </w:rPr>
        <w:t>)</w:t>
      </w:r>
      <w:r w:rsidR="00D35C54" w:rsidRPr="00F06851">
        <w:rPr>
          <w:sz w:val="28"/>
          <w:lang w:val="en-US"/>
        </w:rPr>
        <w:t xml:space="preserve"> </w:t>
      </w:r>
      <w:r w:rsidR="00D35C54" w:rsidRPr="00570E55">
        <w:rPr>
          <w:sz w:val="28"/>
          <w:szCs w:val="28"/>
          <w:lang w:val="en-US"/>
        </w:rPr>
        <w:t>http://www</w:t>
      </w:r>
      <w:r w:rsidR="00F06851" w:rsidRPr="00570E55">
        <w:rPr>
          <w:sz w:val="28"/>
          <w:szCs w:val="28"/>
          <w:lang w:val="en-US"/>
        </w:rPr>
        <w:t xml:space="preserve">. </w:t>
      </w:r>
      <w:r w:rsidR="00D35C54" w:rsidRPr="00570E55">
        <w:rPr>
          <w:sz w:val="28"/>
          <w:szCs w:val="28"/>
          <w:lang w:val="en-US"/>
        </w:rPr>
        <w:t>bankir</w:t>
      </w:r>
      <w:r w:rsidR="00F06851" w:rsidRPr="00570E55">
        <w:rPr>
          <w:sz w:val="28"/>
          <w:szCs w:val="28"/>
          <w:lang w:val="en-US"/>
        </w:rPr>
        <w:t xml:space="preserve">. </w:t>
      </w:r>
      <w:r w:rsidR="00D35C54" w:rsidRPr="00570E55">
        <w:rPr>
          <w:sz w:val="28"/>
          <w:szCs w:val="28"/>
          <w:lang w:val="en-US"/>
        </w:rPr>
        <w:t>ru/</w:t>
      </w:r>
    </w:p>
    <w:p w:rsidR="00D35C54" w:rsidRPr="00F06851" w:rsidRDefault="006A1775" w:rsidP="00435482">
      <w:pPr>
        <w:tabs>
          <w:tab w:val="left" w:pos="1080"/>
        </w:tabs>
        <w:suppressAutoHyphens/>
        <w:spacing w:line="360" w:lineRule="auto"/>
        <w:rPr>
          <w:sz w:val="28"/>
          <w:szCs w:val="28"/>
          <w:lang w:val="en-US"/>
        </w:rPr>
      </w:pPr>
      <w:r w:rsidRPr="00F06851">
        <w:rPr>
          <w:sz w:val="28"/>
          <w:szCs w:val="28"/>
          <w:lang w:val="en-US"/>
        </w:rPr>
        <w:t>7</w:t>
      </w:r>
      <w:r w:rsidR="00D35C54" w:rsidRPr="00F06851">
        <w:rPr>
          <w:sz w:val="28"/>
          <w:szCs w:val="28"/>
          <w:lang w:val="en-US"/>
        </w:rPr>
        <w:t>)</w:t>
      </w:r>
      <w:r w:rsidR="00C351B8" w:rsidRPr="00F06851">
        <w:rPr>
          <w:sz w:val="28"/>
          <w:lang w:val="en-US"/>
        </w:rPr>
        <w:t xml:space="preserve"> </w:t>
      </w:r>
      <w:r w:rsidR="00C351B8" w:rsidRPr="00F06851">
        <w:rPr>
          <w:sz w:val="28"/>
          <w:szCs w:val="28"/>
          <w:lang w:val="en-US"/>
        </w:rPr>
        <w:t>http://www</w:t>
      </w:r>
      <w:r w:rsidR="00F06851" w:rsidRPr="00F06851">
        <w:rPr>
          <w:sz w:val="28"/>
          <w:szCs w:val="28"/>
          <w:lang w:val="en-US"/>
        </w:rPr>
        <w:t xml:space="preserve">. </w:t>
      </w:r>
      <w:r w:rsidR="00C351B8" w:rsidRPr="00F06851">
        <w:rPr>
          <w:sz w:val="28"/>
          <w:szCs w:val="28"/>
          <w:lang w:val="en-US"/>
        </w:rPr>
        <w:t>consultant</w:t>
      </w:r>
      <w:r w:rsidR="00F06851" w:rsidRPr="00F06851">
        <w:rPr>
          <w:sz w:val="28"/>
          <w:szCs w:val="28"/>
          <w:lang w:val="en-US"/>
        </w:rPr>
        <w:t xml:space="preserve">. </w:t>
      </w:r>
      <w:r w:rsidR="00C351B8" w:rsidRPr="00F06851">
        <w:rPr>
          <w:sz w:val="28"/>
          <w:szCs w:val="28"/>
          <w:lang w:val="en-US"/>
        </w:rPr>
        <w:t>ru/</w:t>
      </w:r>
      <w:bookmarkStart w:id="0" w:name="_GoBack"/>
      <w:bookmarkEnd w:id="0"/>
    </w:p>
    <w:sectPr w:rsidR="00D35C54" w:rsidRPr="00F06851" w:rsidSect="00F06851">
      <w:pgSz w:w="11906" w:h="16838" w:code="9"/>
      <w:pgMar w:top="1134" w:right="851" w:bottom="1134" w:left="1701" w:header="709" w:footer="709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9AF" w:rsidRDefault="00E779AF">
      <w:r>
        <w:separator/>
      </w:r>
    </w:p>
  </w:endnote>
  <w:endnote w:type="continuationSeparator" w:id="0">
    <w:p w:rsidR="00E779AF" w:rsidRDefault="00E7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9AF" w:rsidRDefault="00E779AF">
      <w:r>
        <w:separator/>
      </w:r>
    </w:p>
  </w:footnote>
  <w:footnote w:type="continuationSeparator" w:id="0">
    <w:p w:rsidR="00E779AF" w:rsidRDefault="00E779AF">
      <w:r>
        <w:continuationSeparator/>
      </w:r>
    </w:p>
  </w:footnote>
  <w:footnote w:id="1">
    <w:p w:rsidR="00E779AF" w:rsidRDefault="00F06851">
      <w:pPr>
        <w:pStyle w:val="a6"/>
      </w:pPr>
      <w:r>
        <w:rPr>
          <w:rStyle w:val="a8"/>
        </w:rPr>
        <w:t>1</w:t>
      </w:r>
      <w:r>
        <w:t xml:space="preserve"> Новашина Т.С.,Криворучко С.В.</w:t>
      </w:r>
      <w:r w:rsidRPr="008833F3">
        <w:t>”</w:t>
      </w:r>
      <w:r>
        <w:t>Операции банков с ценными бумагами</w:t>
      </w:r>
      <w:r w:rsidRPr="008833F3">
        <w:t>”</w:t>
      </w:r>
      <w:r>
        <w:t>учебное пособие МФПА 2005г.стр.5</w:t>
      </w:r>
    </w:p>
  </w:footnote>
  <w:footnote w:id="2">
    <w:p w:rsidR="00E779AF" w:rsidRDefault="00F06851">
      <w:pPr>
        <w:pStyle w:val="a6"/>
      </w:pPr>
      <w:r>
        <w:rPr>
          <w:rStyle w:val="a8"/>
        </w:rPr>
        <w:t>2</w:t>
      </w:r>
      <w:r>
        <w:t xml:space="preserve"> Новашина Т.С.,Криворучко С.В.</w:t>
      </w:r>
      <w:r w:rsidRPr="008833F3">
        <w:t>”</w:t>
      </w:r>
      <w:r>
        <w:t>Операции банков с ценными бумагами</w:t>
      </w:r>
      <w:r w:rsidRPr="008833F3">
        <w:t>”</w:t>
      </w:r>
      <w:r>
        <w:t>учебное пособие МФПА 2005г.стр.13</w:t>
      </w:r>
    </w:p>
  </w:footnote>
  <w:footnote w:id="3">
    <w:p w:rsidR="00E779AF" w:rsidRDefault="00F06851">
      <w:pPr>
        <w:pStyle w:val="a6"/>
      </w:pPr>
      <w:r>
        <w:rPr>
          <w:rStyle w:val="a8"/>
        </w:rPr>
        <w:t>3</w:t>
      </w:r>
      <w:r>
        <w:t xml:space="preserve"> Моисеев С.Р.,Ключников М.В. Пищулин Е.А.,учебник МФПА </w:t>
      </w:r>
      <w:r w:rsidRPr="006F3F75">
        <w:t>“</w:t>
      </w:r>
      <w:r>
        <w:t>Банковское дело</w:t>
      </w:r>
      <w:r w:rsidRPr="006F3F75">
        <w:t>”</w:t>
      </w:r>
      <w:r>
        <w:t>изд 2008г.стр.365</w:t>
      </w:r>
    </w:p>
  </w:footnote>
  <w:footnote w:id="4">
    <w:p w:rsidR="00E779AF" w:rsidRDefault="00F06851">
      <w:pPr>
        <w:pStyle w:val="a6"/>
      </w:pPr>
      <w:r>
        <w:rPr>
          <w:rStyle w:val="a8"/>
        </w:rPr>
        <w:t>4</w:t>
      </w:r>
      <w:r>
        <w:t xml:space="preserve"> Моисеев С.Р.,Ключников М.В. Пищулин Е.А.,учебник МФПА </w:t>
      </w:r>
      <w:r w:rsidRPr="006F3F75">
        <w:t>“</w:t>
      </w:r>
      <w:r>
        <w:t>Банковское дело</w:t>
      </w:r>
      <w:r w:rsidRPr="006F3F75">
        <w:t>”</w:t>
      </w:r>
      <w:r>
        <w:t>изд 2008г стр.363</w:t>
      </w:r>
    </w:p>
  </w:footnote>
  <w:footnote w:id="5">
    <w:p w:rsidR="00E779AF" w:rsidRDefault="00F06851">
      <w:pPr>
        <w:pStyle w:val="a6"/>
      </w:pPr>
      <w:r>
        <w:rPr>
          <w:rStyle w:val="a8"/>
        </w:rPr>
        <w:t>5</w:t>
      </w:r>
      <w:r>
        <w:t xml:space="preserve"> Новашина Т.С.,Криворучко С.В.</w:t>
      </w:r>
      <w:r w:rsidRPr="008833F3">
        <w:t>”</w:t>
      </w:r>
      <w:r>
        <w:t>Операции банков с ценными бумагами</w:t>
      </w:r>
      <w:r w:rsidRPr="008833F3">
        <w:t>”</w:t>
      </w:r>
      <w:r>
        <w:t>учебное пособие МФПА 2005г.стр.8</w:t>
      </w:r>
    </w:p>
  </w:footnote>
  <w:footnote w:id="6">
    <w:p w:rsidR="00E779AF" w:rsidRDefault="00F06851">
      <w:pPr>
        <w:pStyle w:val="a6"/>
      </w:pPr>
      <w:r>
        <w:rPr>
          <w:rStyle w:val="a8"/>
        </w:rPr>
        <w:t>6</w:t>
      </w:r>
      <w:r>
        <w:t xml:space="preserve"> </w:t>
      </w:r>
      <w:r w:rsidRPr="000B6775">
        <w:t>http://www.besteconomics.ru/mesto-i-rol-bankov/22-gosudarstvennoe-regulirovanie-.html</w:t>
      </w:r>
    </w:p>
  </w:footnote>
  <w:footnote w:id="7">
    <w:p w:rsidR="00E779AF" w:rsidRDefault="00F06851">
      <w:pPr>
        <w:pStyle w:val="a6"/>
      </w:pPr>
      <w:r>
        <w:rPr>
          <w:rStyle w:val="a8"/>
        </w:rPr>
        <w:t>7</w:t>
      </w:r>
      <w:r>
        <w:t xml:space="preserve"> Новашина Т.С.,Криворучко С.В.</w:t>
      </w:r>
      <w:r w:rsidRPr="008833F3">
        <w:t>”</w:t>
      </w:r>
      <w:r>
        <w:t>Операции банков с ценными бумагами</w:t>
      </w:r>
      <w:r w:rsidRPr="008833F3">
        <w:t>”</w:t>
      </w:r>
      <w:r>
        <w:t>учебное пособие МФПА 2005г.стр.9</w:t>
      </w:r>
    </w:p>
  </w:footnote>
  <w:footnote w:id="8">
    <w:p w:rsidR="00E779AF" w:rsidRDefault="00F06851">
      <w:pPr>
        <w:pStyle w:val="a6"/>
      </w:pPr>
      <w:r>
        <w:t xml:space="preserve">8 </w:t>
      </w:r>
      <w:r w:rsidRPr="008B2BB8">
        <w:t>http://bankir.ru/technology/article/2493840</w:t>
      </w:r>
    </w:p>
  </w:footnote>
  <w:footnote w:id="9">
    <w:p w:rsidR="00E779AF" w:rsidRDefault="00F06851">
      <w:pPr>
        <w:pStyle w:val="a6"/>
      </w:pPr>
      <w:r>
        <w:rPr>
          <w:rStyle w:val="a8"/>
        </w:rPr>
        <w:t>9</w:t>
      </w:r>
      <w:r>
        <w:t xml:space="preserve"> </w:t>
      </w:r>
      <w:r w:rsidRPr="008B2BB8">
        <w:t>http://econference.ru/blog/conf05/162.html</w:t>
      </w:r>
    </w:p>
  </w:footnote>
  <w:footnote w:id="10">
    <w:p w:rsidR="00E779AF" w:rsidRDefault="00F06851">
      <w:pPr>
        <w:pStyle w:val="a6"/>
      </w:pPr>
      <w:r>
        <w:rPr>
          <w:rStyle w:val="a8"/>
        </w:rPr>
        <w:t>10</w:t>
      </w:r>
      <w:r>
        <w:t xml:space="preserve"> </w:t>
      </w:r>
      <w:r w:rsidRPr="00B34603">
        <w:t>http://econference.ru/blog/conf05/162.html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CE2"/>
    <w:multiLevelType w:val="hybridMultilevel"/>
    <w:tmpl w:val="6E52A35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140B3"/>
    <w:multiLevelType w:val="multilevel"/>
    <w:tmpl w:val="8F78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B4EE7"/>
    <w:multiLevelType w:val="hybridMultilevel"/>
    <w:tmpl w:val="6C5EF1B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230AC1"/>
    <w:multiLevelType w:val="multilevel"/>
    <w:tmpl w:val="D23A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87DA0"/>
    <w:multiLevelType w:val="hybridMultilevel"/>
    <w:tmpl w:val="A5182A7A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B6B6C08"/>
    <w:multiLevelType w:val="hybridMultilevel"/>
    <w:tmpl w:val="5BA0A0B6"/>
    <w:lvl w:ilvl="0" w:tplc="9A3A184E">
      <w:start w:val="1"/>
      <w:numFmt w:val="bullet"/>
      <w:lvlText w:val=""/>
      <w:lvlJc w:val="left"/>
      <w:pPr>
        <w:tabs>
          <w:tab w:val="num" w:pos="357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D039E7"/>
    <w:multiLevelType w:val="hybridMultilevel"/>
    <w:tmpl w:val="188C051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D663DB"/>
    <w:multiLevelType w:val="hybridMultilevel"/>
    <w:tmpl w:val="1A7A43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A6440F6"/>
    <w:multiLevelType w:val="hybridMultilevel"/>
    <w:tmpl w:val="18C21DE0"/>
    <w:lvl w:ilvl="0" w:tplc="3B048F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08D13F8"/>
    <w:multiLevelType w:val="hybridMultilevel"/>
    <w:tmpl w:val="272ADCD8"/>
    <w:lvl w:ilvl="0" w:tplc="9A3A184E">
      <w:start w:val="1"/>
      <w:numFmt w:val="bullet"/>
      <w:lvlText w:val=""/>
      <w:lvlJc w:val="left"/>
      <w:pPr>
        <w:tabs>
          <w:tab w:val="num" w:pos="357"/>
        </w:tabs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A831E8"/>
    <w:multiLevelType w:val="hybridMultilevel"/>
    <w:tmpl w:val="97F40D9A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41F1A6C"/>
    <w:multiLevelType w:val="hybridMultilevel"/>
    <w:tmpl w:val="C280620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4867B4"/>
    <w:multiLevelType w:val="multilevel"/>
    <w:tmpl w:val="FF7826D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432"/>
    <w:rsid w:val="00012438"/>
    <w:rsid w:val="0003139E"/>
    <w:rsid w:val="00061A5D"/>
    <w:rsid w:val="00073CCA"/>
    <w:rsid w:val="000763AD"/>
    <w:rsid w:val="00083255"/>
    <w:rsid w:val="000963F3"/>
    <w:rsid w:val="000B6775"/>
    <w:rsid w:val="000B7A21"/>
    <w:rsid w:val="000D1149"/>
    <w:rsid w:val="000E76C0"/>
    <w:rsid w:val="000F253B"/>
    <w:rsid w:val="0013224A"/>
    <w:rsid w:val="001433DC"/>
    <w:rsid w:val="00157E96"/>
    <w:rsid w:val="001873E3"/>
    <w:rsid w:val="001B66C1"/>
    <w:rsid w:val="001C1AE1"/>
    <w:rsid w:val="001D5A7F"/>
    <w:rsid w:val="001D6262"/>
    <w:rsid w:val="001F0775"/>
    <w:rsid w:val="00221453"/>
    <w:rsid w:val="002956EB"/>
    <w:rsid w:val="002D0AFD"/>
    <w:rsid w:val="002D2F7B"/>
    <w:rsid w:val="002D7890"/>
    <w:rsid w:val="002E454E"/>
    <w:rsid w:val="002E5287"/>
    <w:rsid w:val="00304DF6"/>
    <w:rsid w:val="00312955"/>
    <w:rsid w:val="003164E0"/>
    <w:rsid w:val="00387AF0"/>
    <w:rsid w:val="00396B40"/>
    <w:rsid w:val="003B7229"/>
    <w:rsid w:val="003C0742"/>
    <w:rsid w:val="003D24B1"/>
    <w:rsid w:val="003D26D0"/>
    <w:rsid w:val="00401DBC"/>
    <w:rsid w:val="00404D88"/>
    <w:rsid w:val="00420576"/>
    <w:rsid w:val="0043252A"/>
    <w:rsid w:val="00435482"/>
    <w:rsid w:val="004454B2"/>
    <w:rsid w:val="00476B3D"/>
    <w:rsid w:val="0047779C"/>
    <w:rsid w:val="004812E7"/>
    <w:rsid w:val="00485FE0"/>
    <w:rsid w:val="004D235C"/>
    <w:rsid w:val="00502A8E"/>
    <w:rsid w:val="00513113"/>
    <w:rsid w:val="005433EB"/>
    <w:rsid w:val="00563C06"/>
    <w:rsid w:val="00570E55"/>
    <w:rsid w:val="005A7E75"/>
    <w:rsid w:val="005B151A"/>
    <w:rsid w:val="005E1E7E"/>
    <w:rsid w:val="005E282C"/>
    <w:rsid w:val="006059CD"/>
    <w:rsid w:val="0066389F"/>
    <w:rsid w:val="00664EDE"/>
    <w:rsid w:val="006654FD"/>
    <w:rsid w:val="00677188"/>
    <w:rsid w:val="00692432"/>
    <w:rsid w:val="006A0BD6"/>
    <w:rsid w:val="006A1775"/>
    <w:rsid w:val="006D62B6"/>
    <w:rsid w:val="006F3F75"/>
    <w:rsid w:val="007012DC"/>
    <w:rsid w:val="007111A2"/>
    <w:rsid w:val="00737F33"/>
    <w:rsid w:val="00747C59"/>
    <w:rsid w:val="00757B1D"/>
    <w:rsid w:val="00770100"/>
    <w:rsid w:val="00770FC2"/>
    <w:rsid w:val="00793D23"/>
    <w:rsid w:val="00795A32"/>
    <w:rsid w:val="007979DD"/>
    <w:rsid w:val="007C66A9"/>
    <w:rsid w:val="008050EB"/>
    <w:rsid w:val="00831FC2"/>
    <w:rsid w:val="00861429"/>
    <w:rsid w:val="008833F3"/>
    <w:rsid w:val="008B2BB8"/>
    <w:rsid w:val="008B5332"/>
    <w:rsid w:val="008D1187"/>
    <w:rsid w:val="008F6B58"/>
    <w:rsid w:val="009429D2"/>
    <w:rsid w:val="00953A86"/>
    <w:rsid w:val="00983F76"/>
    <w:rsid w:val="00997EF8"/>
    <w:rsid w:val="009A1A65"/>
    <w:rsid w:val="009A1B8D"/>
    <w:rsid w:val="009F3EE9"/>
    <w:rsid w:val="00A0032B"/>
    <w:rsid w:val="00A12DED"/>
    <w:rsid w:val="00A2653D"/>
    <w:rsid w:val="00A36EF1"/>
    <w:rsid w:val="00A410E0"/>
    <w:rsid w:val="00A74573"/>
    <w:rsid w:val="00A97B6A"/>
    <w:rsid w:val="00AD0BE7"/>
    <w:rsid w:val="00AD6B37"/>
    <w:rsid w:val="00AF0924"/>
    <w:rsid w:val="00AF1048"/>
    <w:rsid w:val="00B00781"/>
    <w:rsid w:val="00B042C0"/>
    <w:rsid w:val="00B2497C"/>
    <w:rsid w:val="00B2568C"/>
    <w:rsid w:val="00B26F86"/>
    <w:rsid w:val="00B34603"/>
    <w:rsid w:val="00B37B3E"/>
    <w:rsid w:val="00B56B75"/>
    <w:rsid w:val="00B72FB4"/>
    <w:rsid w:val="00B77BFE"/>
    <w:rsid w:val="00BB05E5"/>
    <w:rsid w:val="00BC590C"/>
    <w:rsid w:val="00BD69D6"/>
    <w:rsid w:val="00BE38D4"/>
    <w:rsid w:val="00BE7816"/>
    <w:rsid w:val="00C0407A"/>
    <w:rsid w:val="00C351B8"/>
    <w:rsid w:val="00C35B18"/>
    <w:rsid w:val="00C46EDF"/>
    <w:rsid w:val="00C54331"/>
    <w:rsid w:val="00C568B7"/>
    <w:rsid w:val="00C5792B"/>
    <w:rsid w:val="00C7006C"/>
    <w:rsid w:val="00C73BA9"/>
    <w:rsid w:val="00C771B4"/>
    <w:rsid w:val="00C82B38"/>
    <w:rsid w:val="00CA1A9F"/>
    <w:rsid w:val="00CF0C77"/>
    <w:rsid w:val="00CF69EB"/>
    <w:rsid w:val="00D0123E"/>
    <w:rsid w:val="00D0365D"/>
    <w:rsid w:val="00D07262"/>
    <w:rsid w:val="00D1427D"/>
    <w:rsid w:val="00D22CBD"/>
    <w:rsid w:val="00D3239E"/>
    <w:rsid w:val="00D35416"/>
    <w:rsid w:val="00D35C54"/>
    <w:rsid w:val="00D8547A"/>
    <w:rsid w:val="00D976DD"/>
    <w:rsid w:val="00DD46CC"/>
    <w:rsid w:val="00DD6140"/>
    <w:rsid w:val="00DE6012"/>
    <w:rsid w:val="00DF673D"/>
    <w:rsid w:val="00E0020F"/>
    <w:rsid w:val="00E0583F"/>
    <w:rsid w:val="00E1583B"/>
    <w:rsid w:val="00E30799"/>
    <w:rsid w:val="00E53C30"/>
    <w:rsid w:val="00E578FF"/>
    <w:rsid w:val="00E613D4"/>
    <w:rsid w:val="00E75936"/>
    <w:rsid w:val="00E779AF"/>
    <w:rsid w:val="00EA5FF7"/>
    <w:rsid w:val="00EF028C"/>
    <w:rsid w:val="00EF234D"/>
    <w:rsid w:val="00EF6C65"/>
    <w:rsid w:val="00F06851"/>
    <w:rsid w:val="00F61CD8"/>
    <w:rsid w:val="00FA4F10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D89823D-CDD2-44FA-A077-94B44805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B77BFE"/>
    <w:pPr>
      <w:keepNext/>
      <w:widowControl w:val="0"/>
      <w:spacing w:before="240" w:after="60" w:line="300" w:lineRule="auto"/>
      <w:ind w:firstLine="70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4">
    <w:name w:val="Стиль 14 пт По ширине Междустр.интервал:  полуторный"/>
    <w:basedOn w:val="a"/>
    <w:uiPriority w:val="99"/>
    <w:rsid w:val="000D1149"/>
    <w:pPr>
      <w:autoSpaceDE w:val="0"/>
      <w:autoSpaceDN w:val="0"/>
      <w:spacing w:line="360" w:lineRule="auto"/>
      <w:jc w:val="both"/>
    </w:pPr>
    <w:rPr>
      <w:spacing w:val="20"/>
      <w:sz w:val="28"/>
      <w:szCs w:val="28"/>
    </w:rPr>
  </w:style>
  <w:style w:type="paragraph" w:styleId="a3">
    <w:name w:val="header"/>
    <w:basedOn w:val="a"/>
    <w:link w:val="a4"/>
    <w:uiPriority w:val="99"/>
    <w:rsid w:val="006924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92432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012438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012438"/>
    <w:rPr>
      <w:rFonts w:cs="Times New Roman"/>
      <w:vertAlign w:val="superscript"/>
    </w:rPr>
  </w:style>
  <w:style w:type="paragraph" w:styleId="a9">
    <w:name w:val="Body Text"/>
    <w:basedOn w:val="a"/>
    <w:link w:val="aa"/>
    <w:uiPriority w:val="99"/>
    <w:rsid w:val="00012438"/>
    <w:pPr>
      <w:autoSpaceDE w:val="0"/>
      <w:autoSpaceDN w:val="0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character" w:styleId="ab">
    <w:name w:val="Hyperlink"/>
    <w:uiPriority w:val="99"/>
    <w:rsid w:val="00CF69EB"/>
    <w:rPr>
      <w:rFonts w:cs="Times New Roman"/>
      <w:color w:val="auto"/>
      <w:u w:val="none"/>
      <w:effect w:val="none"/>
    </w:rPr>
  </w:style>
  <w:style w:type="paragraph" w:styleId="ac">
    <w:name w:val="footer"/>
    <w:basedOn w:val="a"/>
    <w:link w:val="ad"/>
    <w:uiPriority w:val="99"/>
    <w:rsid w:val="00CF69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table" w:styleId="ae">
    <w:name w:val="Table Grid"/>
    <w:basedOn w:val="a1"/>
    <w:uiPriority w:val="99"/>
    <w:rsid w:val="00BB0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EF6C6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8050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0">
    <w:name w:val="Strong"/>
    <w:uiPriority w:val="99"/>
    <w:qFormat/>
    <w:locked/>
    <w:rsid w:val="00DF673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</vt:lpstr>
    </vt:vector>
  </TitlesOfParts>
  <Company>Home</Company>
  <LinksUpToDate>false</LinksUpToDate>
  <CharactersWithSpaces>31437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</dc:title>
  <dc:subject/>
  <dc:creator>User</dc:creator>
  <cp:keywords/>
  <dc:description/>
  <cp:lastModifiedBy>admin</cp:lastModifiedBy>
  <cp:revision>2</cp:revision>
  <cp:lastPrinted>2010-12-01T09:32:00Z</cp:lastPrinted>
  <dcterms:created xsi:type="dcterms:W3CDTF">2014-03-15T13:50:00Z</dcterms:created>
  <dcterms:modified xsi:type="dcterms:W3CDTF">2014-03-15T13:50:00Z</dcterms:modified>
</cp:coreProperties>
</file>