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3F" w:rsidRPr="009B2D44" w:rsidRDefault="004C133F" w:rsidP="000E7E78">
      <w:pPr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D44">
        <w:rPr>
          <w:b/>
          <w:sz w:val="28"/>
          <w:szCs w:val="28"/>
        </w:rPr>
        <w:t>Содержание</w:t>
      </w:r>
    </w:p>
    <w:p w:rsidR="000E7E78" w:rsidRPr="009B2D44" w:rsidRDefault="000E7E78" w:rsidP="000E7E78">
      <w:pPr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C133F" w:rsidRPr="009B2D44" w:rsidRDefault="004C133F" w:rsidP="009B2D44">
      <w:pPr>
        <w:widowControl/>
        <w:spacing w:line="360" w:lineRule="auto"/>
        <w:ind w:left="0" w:firstLine="0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1. Общая характеристика системы автосервиса</w:t>
      </w:r>
    </w:p>
    <w:p w:rsidR="004C133F" w:rsidRPr="009B2D44" w:rsidRDefault="004C133F" w:rsidP="009B2D44">
      <w:pPr>
        <w:widowControl/>
        <w:spacing w:line="360" w:lineRule="auto"/>
        <w:ind w:left="0" w:firstLine="0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2. Ана</w:t>
      </w:r>
      <w:r w:rsidR="000E7E78" w:rsidRPr="009B2D44">
        <w:rPr>
          <w:sz w:val="28"/>
          <w:szCs w:val="28"/>
        </w:rPr>
        <w:t>лиз автомобильного парка России</w:t>
      </w:r>
    </w:p>
    <w:p w:rsidR="004C133F" w:rsidRPr="009B2D44" w:rsidRDefault="004C133F" w:rsidP="009B2D44">
      <w:pPr>
        <w:widowControl/>
        <w:tabs>
          <w:tab w:val="num" w:pos="-18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3. Виды и классификация автотранспортных средств</w:t>
      </w:r>
    </w:p>
    <w:p w:rsidR="004C133F" w:rsidRPr="009B2D44" w:rsidRDefault="004C133F" w:rsidP="009B2D44">
      <w:pPr>
        <w:widowControl/>
        <w:tabs>
          <w:tab w:val="num" w:pos="-18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4. Запасные части к автомобилям</w:t>
      </w:r>
    </w:p>
    <w:p w:rsidR="004C133F" w:rsidRPr="009B2D44" w:rsidRDefault="004C133F" w:rsidP="009B2D44">
      <w:pPr>
        <w:pStyle w:val="23"/>
        <w:tabs>
          <w:tab w:val="num" w:pos="-180"/>
        </w:tabs>
        <w:spacing w:line="360" w:lineRule="auto"/>
        <w:jc w:val="both"/>
        <w:rPr>
          <w:bCs/>
          <w:szCs w:val="28"/>
        </w:rPr>
      </w:pPr>
      <w:r w:rsidRPr="009B2D44">
        <w:rPr>
          <w:bCs/>
          <w:szCs w:val="28"/>
        </w:rPr>
        <w:t>5. Общая характеристика услуг станций технического обслуживания автомобилей</w:t>
      </w:r>
    </w:p>
    <w:p w:rsidR="004C133F" w:rsidRPr="009B2D44" w:rsidRDefault="004C133F" w:rsidP="009B2D44">
      <w:pPr>
        <w:pStyle w:val="4"/>
        <w:tabs>
          <w:tab w:val="num" w:pos="-180"/>
        </w:tabs>
        <w:spacing w:line="360" w:lineRule="auto"/>
        <w:ind w:firstLine="0"/>
        <w:jc w:val="both"/>
        <w:rPr>
          <w:b w:val="0"/>
          <w:bCs w:val="0"/>
          <w:szCs w:val="28"/>
        </w:rPr>
      </w:pPr>
      <w:r w:rsidRPr="009B2D44">
        <w:rPr>
          <w:b w:val="0"/>
          <w:bCs w:val="0"/>
          <w:szCs w:val="28"/>
        </w:rPr>
        <w:t>6. Законодательно-нормативная база объектов и систем автосервиса</w:t>
      </w:r>
    </w:p>
    <w:p w:rsidR="004C133F" w:rsidRPr="009B2D44" w:rsidRDefault="008142CD" w:rsidP="009B2D44">
      <w:pPr>
        <w:pStyle w:val="a5"/>
        <w:spacing w:line="360" w:lineRule="auto"/>
        <w:ind w:firstLine="0"/>
        <w:jc w:val="both"/>
        <w:rPr>
          <w:b w:val="0"/>
        </w:rPr>
      </w:pPr>
      <w:r w:rsidRPr="009B2D44">
        <w:rPr>
          <w:b w:val="0"/>
        </w:rPr>
        <w:t>Библиографический список</w:t>
      </w:r>
    </w:p>
    <w:p w:rsidR="004C133F" w:rsidRPr="006E3E5B" w:rsidRDefault="009C5357" w:rsidP="008142CD">
      <w:pPr>
        <w:widowControl/>
        <w:tabs>
          <w:tab w:val="left" w:pos="1701"/>
        </w:tabs>
        <w:spacing w:line="360" w:lineRule="auto"/>
        <w:ind w:left="0" w:firstLine="709"/>
        <w:jc w:val="both"/>
        <w:rPr>
          <w:color w:val="FFFFFF"/>
          <w:sz w:val="28"/>
          <w:szCs w:val="28"/>
        </w:rPr>
      </w:pPr>
      <w:r w:rsidRPr="006E3E5B">
        <w:rPr>
          <w:color w:val="FFFFFF"/>
          <w:sz w:val="28"/>
          <w:szCs w:val="28"/>
        </w:rPr>
        <w:t xml:space="preserve">автосервис </w:t>
      </w:r>
      <w:r w:rsidR="008142CD" w:rsidRPr="006E3E5B">
        <w:rPr>
          <w:color w:val="FFFFFF"/>
          <w:sz w:val="28"/>
          <w:szCs w:val="28"/>
        </w:rPr>
        <w:t xml:space="preserve">услуга </w:t>
      </w:r>
      <w:r w:rsidRPr="006E3E5B">
        <w:rPr>
          <w:color w:val="FFFFFF"/>
          <w:sz w:val="28"/>
          <w:szCs w:val="28"/>
        </w:rPr>
        <w:t>станция техническ</w:t>
      </w:r>
      <w:r w:rsidR="008142CD" w:rsidRPr="006E3E5B">
        <w:rPr>
          <w:color w:val="FFFFFF"/>
          <w:sz w:val="28"/>
          <w:szCs w:val="28"/>
        </w:rPr>
        <w:t>ий</w:t>
      </w:r>
    </w:p>
    <w:p w:rsidR="000001B8" w:rsidRPr="009B2D44" w:rsidRDefault="000E7E78" w:rsidP="000E7E78">
      <w:pPr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D44">
        <w:rPr>
          <w:b/>
          <w:sz w:val="28"/>
          <w:szCs w:val="28"/>
        </w:rPr>
        <w:br w:type="page"/>
      </w:r>
      <w:r w:rsidR="004C133F" w:rsidRPr="009B2D44">
        <w:rPr>
          <w:b/>
          <w:sz w:val="28"/>
          <w:szCs w:val="28"/>
        </w:rPr>
        <w:t xml:space="preserve">1. </w:t>
      </w:r>
      <w:r w:rsidR="000001B8" w:rsidRPr="009B2D44">
        <w:rPr>
          <w:b/>
          <w:sz w:val="28"/>
          <w:szCs w:val="28"/>
        </w:rPr>
        <w:t>Общая характеристика системы автосервиса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bCs/>
          <w:sz w:val="28"/>
          <w:szCs w:val="28"/>
        </w:rPr>
        <w:t xml:space="preserve">Автосервис представляет собой отрасль сферы услуг, связанную с оказанием </w:t>
      </w:r>
      <w:r w:rsidRPr="009B2D44">
        <w:rPr>
          <w:sz w:val="28"/>
          <w:szCs w:val="28"/>
        </w:rPr>
        <w:t>населению и предприятиям различных сфер экономики разнообразных услуг по продаже автотранспортных средств (АТС) и запасных частей к ним; эксплуатационных и ремонтных материалов и сопутствующих изделий; переоборудованию, техническому обслужи</w:t>
      </w:r>
      <w:r w:rsidR="008142CD">
        <w:rPr>
          <w:sz w:val="28"/>
          <w:szCs w:val="28"/>
        </w:rPr>
        <w:t xml:space="preserve">ванию и ремонту АТС, их </w:t>
      </w:r>
      <w:r w:rsidRPr="009B2D44">
        <w:rPr>
          <w:sz w:val="28"/>
          <w:szCs w:val="28"/>
        </w:rPr>
        <w:t>агрегатов и систем; заправке АТС топливом и маслами. Одновременно с оказанием технических услуг предприятия автосервиса предлагают своим клиентам и бытовые услуги, такие как продажа продовольственных и непродовольственных товаров, междугородняя телефонная связь, общественное питание, проживание в мотелях и др.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Автосервис включает в себя несколько систем, обеспечивающих социальную и технико-экономическую эффективность автомобиля, - торговли, технической эксплуатации, использования и устранения вредных последствий (система охраны окружающей среды).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В систему торговли входят такие подсистемы как информационная о банке автомобилей и запасных частей, управления запасами, товаропроводящая и др. Система технической эксплуатации АТС охватывает информационную подсистему о клиентах и для клиентов; подсистему контроля технического состояния, технического обслуживания, ремонта и тюнинга АТС (производственную подсистему); подсистему управления материальными запасами СТОА; подсистему управления качеством и другие подсистемы. В систему использования автомобиля включены</w:t>
      </w:r>
      <w:r w:rsidR="000E7E78" w:rsidRPr="009B2D44">
        <w:rPr>
          <w:sz w:val="28"/>
          <w:szCs w:val="28"/>
        </w:rPr>
        <w:t xml:space="preserve"> </w:t>
      </w:r>
      <w:r w:rsidRPr="009B2D44">
        <w:rPr>
          <w:sz w:val="28"/>
          <w:szCs w:val="28"/>
        </w:rPr>
        <w:t xml:space="preserve">подсистемы обеспечения автомобиля расходуемыми материалами и принадлежностями, хранения АТС, их безопасности, обеспечения комфортных бытовых и культурных условий владельцам и пользователям АТС в городе и в дороге и др. Производственная подсистема для поддержания и восстановления работоспособного и исправного состояния автомобилей включает несколько типов предприятия. Их классификация показана на рис. 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В первую группу предприятий подсистемы входят автомобильные центры. В автомобильных центрах, кроме торговых операций, осуществляются такие виды работ как предпродажное и гарантийное обслуживание АТС, переоборудование или дооснащение их дополнительными системами, агрегатами и изделиями; окраска и противокоррозионная обработка, а также другие работы на новом автомобиле по желанию клиента. Для этого, помимо торговых, административных, санитарно-бытовых помещений и помещений или площадок для хранения новых АТС, на данных предприятиях имеются специализированные посты и участки, расположенные в производственном корпусе.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Ко второй группе предприятий относятся все виды станций технического обслуживания АТС (СТОА), центры диагностики (инструментального контроля) и специализированные мастерские.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На СТОА предоставляются все виды технических услуг по обслуживанию и ремонту АТС, их агрегатов и систем. Для реализации этих функций СТОА имеют необходимую производственную структуру, включающую цеха, участки, посты, вспомогательные производства, энергетическое хозяйство и другие элементы производственно – технической базы.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Станции диагностики АТС осуществляют проверку соответствия параметров АТС требованиям ГОСТов и иных нормативно – технических документов в процессе государственного технического осмотра.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Поскольку регулировочные, ремонтные и иные работы по техническому обслуживанию АТС на этих предприятиях не проводятся, в их производственной структуре имеются только посты диагностики или диагностические линии.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Специализированные мастерские относятся к группе особо малых предприятий. Как правило, они не имеют обособленной территории, а помещения предназначены для размещения технологического оборудования, в ряде случаев в них предусмотрено одно автомобилеместо.</w:t>
      </w:r>
    </w:p>
    <w:p w:rsidR="000E7E78" w:rsidRPr="009B2D44" w:rsidRDefault="000E7E7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001B8" w:rsidRPr="009B2D44" w:rsidRDefault="00E1693E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36.25pt">
            <v:imagedata r:id="rId7" o:title=""/>
          </v:shape>
        </w:pict>
      </w:r>
    </w:p>
    <w:p w:rsidR="000E7E78" w:rsidRPr="009B2D44" w:rsidRDefault="00E1693E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684pt;margin-top:157.9pt;width:27pt;height:27pt;z-index:251658240" stroked="f"/>
        </w:pict>
      </w:r>
      <w:r w:rsidR="000E7E78" w:rsidRPr="009B2D44">
        <w:rPr>
          <w:sz w:val="28"/>
          <w:szCs w:val="28"/>
        </w:rPr>
        <w:t>Рис.1</w:t>
      </w:r>
    </w:p>
    <w:p w:rsidR="000E7E78" w:rsidRPr="009B2D44" w:rsidRDefault="000E7E7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Автозаправочные станции (АЗС) предназначены для заправки транспортных средств (кроме гусеничного транспорта) нефтепродуктами (топливом и маслами). Традиционно понимается, что на АЗС автотранспорт заправляется жидким топливом для карбюраторных или дизельных двигателей.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Автозаправочные станции для газового топлива носят название газонаполнительных станций (ГНС). В соответствии с классификацией АЗС разделяются на следующие группы: стационарные, передвижные и контейнерные.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Отдельную группу стационарных АЗС составляют АЗС с комплексным обслуживанием клиентов. На ее территории располагаются: собственно АЗС, блок оказания услуг по техническому обслуживанию и ремонту АТС; магазин продажи автомобильных материалов, запасных частей и принадлежностей, книг, газет и журналов, продовольственных и промышленных товаров; кафе или буфет; междугородний телефон; а также санитарно-бытовые помещения. САЗС-К могут размещаться в населенных пунктах и на автомагистралях или автодорогах вне населенных пунктов. Номенклатура дополнительных услуг, представляемых клиентам на таких АЗС, и, соответственно, структура предприятия может варьироваться в широких пределах в зависимости от спроса, технических, коммерческих или иных возможностей и других факторов.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001B8" w:rsidRPr="009B2D44" w:rsidRDefault="004C133F" w:rsidP="000E7E78">
      <w:pPr>
        <w:widowControl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D44">
        <w:rPr>
          <w:b/>
          <w:sz w:val="28"/>
          <w:szCs w:val="28"/>
        </w:rPr>
        <w:t xml:space="preserve">2. </w:t>
      </w:r>
      <w:r w:rsidR="000001B8" w:rsidRPr="009B2D44">
        <w:rPr>
          <w:b/>
          <w:sz w:val="28"/>
          <w:szCs w:val="28"/>
        </w:rPr>
        <w:t xml:space="preserve">Анализ автомобильного парка России 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 xml:space="preserve">Согласно данным ГИБДД на 1 января 2004 года российский автомобильный парк состоял из 33 млн. 393 тыс. транспортных средств, 23 млн. 383 тыс. из которых - легковые автомобили. </w:t>
      </w: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  <w:r w:rsidRPr="009B2D44">
        <w:rPr>
          <w:szCs w:val="28"/>
        </w:rPr>
        <w:t>Структура автомобильного парка в зависимости от типа автомобиля выглядит следующим образом: в целом по России, на долю легковых автомобилей приходится не менее 70% от общей численности автомобильного парка. Доля грузовых автомобилей составляет примерно 13% или 3,51 млн. единиц. Автобусов в России значительно меньше - около 2% от общей численности автомобильного парка или порядка 0,54 млн. единиц. Примерно 94,4% из этого количества находится в собственности физических лиц и 5,6% - в собственности юридических лиц. Сегмент рынка пассажирских перевозок микроавтобусами (так называемыми маршрутными такси), контролируют частные предприятия.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B2D44">
        <w:rPr>
          <w:sz w:val="28"/>
          <w:szCs w:val="28"/>
        </w:rPr>
        <w:t xml:space="preserve">На первом месте по-прежнему «классика» – семейство заднеприводных автомобилей ВАЗ: 7,6 млн. штук (32,5% парка). На втором идут иномарки: их в России уже почти 4,3 млн. шт. (18,3% от общего числа). На третьем – автомобили «восьмого» семейства АвтоВАЗа – 2,4 млн. (10,4% парка). На четвертом месте – заднеприводные «Москвичи» (408, 412, 2140 и т. д.), собранные когда-то на АЗЛК и «Ижавто» в количестве 1,9 млн. штук. Пятое место занимают «Волги» (1,6 млн.), далее идут «Запорожцы» и «Таврии» – 1,1 млн., за ними «уходящая» «Нива» ВАЗ-2121 и ее модификации – 910 тыс. Современные автомобили «десятого» семейства пока на восьмом месте: их около 860 тыс. (3,7% парка). Ну а далее в списке – чуть больше 680 тысяч вездеходов от УАЗа, 450 тыс. «Москвичей-2141» и почти 320 тыс. автомобилей «Ока». </w:t>
      </w: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  <w:r w:rsidRPr="009B2D44">
        <w:rPr>
          <w:szCs w:val="28"/>
        </w:rPr>
        <w:t>Общая динамика изменения и прогноз развития легкового автопарка России представлена в таблице</w:t>
      </w:r>
      <w:r w:rsidR="000E7E78" w:rsidRPr="009B2D44">
        <w:rPr>
          <w:szCs w:val="28"/>
        </w:rPr>
        <w:t xml:space="preserve"> </w:t>
      </w: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  <w:r w:rsidRPr="009B2D44">
        <w:rPr>
          <w:szCs w:val="28"/>
        </w:rPr>
        <w:t>Возрастная картина легкового автопарка в различных регионах России представлена в таблице 2.</w:t>
      </w: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  <w:r w:rsidRPr="009B2D44">
        <w:rPr>
          <w:szCs w:val="28"/>
        </w:rPr>
        <w:t xml:space="preserve">Хорошо просматривается основная тенденция: с увеличением возраста растет относительная доля возрастной группы в автомобильном парке./…/ Полученные данные позволяют говорить о том, что достаточно старых автомобилей в стране более чем в два раза больше, чем относительно новых. Однако, как показывают данные о возрастной структуре парка автомобилей в РФ, ситуация постепенно меняется к лучшему, но очень медленными темпами. По сравнению с 1999 годом растет доля относительно новых машин и сокращается доля наиболее старых, но эти изменения незначительны и находятся в пределах 1%. </w:t>
      </w: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  <w:r w:rsidRPr="009B2D44">
        <w:rPr>
          <w:szCs w:val="28"/>
        </w:rPr>
        <w:t>На 49,9% российский легковой автопарк (11 660 тыс.шт.) состоит из транспортных средств, со сроком эксплуатации более 10 лет, еще примерно 30,5% (7 137 тыс.шт.) имеют возраст от 5 до 10 лет, и только 19,6% (4 586 тыс.шт.) автомобилей моложе 5 лет. При этом на протяжении последних 5 лет российский автопарк имеет тенденцию к старению.</w:t>
      </w: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  <w:r w:rsidRPr="009B2D44">
        <w:rPr>
          <w:szCs w:val="28"/>
        </w:rPr>
        <w:t>Доля автомобилей старше 10 лет за последние 5 лет выросла на 2,5% и вплотную приблизилась к отметке в 50%.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Прирост парка за 2003 год составил 914,7 тысяч автомобилей, что соответствует 4,1%. Это на 300 тысяч меньше, чем в 2002-м году, хотя количество продаж новых автомобилей на российском рынке осталось на прежнем уровне. Уменьшение прироста парка связано с установлением нового порядка уплаты налога на транспортные средства и введением обязательной страховки, что заставляет владельцев старой "рухляди" снимать ее с учета.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Так, за прошедший год российский легковой автопарк стал меньше на 172,4 тысячи различных моделей "Москвичей" и 111,7 тысяч "Запорожцев".</w:t>
      </w:r>
    </w:p>
    <w:p w:rsidR="004C133F" w:rsidRPr="009B2D44" w:rsidRDefault="004C133F" w:rsidP="000E7E78">
      <w:pPr>
        <w:pStyle w:val="a9"/>
        <w:tabs>
          <w:tab w:val="num" w:pos="-180"/>
        </w:tabs>
        <w:spacing w:line="360" w:lineRule="auto"/>
        <w:ind w:firstLine="709"/>
        <w:rPr>
          <w:szCs w:val="28"/>
        </w:rPr>
      </w:pPr>
    </w:p>
    <w:p w:rsidR="000001B8" w:rsidRPr="009B2D44" w:rsidRDefault="000001B8" w:rsidP="000E7E78">
      <w:pPr>
        <w:pStyle w:val="a9"/>
        <w:tabs>
          <w:tab w:val="num" w:pos="-180"/>
        </w:tabs>
        <w:spacing w:line="360" w:lineRule="auto"/>
        <w:ind w:firstLine="709"/>
        <w:rPr>
          <w:b/>
          <w:szCs w:val="28"/>
        </w:rPr>
      </w:pPr>
      <w:r w:rsidRPr="009B2D44">
        <w:rPr>
          <w:szCs w:val="28"/>
        </w:rPr>
        <w:t xml:space="preserve">Таблица </w:t>
      </w:r>
      <w:r w:rsidR="004C133F" w:rsidRPr="009B2D44">
        <w:rPr>
          <w:szCs w:val="28"/>
        </w:rPr>
        <w:t>1.</w:t>
      </w:r>
      <w:r w:rsidRPr="009B2D44">
        <w:rPr>
          <w:szCs w:val="28"/>
        </w:rPr>
        <w:t xml:space="preserve"> </w:t>
      </w:r>
      <w:r w:rsidRPr="00044636">
        <w:rPr>
          <w:szCs w:val="28"/>
        </w:rPr>
        <w:t>Общая динамика изменения и прогноз развития легкового автопарка России</w:t>
      </w:r>
    </w:p>
    <w:tbl>
      <w:tblPr>
        <w:tblW w:w="45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1872"/>
        <w:gridCol w:w="1470"/>
        <w:gridCol w:w="1518"/>
        <w:gridCol w:w="1177"/>
        <w:gridCol w:w="1551"/>
      </w:tblGrid>
      <w:tr w:rsidR="000001B8" w:rsidRPr="00044636" w:rsidTr="000E7E78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 xml:space="preserve">Весь автопарк России.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>Данные по России.</w:t>
            </w:r>
            <w:r w:rsidRPr="00044636">
              <w:rPr>
                <w:sz w:val="20"/>
              </w:rPr>
              <w:t xml:space="preserve">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9B2D44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 xml:space="preserve">Отечественые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 xml:space="preserve">Иномарки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 xml:space="preserve">Итого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044636">
              <w:rPr>
                <w:bCs/>
                <w:sz w:val="20"/>
              </w:rPr>
              <w:t xml:space="preserve">% </w:t>
            </w:r>
          </w:p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 xml:space="preserve">отечеств.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044636">
              <w:rPr>
                <w:bCs/>
                <w:sz w:val="20"/>
              </w:rPr>
              <w:t xml:space="preserve">% </w:t>
            </w:r>
          </w:p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bCs/>
                <w:sz w:val="20"/>
              </w:rPr>
              <w:t xml:space="preserve">иномарок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2000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17 334 000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3 019 000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20 353 000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85%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15%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2001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18 205 000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3 242 000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21 447 000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85%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15%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2002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18 353 750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3 481 500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21 835 250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84%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16%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2003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18 502 500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3 721 000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22 223 500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83%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17%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2004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18 651 250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3 960 500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23 383000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82%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2005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18 800 000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4 200 000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24 400 000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82%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18%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2006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19 840 000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4 560 000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25 800 000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81%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19%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2007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20 880 000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4 920 000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27 200 000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81%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19%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2008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21 920 000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5 280 000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28 200 000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81%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19%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2009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22 960 000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5 640 000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30 600 000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80%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20% </w:t>
            </w:r>
          </w:p>
        </w:tc>
      </w:tr>
      <w:tr w:rsidR="000001B8" w:rsidRPr="00044636" w:rsidTr="000E7E78">
        <w:trPr>
          <w:tblCellSpacing w:w="0" w:type="dxa"/>
          <w:jc w:val="center"/>
        </w:trPr>
        <w:tc>
          <w:tcPr>
            <w:tcW w:w="557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2010 </w:t>
            </w:r>
          </w:p>
        </w:tc>
        <w:tc>
          <w:tcPr>
            <w:tcW w:w="1096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24 000 000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6 000 000 </w:t>
            </w:r>
          </w:p>
        </w:tc>
        <w:tc>
          <w:tcPr>
            <w:tcW w:w="0" w:type="auto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35 000 000 </w:t>
            </w:r>
          </w:p>
        </w:tc>
        <w:tc>
          <w:tcPr>
            <w:tcW w:w="689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80% </w:t>
            </w:r>
          </w:p>
        </w:tc>
        <w:tc>
          <w:tcPr>
            <w:tcW w:w="908" w:type="pct"/>
            <w:vAlign w:val="center"/>
          </w:tcPr>
          <w:p w:rsidR="000001B8" w:rsidRPr="00044636" w:rsidRDefault="000001B8" w:rsidP="00044636">
            <w:pPr>
              <w:widowControl/>
              <w:tabs>
                <w:tab w:val="num" w:pos="-180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044636">
              <w:rPr>
                <w:sz w:val="20"/>
              </w:rPr>
              <w:t xml:space="preserve">20% </w:t>
            </w:r>
          </w:p>
        </w:tc>
      </w:tr>
    </w:tbl>
    <w:p w:rsidR="000001B8" w:rsidRPr="009B2D44" w:rsidRDefault="000001B8" w:rsidP="000E7E78">
      <w:pPr>
        <w:pStyle w:val="23"/>
        <w:tabs>
          <w:tab w:val="num" w:pos="-180"/>
        </w:tabs>
        <w:spacing w:line="360" w:lineRule="auto"/>
        <w:ind w:firstLine="709"/>
        <w:jc w:val="both"/>
        <w:rPr>
          <w:szCs w:val="28"/>
        </w:rPr>
      </w:pPr>
    </w:p>
    <w:p w:rsidR="000001B8" w:rsidRPr="00044636" w:rsidRDefault="000001B8" w:rsidP="000E7E78">
      <w:pPr>
        <w:pStyle w:val="23"/>
        <w:tabs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 xml:space="preserve">Таблица 2. </w:t>
      </w:r>
      <w:r w:rsidRPr="00044636">
        <w:rPr>
          <w:szCs w:val="28"/>
        </w:rPr>
        <w:t xml:space="preserve">Прогноз количества единиц автотранспорта различных возрастных групп в регионах РФ на начало 2004 года </w:t>
      </w:r>
    </w:p>
    <w:tbl>
      <w:tblPr>
        <w:tblW w:w="9072" w:type="dxa"/>
        <w:jc w:val="center"/>
        <w:tblCellSpacing w:w="15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7"/>
        <w:gridCol w:w="1147"/>
        <w:gridCol w:w="1941"/>
        <w:gridCol w:w="1977"/>
      </w:tblGrid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bottom w:val="nil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Регион</w:t>
            </w:r>
          </w:p>
        </w:tc>
        <w:tc>
          <w:tcPr>
            <w:tcW w:w="0" w:type="auto"/>
            <w:gridSpan w:val="3"/>
            <w:tcBorders>
              <w:top w:val="inset" w:sz="6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Количество автомобилей различных возрастных групп, ед.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до 5 лет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от 5 до 10 лет 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старше 10 лет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г. Москва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743990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1030140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1087370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Московская область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289275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440800 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647425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г. Санкт-Петербург и Ленинградская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257097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391767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575409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г. Самара и Самарская область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156455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229908 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348168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г. Екатеринбург и Свердловская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137354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209301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307411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>г. Нижний Новгород иНижегородская область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92768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141360 </w:t>
            </w:r>
          </w:p>
        </w:tc>
        <w:tc>
          <w:tcPr>
            <w:tcW w:w="0" w:type="auto"/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207623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Ростовская область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179653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273756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402080 </w:t>
            </w:r>
          </w:p>
        </w:tc>
      </w:tr>
      <w:tr w:rsidR="000001B8" w:rsidRPr="009B2D44" w:rsidTr="000446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Республика Татарстан 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39460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212510 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0001B8" w:rsidRPr="009B2D44" w:rsidRDefault="000001B8" w:rsidP="00044636">
            <w:pPr>
              <w:pStyle w:val="13"/>
            </w:pPr>
            <w:r w:rsidRPr="009B2D44">
              <w:t xml:space="preserve">312125 </w:t>
            </w:r>
          </w:p>
        </w:tc>
      </w:tr>
    </w:tbl>
    <w:p w:rsidR="000E7E78" w:rsidRPr="009B2D44" w:rsidRDefault="000E7E7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Кроме того, согласно данным отдела аналитики LADA ON LINE, основанных на расчетах между продажами автомобилей и приростом парка, за прошедший год было снято с учета примерно 125 тысяч классических моделей "Жигулей", около 40 тысяч "Самар", и примерно по 15-25 тысяч "Волг", "УАЗов" и "Ижей". Кроме того, около 40-50 тысяч из 4-х миллионннного парка иномарок также вышло из строя, и соответственно, было снято с учета. Всего, при общих продажах, и, соответственно, постановки их на учет за год 1 млн. 470 тысяч новых легковых автомобилей (включая ввезенные в страну б/у иномарки), примерно 550 тысяч автомобилей было снято с учета. Как уже говорилось выше, это связано с новыми порядками содержания в собственности транспортных средства, которые "заставляют" владельцев избавляться от своих совсем старых автомобилей.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В настоящее время в России зарегистрировано 15,5 миллиона легковых автомобилей отечественного производства. Это 78% всего российского парка легковых автомобилей.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Доля отечественных автомобилей в автопарках различных регионов России неодинакова. Причем количество отечественных "легковушек" в каждом конкретном регионе различно и может варьироваться от полутора миллионов машин, как, например, в Москве и Московской области, до полутора тысяч - в Чукотском автономном округе. В "среднестатистическом" российском регионе на учете в ГИБДД стоит около 300 тыс. отечественных легковых автомобилей. Количество российских автомобилей, зарегистрированных в 25 крупнейших по уровню "автомобилизации" регионах страны, представлено диаграммой на рисунке 2.</w:t>
      </w:r>
    </w:p>
    <w:p w:rsidR="000001B8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Структура автопарка по маркам и моделям автомобилей также имеет свою региональную специфику. По доле иномарок, помимо Приморского края и Москвы, лидируют пограничные области, например, Ленинградская и Калининградская. Наибольшей популярностью российские автомобили пользуются в двух регионах: Волго-Вятском и на Северном Кавказе. Так, в Самарской области на долю продукции АвтоВАЗа приходится около 70% состоящих на учете машин. В Нижегородской области доля продукции ОАО "ГАЗ" почти в два раза выше общероссийской. Популярность отечественных машин в Поволжье объясняется тем, что именно там сконцентрировано их основное производство. Что обуславливает, в свою очередь, более низкий уровень цен и постоянное наличие в розничной продаже недорогих и качест</w:t>
      </w:r>
      <w:r w:rsidR="00044636">
        <w:rPr>
          <w:bCs/>
          <w:sz w:val="28"/>
          <w:szCs w:val="28"/>
        </w:rPr>
        <w:t>венных запасных частей.</w:t>
      </w:r>
    </w:p>
    <w:p w:rsidR="00044636" w:rsidRPr="009B2D44" w:rsidRDefault="00044636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E1693E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6" type="#_x0000_t75" style="width:321pt;height:211.5pt" filled="t" fillcolor="black">
            <v:imagedata r:id="rId8" o:title="" croptop="8257f" cropbottom="3449f" cropleft="2805f" cropright="3219f" gain="61604f" grayscale="t"/>
          </v:shape>
        </w:pic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 xml:space="preserve">Рис. 2 </w:t>
      </w:r>
    </w:p>
    <w:p w:rsidR="000E7E78" w:rsidRPr="009B2D44" w:rsidRDefault="000E7E7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AA0C32" w:rsidRDefault="000001B8" w:rsidP="00AA0C32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 xml:space="preserve">Менее всего распространены отечественные автомобили на Дальнем Востоке (в Приморском крае – они составляют около 23% всего парка) и в Калининградской области. </w:t>
      </w:r>
      <w:r w:rsidRPr="00AA0C32">
        <w:rPr>
          <w:bCs/>
          <w:sz w:val="28"/>
          <w:szCs w:val="28"/>
        </w:rPr>
        <w:t xml:space="preserve">Большинство республик Северного Кавказа не входят, если судить по основным показателям социально-экономического развития, в число "зажиточных" регионов РФ, кроме того, они расположены достаточно далеко от основных каналов ввоза импортных автомобилей и поставок запасных частей к ним. Эти факторы, по-видимому, и влияют, главным образом, на популярность российских автомобилей в этих регионах. В Ингушетии, например, отечественные машины составляли не менее 96% всего республиканского автопарка. Темпы прироста парка отечественных автомобилей в России составляют ежегодно, в среднем, 5,1%. При этом максимальные темпы роста зафиксированы у переднеприводных автомобилей ВАЗ (14,3% в год), а наименьшие - у заднеприводных моделей ВАЗ (3,5%). Минимальные темпы роста у парка автомобилей марки "Москвич" (в 2000 году - 1,8%). Однако, следует отметить, что доля автомобилей марок ЗАЗ и "Москвич" постепенно сокращается – происходит естественная убыль при почти полном отсутствии прироста, в связи с сокращением объемов производства автомобилей этих марок. Таким образом, несмотря на то, что сегодня российский парк отечественных автомобилей почти на 50% состоит из заднеприводных автомобилей ВАЗ, доля этих машин на рынке также сокращается за счет увеличения количества переднеприводных моделей ВАЗ и, в меньшей степени, за счет роста доли автомобилей ГАЗ. Характерной особенностью развития автомобильного парка России, большинства ее регионов и городов с населением 200 тыс. чел. и более в последние 5 лет является его насыщение автомобилями семейства «Газель», «Соболь» и «Баргузин» производства ГАЗ. Сегодня автомобили «Газель» полностью заняли нишу маршрутных такси. Автомобили «Соболь» и «Баргузин» занимают лидирующее положение в автопарке малых и средних предприятий бизнеса, а также в предприятиях и учреждениях, где перевозки грузов и пассажиров осуществляются небольшими партиями. 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B2D44">
        <w:rPr>
          <w:b/>
          <w:bCs/>
          <w:sz w:val="28"/>
          <w:szCs w:val="28"/>
        </w:rPr>
        <w:t>3. Виды и классификация автотранспортных средств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В нормативных документах показатели эксплуатационных свойств транспортных средств определяются в соответствии с их классификацией. Различают классификацию транспортных средств, разработанную Комитетом по внутреннему транспорту Европейской экономической комиссии Организации Объединенных наций (ЕЭК ООН) и Российскую классификацию по ГОСТ 22895 – 77. Каждой классификационной группе соответствует своя характеристика (таблица 3).</w:t>
      </w:r>
    </w:p>
    <w:p w:rsidR="000E7E78" w:rsidRPr="009B2D44" w:rsidRDefault="000E7E7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b/>
          <w:szCs w:val="28"/>
        </w:rPr>
      </w:pPr>
      <w:r w:rsidRPr="009B2D44">
        <w:rPr>
          <w:szCs w:val="28"/>
        </w:rPr>
        <w:t xml:space="preserve">Таблица 3. </w:t>
      </w:r>
      <w:r w:rsidRPr="009B2D44">
        <w:rPr>
          <w:b/>
          <w:szCs w:val="28"/>
        </w:rPr>
        <w:t>Классификационные группы автотранспортных средств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0"/>
        <w:gridCol w:w="4386"/>
        <w:gridCol w:w="3827"/>
      </w:tblGrid>
      <w:tr w:rsidR="000001B8" w:rsidRPr="009B2D44" w:rsidTr="008142CD">
        <w:trPr>
          <w:trHeight w:val="320"/>
          <w:jc w:val="center"/>
        </w:trPr>
        <w:tc>
          <w:tcPr>
            <w:tcW w:w="1035" w:type="dxa"/>
            <w:vMerge w:val="restart"/>
          </w:tcPr>
          <w:p w:rsidR="000001B8" w:rsidRPr="009B2D44" w:rsidRDefault="000001B8" w:rsidP="00784ED1">
            <w:pPr>
              <w:pStyle w:val="13"/>
            </w:pPr>
            <w:r w:rsidRPr="009B2D44">
              <w:t>Категория АТС</w:t>
            </w:r>
          </w:p>
        </w:tc>
        <w:tc>
          <w:tcPr>
            <w:tcW w:w="8223" w:type="dxa"/>
            <w:gridSpan w:val="3"/>
          </w:tcPr>
          <w:p w:rsidR="000001B8" w:rsidRPr="009B2D44" w:rsidRDefault="000001B8" w:rsidP="00784ED1">
            <w:pPr>
              <w:pStyle w:val="13"/>
            </w:pPr>
            <w:r w:rsidRPr="009B2D44">
              <w:t>Характеристика категорий АТС</w:t>
            </w:r>
          </w:p>
        </w:tc>
      </w:tr>
      <w:tr w:rsidR="000001B8" w:rsidRPr="009B2D44" w:rsidTr="008142CD">
        <w:trPr>
          <w:trHeight w:val="320"/>
          <w:jc w:val="center"/>
        </w:trPr>
        <w:tc>
          <w:tcPr>
            <w:tcW w:w="1035" w:type="dxa"/>
            <w:vMerge/>
          </w:tcPr>
          <w:p w:rsidR="000001B8" w:rsidRPr="009B2D44" w:rsidRDefault="000001B8" w:rsidP="00784ED1">
            <w:pPr>
              <w:pStyle w:val="13"/>
            </w:pPr>
          </w:p>
        </w:tc>
        <w:tc>
          <w:tcPr>
            <w:tcW w:w="4396" w:type="dxa"/>
            <w:gridSpan w:val="2"/>
          </w:tcPr>
          <w:p w:rsidR="000001B8" w:rsidRPr="009B2D44" w:rsidRDefault="000001B8" w:rsidP="00784ED1">
            <w:pPr>
              <w:pStyle w:val="13"/>
            </w:pPr>
            <w:r w:rsidRPr="009B2D44">
              <w:t>По документам ЕЭК ООН</w:t>
            </w:r>
          </w:p>
        </w:tc>
        <w:tc>
          <w:tcPr>
            <w:tcW w:w="3827" w:type="dxa"/>
          </w:tcPr>
          <w:p w:rsidR="000001B8" w:rsidRPr="009B2D44" w:rsidRDefault="000001B8" w:rsidP="00784ED1">
            <w:pPr>
              <w:pStyle w:val="13"/>
            </w:pPr>
            <w:r w:rsidRPr="009B2D44">
              <w:t>По ГОСТ 22895 - 77</w:t>
            </w:r>
          </w:p>
        </w:tc>
      </w:tr>
      <w:tr w:rsidR="000001B8" w:rsidRPr="009B2D44" w:rsidTr="008142CD">
        <w:trPr>
          <w:jc w:val="center"/>
        </w:trPr>
        <w:tc>
          <w:tcPr>
            <w:tcW w:w="1035" w:type="dxa"/>
          </w:tcPr>
          <w:p w:rsidR="000001B8" w:rsidRPr="009B2D44" w:rsidRDefault="000001B8" w:rsidP="00784ED1">
            <w:pPr>
              <w:pStyle w:val="13"/>
            </w:pPr>
            <w:r w:rsidRPr="009B2D44">
              <w:t>1</w:t>
            </w:r>
          </w:p>
        </w:tc>
        <w:tc>
          <w:tcPr>
            <w:tcW w:w="4396" w:type="dxa"/>
            <w:gridSpan w:val="2"/>
          </w:tcPr>
          <w:p w:rsidR="000001B8" w:rsidRPr="009B2D44" w:rsidRDefault="000001B8" w:rsidP="00784ED1">
            <w:pPr>
              <w:pStyle w:val="13"/>
            </w:pPr>
            <w:r w:rsidRPr="009B2D44">
              <w:t>2</w:t>
            </w:r>
          </w:p>
        </w:tc>
        <w:tc>
          <w:tcPr>
            <w:tcW w:w="3827" w:type="dxa"/>
          </w:tcPr>
          <w:p w:rsidR="000001B8" w:rsidRPr="009B2D44" w:rsidRDefault="000001B8" w:rsidP="00784ED1">
            <w:pPr>
              <w:pStyle w:val="13"/>
            </w:pPr>
            <w:r w:rsidRPr="009B2D44">
              <w:t>3</w:t>
            </w:r>
          </w:p>
        </w:tc>
      </w:tr>
      <w:tr w:rsidR="000001B8" w:rsidRPr="009B2D44" w:rsidTr="008142CD">
        <w:trPr>
          <w:trHeight w:val="2487"/>
          <w:jc w:val="center"/>
        </w:trPr>
        <w:tc>
          <w:tcPr>
            <w:tcW w:w="1035" w:type="dxa"/>
          </w:tcPr>
          <w:p w:rsidR="000001B8" w:rsidRPr="009B2D44" w:rsidRDefault="000001B8" w:rsidP="00784ED1">
            <w:pPr>
              <w:pStyle w:val="13"/>
            </w:pPr>
            <w:r w:rsidRPr="009B2D44">
              <w:t>М</w:t>
            </w:r>
          </w:p>
          <w:p w:rsidR="000001B8" w:rsidRPr="009B2D44" w:rsidRDefault="000001B8" w:rsidP="00784ED1">
            <w:pPr>
              <w:pStyle w:val="13"/>
            </w:pPr>
          </w:p>
          <w:p w:rsidR="000001B8" w:rsidRPr="009B2D44" w:rsidRDefault="000001B8" w:rsidP="00784ED1">
            <w:pPr>
              <w:pStyle w:val="13"/>
            </w:pPr>
          </w:p>
          <w:p w:rsidR="000001B8" w:rsidRPr="009B2D44" w:rsidRDefault="000001B8" w:rsidP="00784ED1">
            <w:pPr>
              <w:pStyle w:val="13"/>
            </w:pPr>
            <w:r w:rsidRPr="009B2D44">
              <w:t>М</w:t>
            </w:r>
            <w:r w:rsidRPr="009B2D44">
              <w:rPr>
                <w:vertAlign w:val="subscript"/>
              </w:rPr>
              <w:t>1</w:t>
            </w:r>
          </w:p>
        </w:tc>
        <w:tc>
          <w:tcPr>
            <w:tcW w:w="4396" w:type="dxa"/>
            <w:gridSpan w:val="2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Механические транспортные средства, имеющие не менее четырех колес и используемые для перевозки пассажиров.</w:t>
            </w:r>
          </w:p>
          <w:p w:rsidR="000001B8" w:rsidRPr="009B2D44" w:rsidRDefault="000001B8" w:rsidP="00784ED1">
            <w:pPr>
              <w:pStyle w:val="13"/>
            </w:pPr>
            <w:r w:rsidRPr="009B2D44">
              <w:t>Транспортные средства, используемые для перевозки пассажиров и имеющие помимо места водителя не более 8 мест для сидения.</w:t>
            </w:r>
          </w:p>
        </w:tc>
        <w:tc>
          <w:tcPr>
            <w:tcW w:w="3827" w:type="dxa"/>
          </w:tcPr>
          <w:p w:rsidR="000E7E7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АТС с двигателем, предназначенные для перевозки пассажиров (пассажирские и грузопассажирские автомобили, их модификации, автобусы, пассажирские автопоезда).</w:t>
            </w:r>
          </w:p>
          <w:p w:rsidR="000001B8" w:rsidRPr="009B2D44" w:rsidRDefault="000001B8" w:rsidP="00784ED1">
            <w:pPr>
              <w:pStyle w:val="13"/>
            </w:pPr>
            <w:r w:rsidRPr="009B2D44">
              <w:t>То же, имеющие не более 8 мест для сидения, кроме места водителя.</w:t>
            </w:r>
          </w:p>
        </w:tc>
      </w:tr>
      <w:tr w:rsidR="000001B8" w:rsidRPr="009B2D44" w:rsidTr="008142CD">
        <w:trPr>
          <w:trHeight w:val="1797"/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</w:pPr>
            <w:r w:rsidRPr="009B2D44">
              <w:t>М</w:t>
            </w:r>
            <w:r w:rsidRPr="009B2D44">
              <w:rPr>
                <w:vertAlign w:val="subscript"/>
              </w:rPr>
              <w:t>2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Транспортные средства, используемые для перевозки пассажиров и имеющие помимо места водителя более 8 мест для сидения. Максимальная масса АТС этой категории не превышает 5 тонн.</w:t>
            </w:r>
          </w:p>
        </w:tc>
        <w:tc>
          <w:tcPr>
            <w:tcW w:w="3827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То же, имеющие более 8 мест для сидения, кроме места водителя, и полную массу до 5 тонн.</w:t>
            </w:r>
          </w:p>
        </w:tc>
      </w:tr>
      <w:tr w:rsidR="000001B8" w:rsidRPr="009B2D44" w:rsidTr="008142CD">
        <w:trPr>
          <w:trHeight w:val="1777"/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</w:pPr>
            <w:r w:rsidRPr="009B2D44">
              <w:t>М</w:t>
            </w:r>
            <w:r w:rsidRPr="009B2D44">
              <w:rPr>
                <w:vertAlign w:val="subscript"/>
              </w:rPr>
              <w:t>3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Транспортные средства, используемые для перевозки пассажиров и имеющие помимо места водителя более 8 мест для сидения. Максимальная масса АТС этой категории</w:t>
            </w:r>
            <w:r w:rsidRPr="009B2D44">
              <w:t xml:space="preserve"> </w:t>
            </w:r>
            <w:r w:rsidR="000001B8" w:rsidRPr="009B2D44">
              <w:t>превышает 5 тонн.</w:t>
            </w:r>
          </w:p>
        </w:tc>
        <w:tc>
          <w:tcPr>
            <w:tcW w:w="3827" w:type="dxa"/>
          </w:tcPr>
          <w:p w:rsidR="000001B8" w:rsidRPr="009B2D44" w:rsidRDefault="000001B8" w:rsidP="00784ED1">
            <w:pPr>
              <w:pStyle w:val="13"/>
            </w:pPr>
            <w:r w:rsidRPr="009B2D44">
              <w:t>То же, имеющие более 8 мест для сидения, кроме места водителя, и полную массу свыше 5 тонн.</w:t>
            </w:r>
          </w:p>
        </w:tc>
      </w:tr>
      <w:tr w:rsidR="000001B8" w:rsidRPr="009B2D44" w:rsidTr="008142CD">
        <w:trPr>
          <w:trHeight w:val="1890"/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  <w:rPr>
                <w:lang w:val="en-US"/>
              </w:rPr>
            </w:pPr>
            <w:r w:rsidRPr="009B2D44">
              <w:rPr>
                <w:lang w:val="en-US"/>
              </w:rPr>
              <w:t>N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Механические транспортные средства, имеющие не менее четырех колес и предназначенные для перевозки грузов.</w:t>
            </w:r>
          </w:p>
        </w:tc>
        <w:tc>
          <w:tcPr>
            <w:tcW w:w="3827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АТС с двигателем, предназначенные для перевозки грузов (грузовые автомобили, автомобили – тягачи, а также их шасси со смонтированными на них установками, т.е. специальные автомобили).</w:t>
            </w:r>
          </w:p>
        </w:tc>
      </w:tr>
      <w:tr w:rsidR="000001B8" w:rsidRPr="009B2D44" w:rsidTr="008142CD">
        <w:trPr>
          <w:trHeight w:val="743"/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  <w:rPr>
                <w:lang w:val="en-US"/>
              </w:rPr>
            </w:pPr>
            <w:r w:rsidRPr="009B2D44">
              <w:rPr>
                <w:lang w:val="en-US"/>
              </w:rPr>
              <w:t>N</w:t>
            </w:r>
            <w:r w:rsidRPr="009B2D44">
              <w:rPr>
                <w:vertAlign w:val="subscript"/>
                <w:lang w:val="en-US"/>
              </w:rPr>
              <w:t>1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Транспортные средства, предназначенные для перевозки грузов, максимальная масса которых не превышает 3,5 тонны.</w:t>
            </w:r>
          </w:p>
        </w:tc>
        <w:tc>
          <w:tcPr>
            <w:tcW w:w="3827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То же, с полной массой до 3,5 тонн.</w:t>
            </w:r>
          </w:p>
        </w:tc>
      </w:tr>
      <w:tr w:rsidR="000001B8" w:rsidRPr="009B2D44" w:rsidTr="008142CD">
        <w:trPr>
          <w:trHeight w:val="840"/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  <w:rPr>
                <w:lang w:val="en-US"/>
              </w:rPr>
            </w:pPr>
            <w:r w:rsidRPr="009B2D44">
              <w:rPr>
                <w:lang w:val="en-US"/>
              </w:rPr>
              <w:t>N</w:t>
            </w:r>
            <w:r w:rsidRPr="009B2D44">
              <w:rPr>
                <w:vertAlign w:val="subscript"/>
                <w:lang w:val="en-US"/>
              </w:rPr>
              <w:t>2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Транспортные средства, предназначенные для перевозки грузов, максимальная масса которых более 3,5 тонн, но не превышает 12 тонн.</w:t>
            </w:r>
          </w:p>
        </w:tc>
        <w:tc>
          <w:tcPr>
            <w:tcW w:w="3827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То же, с полной массой свыше 3,5 до 12 тонн.</w:t>
            </w:r>
          </w:p>
        </w:tc>
      </w:tr>
      <w:tr w:rsidR="000001B8" w:rsidRPr="009B2D44" w:rsidTr="008142CD">
        <w:trPr>
          <w:trHeight w:val="840"/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  <w:rPr>
                <w:lang w:val="en-US"/>
              </w:rPr>
            </w:pPr>
            <w:r w:rsidRPr="009B2D44">
              <w:rPr>
                <w:lang w:val="en-US"/>
              </w:rPr>
              <w:t>N</w:t>
            </w:r>
            <w:r w:rsidRPr="009B2D44">
              <w:rPr>
                <w:vertAlign w:val="subscript"/>
                <w:lang w:val="en-US"/>
              </w:rPr>
              <w:t>3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Транспортные средства, предназначенные для перевозки грузов, максимальная масса которых превышает 12 тонн.</w:t>
            </w:r>
          </w:p>
        </w:tc>
        <w:tc>
          <w:tcPr>
            <w:tcW w:w="3827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То же, с полной массой более 12 тонн.</w:t>
            </w:r>
          </w:p>
        </w:tc>
      </w:tr>
      <w:tr w:rsidR="000001B8" w:rsidRPr="009B2D44" w:rsidTr="008142CD">
        <w:trPr>
          <w:jc w:val="center"/>
        </w:trPr>
        <w:tc>
          <w:tcPr>
            <w:tcW w:w="1045" w:type="dxa"/>
            <w:gridSpan w:val="2"/>
          </w:tcPr>
          <w:p w:rsidR="000001B8" w:rsidRPr="009B2D44" w:rsidRDefault="000001B8" w:rsidP="00784ED1">
            <w:pPr>
              <w:pStyle w:val="13"/>
            </w:pPr>
            <w:r w:rsidRPr="009B2D44">
              <w:t>О</w:t>
            </w:r>
          </w:p>
          <w:p w:rsidR="000001B8" w:rsidRPr="009B2D44" w:rsidRDefault="000001B8" w:rsidP="00784ED1">
            <w:pPr>
              <w:pStyle w:val="13"/>
            </w:pPr>
            <w:r w:rsidRPr="009B2D44">
              <w:t>(О</w:t>
            </w:r>
            <w:r w:rsidRPr="009B2D44">
              <w:rPr>
                <w:vertAlign w:val="subscript"/>
              </w:rPr>
              <w:t>1</w:t>
            </w:r>
            <w:r w:rsidRPr="009B2D44">
              <w:t>–О</w:t>
            </w:r>
            <w:r w:rsidRPr="009B2D44">
              <w:rPr>
                <w:vertAlign w:val="subscript"/>
              </w:rPr>
              <w:t>4</w:t>
            </w:r>
            <w:r w:rsidRPr="009B2D44">
              <w:t>)</w:t>
            </w:r>
          </w:p>
        </w:tc>
        <w:tc>
          <w:tcPr>
            <w:tcW w:w="4386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Прицепы, включая полуприцепы.</w:t>
            </w:r>
          </w:p>
        </w:tc>
        <w:tc>
          <w:tcPr>
            <w:tcW w:w="3827" w:type="dxa"/>
          </w:tcPr>
          <w:p w:rsidR="000001B8" w:rsidRPr="009B2D44" w:rsidRDefault="000E7E78" w:rsidP="00784ED1">
            <w:pPr>
              <w:pStyle w:val="13"/>
            </w:pPr>
            <w:r w:rsidRPr="009B2D44">
              <w:t xml:space="preserve"> </w:t>
            </w:r>
            <w:r w:rsidR="000001B8" w:rsidRPr="009B2D44">
              <w:t>АТС без двигателя (прицепы и полуприцепы)</w:t>
            </w:r>
          </w:p>
        </w:tc>
      </w:tr>
    </w:tbl>
    <w:p w:rsidR="004C133F" w:rsidRPr="009B2D44" w:rsidRDefault="004C133F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В категорию М</w:t>
      </w:r>
      <w:r w:rsidRPr="009B2D44">
        <w:rPr>
          <w:bCs/>
          <w:sz w:val="28"/>
          <w:szCs w:val="28"/>
          <w:vertAlign w:val="subscript"/>
        </w:rPr>
        <w:t>1</w:t>
      </w:r>
      <w:r w:rsidRPr="009B2D44">
        <w:rPr>
          <w:bCs/>
          <w:sz w:val="28"/>
          <w:szCs w:val="28"/>
        </w:rPr>
        <w:t xml:space="preserve"> входят легковые автомобили, которые могут быть разделены на отдельные группы в зависимости от выбранного критерия классификации – одного какого-либо свойства или характеристики. Пример такой классификации по некоторым свойствам и характеристикам дан в таблице 4.</w:t>
      </w:r>
    </w:p>
    <w:p w:rsidR="000E7E78" w:rsidRPr="009B2D44" w:rsidRDefault="000E7E78" w:rsidP="000E7E78">
      <w:pPr>
        <w:pStyle w:val="1"/>
        <w:tabs>
          <w:tab w:val="num" w:pos="-180"/>
        </w:tabs>
        <w:spacing w:line="360" w:lineRule="auto"/>
        <w:jc w:val="both"/>
        <w:rPr>
          <w:b w:val="0"/>
          <w:szCs w:val="28"/>
        </w:rPr>
      </w:pPr>
    </w:p>
    <w:p w:rsidR="000001B8" w:rsidRPr="009B2D44" w:rsidRDefault="000001B8" w:rsidP="000E7E78">
      <w:pPr>
        <w:pStyle w:val="1"/>
        <w:tabs>
          <w:tab w:val="num" w:pos="-180"/>
        </w:tabs>
        <w:spacing w:line="360" w:lineRule="auto"/>
        <w:jc w:val="both"/>
        <w:rPr>
          <w:szCs w:val="28"/>
        </w:rPr>
      </w:pPr>
      <w:r w:rsidRPr="009B2D44">
        <w:rPr>
          <w:b w:val="0"/>
          <w:szCs w:val="28"/>
        </w:rPr>
        <w:t xml:space="preserve">Таблица 4. </w:t>
      </w:r>
      <w:r w:rsidRPr="009C5357">
        <w:rPr>
          <w:b w:val="0"/>
          <w:szCs w:val="28"/>
        </w:rPr>
        <w:t>Классификация легковых автомобилей по функциональным и конструктивным характеристикам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963"/>
        <w:gridCol w:w="2410"/>
      </w:tblGrid>
      <w:tr w:rsidR="000001B8" w:rsidRPr="009C5357" w:rsidTr="008142CD">
        <w:trPr>
          <w:jc w:val="center"/>
        </w:trPr>
        <w:tc>
          <w:tcPr>
            <w:tcW w:w="2448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Свойство, </w:t>
            </w:r>
          </w:p>
          <w:p w:rsidR="000001B8" w:rsidRPr="009C5357" w:rsidRDefault="000001B8" w:rsidP="009C5357">
            <w:pPr>
              <w:pStyle w:val="13"/>
            </w:pPr>
            <w:r w:rsidRPr="009C5357">
              <w:t>характеристика</w:t>
            </w: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Классификационная группа автомобилей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Тип автомобиля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1</w:t>
            </w: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3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Приспособленность к работе в различных дорожных условиях</w:t>
            </w: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 Нормальной проходимости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С приводом на колеса одной оси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2. Повышенной проходимости (внедорожники)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Полноприводные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Тип, конструкция кузова</w:t>
            </w: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 С закрытым кузовом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Лимузин, седан, купе, универсал, хетчбек, минивэн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2. С открытым и открывающимся кузовом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Фаэтон, родстер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3. С закрытой кабиной и грузовым кузовом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Пикап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Число функциональных объемов</w:t>
            </w: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 С кузовом, разделенным на три объема (моторный отсек, пассажирский салон, багажный отсек)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Лимузин, седан, фаэтон, пикап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2. С кузовом, имеющим два раздельных объема (моторный отсек, отсек для размещения пассажиров и багажа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Купе, универсал, хетчбек, родстер</w:t>
            </w:r>
          </w:p>
        </w:tc>
      </w:tr>
      <w:tr w:rsidR="000001B8" w:rsidRPr="009C5357" w:rsidTr="008142CD">
        <w:trPr>
          <w:trHeight w:val="491"/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3. С одно объемным кузовом без выделения функциональных отсеков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Минивэн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Рабочий объем двигателя</w:t>
            </w: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 Особо малого класса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С объемом двигателя до </w:t>
            </w:r>
            <w:smartTag w:uri="urn:schemas-microsoft-com:office:smarttags" w:element="metricconverter">
              <w:smartTagPr>
                <w:attr w:name="ProductID" w:val="1,1999 л"/>
              </w:smartTagPr>
              <w:r w:rsidRPr="009C5357">
                <w:t>1,1999 л</w:t>
              </w:r>
            </w:smartTag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2. Малого класса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С объемом двигателя от 2,0 до </w:t>
            </w:r>
            <w:smartTag w:uri="urn:schemas-microsoft-com:office:smarttags" w:element="metricconverter">
              <w:smartTagPr>
                <w:attr w:name="ProductID" w:val="1,799 л"/>
              </w:smartTagPr>
              <w:r w:rsidRPr="009C5357">
                <w:t>1,799 л</w:t>
              </w:r>
            </w:smartTag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3. Среднего класса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С объемом двигателя от 1,8 до </w:t>
            </w:r>
            <w:smartTag w:uri="urn:schemas-microsoft-com:office:smarttags" w:element="metricconverter">
              <w:smartTagPr>
                <w:attr w:name="ProductID" w:val="3,499 л"/>
              </w:smartTagPr>
              <w:r w:rsidRPr="009C5357">
                <w:t>3,499 л</w:t>
              </w:r>
            </w:smartTag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4. Большого класса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С объемом двигателя свыше </w:t>
            </w:r>
            <w:smartTag w:uri="urn:schemas-microsoft-com:office:smarttags" w:element="metricconverter">
              <w:smartTagPr>
                <w:attr w:name="ProductID" w:val="3,5 л"/>
              </w:smartTagPr>
              <w:r w:rsidRPr="009C5357">
                <w:t>3,5 л</w:t>
              </w:r>
            </w:smartTag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5. Высшего класса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С ненормированным объемом двигателя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Тип двигателя</w:t>
            </w:r>
          </w:p>
        </w:tc>
        <w:tc>
          <w:tcPr>
            <w:tcW w:w="3963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 С бензиновым двигателем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 С карбюраторным двигателем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2. С инжекторным двигателем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2. С двигателем, работающим на солярке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С дизельным двигателем</w:t>
            </w:r>
          </w:p>
        </w:tc>
      </w:tr>
      <w:tr w:rsidR="000001B8" w:rsidRPr="009C5357" w:rsidTr="008142CD">
        <w:trPr>
          <w:trHeight w:val="1019"/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3. С двигателем, работающим на газообразном топливе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Газобаллонные автомобили 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4. С электродвигателем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 xml:space="preserve">4. С аккумуляторами, заряжаемыми от электрической сети </w:t>
            </w:r>
          </w:p>
        </w:tc>
      </w:tr>
      <w:tr w:rsidR="000001B8" w:rsidRPr="009C5357" w:rsidTr="008142CD">
        <w:trPr>
          <w:trHeight w:val="766"/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4.2. С питанием от солнечной энергии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Merge w:val="restart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5. С обращаемым или комбинированным двигателем</w:t>
            </w: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5. Автомобили с двигателем, работающим как на бензине, так и на газообразном топливе</w:t>
            </w:r>
          </w:p>
        </w:tc>
      </w:tr>
      <w:tr w:rsidR="000001B8" w:rsidRPr="009C5357" w:rsidTr="008142CD">
        <w:trPr>
          <w:jc w:val="center"/>
        </w:trPr>
        <w:tc>
          <w:tcPr>
            <w:tcW w:w="2448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3963" w:type="dxa"/>
            <w:vMerge/>
            <w:vAlign w:val="center"/>
          </w:tcPr>
          <w:p w:rsidR="000001B8" w:rsidRPr="009C5357" w:rsidRDefault="000001B8" w:rsidP="009C5357">
            <w:pPr>
              <w:pStyle w:val="13"/>
            </w:pPr>
          </w:p>
        </w:tc>
        <w:tc>
          <w:tcPr>
            <w:tcW w:w="2410" w:type="dxa"/>
            <w:vAlign w:val="center"/>
          </w:tcPr>
          <w:p w:rsidR="000001B8" w:rsidRPr="009C5357" w:rsidRDefault="000001B8" w:rsidP="009C5357">
            <w:pPr>
              <w:pStyle w:val="13"/>
            </w:pPr>
            <w:r w:rsidRPr="009C5357">
              <w:t>5.2. Автомобили, имеющие два двигателя (двигатель внутреннего сгорания и электродвигатель)</w:t>
            </w:r>
          </w:p>
        </w:tc>
      </w:tr>
    </w:tbl>
    <w:p w:rsidR="009C5357" w:rsidRDefault="009C5357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B2D44">
        <w:rPr>
          <w:b/>
          <w:bCs/>
          <w:sz w:val="28"/>
          <w:szCs w:val="28"/>
        </w:rPr>
        <w:t>4. Запасные части к автомобилям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К автомобильным запасным частям (или иначе запчастям) относятся новые или восстановленные части машины, предназначенные для замены таких же изношенных или неисправных частей. В номенклатуру запчастей включаются следующие виды изделий: детали и сборочные единицы, специально сконструированные для данной модели машины; детали и сборочные единицы, унифицированные с другими автомобилями одного или разных модельных рядов; стандартные крепежные изделия, а также стандартные и комплектующие изделия – подшипники, сальники, свечи зажигания, приборы, ремни и др.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 xml:space="preserve">Автозаводы – продуценты автомобилей, часть деталей и агрегатов изготавливают сами, остальные получают по кооперации с других заводов, которые являются основными поставщиками. Заботясь о необходимости обеспечения технического обслуживания и ремонта своей продукции, купленной населением и предприятиями, определенную долю выпуска деталей, сборочных единиц, агрегатов и иных изделий продуценты автомобилей и их основные поставщики выпускают на рынок запасных частей. Такие запчасти называются «оригинальными». Оригинальные запчасти, имеющие торговую марку автомобильной фирмы, должны реализоваться исключительно через ее товаропроводящую и сервисную (дилерскую) сети, однако на Российском рынке этими изделиями торгуют и крупные оптовики, закупающие запчасти у продуцента, и посредники и магазины розничной торговли, являющиеся </w:t>
      </w:r>
      <w:r w:rsidR="009C5357">
        <w:rPr>
          <w:bCs/>
          <w:sz w:val="28"/>
          <w:szCs w:val="28"/>
        </w:rPr>
        <w:t xml:space="preserve">самостоятельными предприятиями. </w:t>
      </w:r>
      <w:r w:rsidRPr="009B2D44">
        <w:rPr>
          <w:bCs/>
          <w:sz w:val="28"/>
          <w:szCs w:val="28"/>
        </w:rPr>
        <w:t>В то же время рынок запасных частей заполнен запчастями, изготовленными множеством иных предприятий - не основных поставщиков. Их продукция относится к «неоригинальным запчастям». Качество неоригинальных запчастей не контролируется основными продуцентами автомобилей и их субпоставщиками, поэтому на рынке можно встретить запчасти как очень высокого, так и весьма низкого качества.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Для правильного выбора необходимой покупателю или продавцу запчасти служат каталоги. Каталог запчастей – это перечень деталей и сборочных единиц, составленный в определенном порядке. По каталогу устанавливается номер запчасти и место ее расположения в автомобиле или его составной части (двигателе, подвеске, коробке передач и т.п.).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Детали и сборочные единицы автомобилей, выпущенных в СССР, странах СНГ, включая Россию, в каталогах нумеруются в соответствии с отраслевыми стандартами и утвержденными правилами. Каталоги деталей и сборочных единиц (узлов) составлены на основе конструкторской документации и включают следующие разделы: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техническая характеристика модели (модельного ряда) автомобиля;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правила пользования каталогом;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указатель групп и подгрупп деталей и сборочных единиц;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иллюстрации составных частей автомобиля (агрегатов, систем, кузова и др.);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сборочные единицы и детали автомобиля;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нормализованные детали;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покупные детали;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-</w:t>
      </w:r>
      <w:r w:rsidRPr="009B2D44">
        <w:rPr>
          <w:szCs w:val="28"/>
        </w:rPr>
        <w:tab/>
        <w:t>сборочные единицы и детали модификаций базовой модели автомобиля.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Номера сборочных единиц и деталей обозначены по единой семизначной системе кодирования, действующей на всех автозаводах России и стран СНГ. По этой системе кодирования структура номера имеет вид:</w:t>
      </w:r>
    </w:p>
    <w:p w:rsidR="000E7E78" w:rsidRPr="009B2D44" w:rsidRDefault="000E7E7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ХХХХ – ХХХХХХХ</w:t>
      </w:r>
    </w:p>
    <w:p w:rsidR="000E7E78" w:rsidRPr="009B2D44" w:rsidRDefault="000E7E7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 xml:space="preserve">Первые четыре цифры перед дефисом обозначают модель автомобиля, семь цифр после дефиса – номер детали или сборочной единицы. Номер, заканчивающийся на «0», присваивается сборочной единице. В структуре номера первые две цифры обозначают группу деталей (сборочных единиц), вторые две цифры – подгруппу деталей (сборочных единиц), последние три цифры соответствуют порядковому номеру детали или сборочной единицы </w:t>
      </w:r>
    </w:p>
    <w:p w:rsidR="000001B8" w:rsidRPr="009B2D44" w:rsidRDefault="000E7E7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b/>
          <w:bCs w:val="0"/>
          <w:szCs w:val="24"/>
        </w:rPr>
      </w:pPr>
      <w:r w:rsidRPr="009B2D44">
        <w:rPr>
          <w:b/>
          <w:bCs w:val="0"/>
          <w:szCs w:val="24"/>
        </w:rPr>
        <w:t>Пример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b/>
          <w:bCs w:val="0"/>
          <w:szCs w:val="24"/>
        </w:rPr>
      </w:pPr>
      <w:r w:rsidRPr="009B2D44">
        <w:rPr>
          <w:b/>
          <w:bCs w:val="0"/>
          <w:szCs w:val="24"/>
        </w:rPr>
        <w:t>Расшифровать каталожный номер запчасти – 1111 – 3501010.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4"/>
        </w:rPr>
      </w:pPr>
      <w:r w:rsidRPr="009B2D44">
        <w:rPr>
          <w:szCs w:val="24"/>
        </w:rPr>
        <w:t>1111 – код модели автомобиля «Ока».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4"/>
        </w:rPr>
      </w:pPr>
      <w:r w:rsidRPr="009B2D44">
        <w:rPr>
          <w:szCs w:val="24"/>
        </w:rPr>
        <w:t>35 – код группы «Тормоза».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4"/>
        </w:rPr>
      </w:pPr>
      <w:r w:rsidRPr="009B2D44">
        <w:rPr>
          <w:szCs w:val="24"/>
        </w:rPr>
        <w:t>01 – код подгруппы «Тормоза рабочие передние».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4"/>
        </w:rPr>
      </w:pPr>
      <w:r w:rsidRPr="009B2D44">
        <w:rPr>
          <w:szCs w:val="24"/>
        </w:rPr>
        <w:t>010 – порядковый номер сборочной единицы «Тормоз правый в сборе».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Если в конце номера через дефис добавлена буква или буква и цифра, то это значит, что в конструкцию детали или сборочной единицы внесены изменения.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Буквы А, А1, А2 обозначают, что конструкция детали изменена три раза, при этом сохраняется взаимозаменяемость деталей всех вариантов между собой и с базовой деталью.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Буквы Б, Б1, БА2 обозначают, что конструкция детали изменена три раза, при этом сохраняется взаимозаменяемость деталей всех вариантов Б между собой, но не сохраняется взаимозаменяемость с базовой деталью или с деталями, имеющими модификацию А,А1, А2.</w:t>
      </w:r>
    </w:p>
    <w:p w:rsidR="000001B8" w:rsidRPr="009B2D44" w:rsidRDefault="000001B8" w:rsidP="000E7E78">
      <w:pPr>
        <w:pStyle w:val="4"/>
        <w:tabs>
          <w:tab w:val="num" w:pos="-180"/>
        </w:tabs>
        <w:spacing w:line="360" w:lineRule="auto"/>
        <w:jc w:val="both"/>
        <w:rPr>
          <w:b w:val="0"/>
          <w:bCs w:val="0"/>
          <w:szCs w:val="28"/>
        </w:rPr>
      </w:pPr>
      <w:r w:rsidRPr="009B2D44">
        <w:rPr>
          <w:b w:val="0"/>
          <w:bCs w:val="0"/>
          <w:szCs w:val="28"/>
        </w:rPr>
        <w:t>Наряду с буквенным обозначением измененных конструктивно деталей используется и цифровая индексация, которая ставится вместо буквенной: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01 – первый взаимозаменяемый вариант,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02 –второй взаимозаменяемый вариант и т.д. до 09,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10 - первый невзаимозаменяемый вариант,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11 - первый взаимозаменяемый вариант невзаимозаменяемого варианта 10 и т.д. до 19,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20 - второй взаимозаменяемый вариант,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21 - первый взаимозаменяемый вариант невзаимозаменяемого варианта 20 и т.д. до 29.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Детали и сборочные единицы заводов субпоставщиков даются с обозначением завода-изготовителя.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В каталоге все детали и сборочные единицы сгруппированы по функциональному и конструктивному признакам. Каждая деталь и сборочная единица представлены на рисунках группы и подгруппы во взаиморасположении, соответствующем их сборке в автомобиле, его агрегате или системе с указанием позиций и обозначения.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Часть деталей в каталоге комплектуется специально для реализации в качестве запчастей, например, комплекты поршневых колец, шатунных и коренных вкладышей, ремонтный набор бензонасоса и т.д.</w:t>
      </w:r>
    </w:p>
    <w:p w:rsidR="000001B8" w:rsidRPr="009B2D44" w:rsidRDefault="000001B8" w:rsidP="000E7E78">
      <w:pPr>
        <w:pStyle w:val="ae"/>
        <w:tabs>
          <w:tab w:val="clear" w:pos="4677"/>
          <w:tab w:val="clear" w:pos="9355"/>
          <w:tab w:val="num" w:pos="-180"/>
        </w:tabs>
        <w:spacing w:line="360" w:lineRule="auto"/>
        <w:ind w:firstLine="709"/>
        <w:jc w:val="both"/>
        <w:rPr>
          <w:szCs w:val="28"/>
        </w:rPr>
      </w:pPr>
      <w:r w:rsidRPr="009B2D44">
        <w:rPr>
          <w:szCs w:val="28"/>
        </w:rPr>
        <w:t>Кодирование оригинальных запасных частей для автомобилей иностранных фирм производится по таким же правилам, что и в России, однако номера неоригинальных запчастей, проставленные на изделиях, могут не совпадать с каталожными номерами таких же деталей. Это связано с тем, что заводы-изготовители такой продукции присваивают изделиям технологические номера, не предназначенные для использования в торговой сети.</w:t>
      </w:r>
    </w:p>
    <w:p w:rsidR="000E7E78" w:rsidRPr="009B2D44" w:rsidRDefault="000E7E78" w:rsidP="000E7E78">
      <w:pPr>
        <w:pStyle w:val="23"/>
        <w:tabs>
          <w:tab w:val="num" w:pos="-180"/>
        </w:tabs>
        <w:spacing w:line="360" w:lineRule="auto"/>
        <w:ind w:firstLine="709"/>
        <w:jc w:val="both"/>
        <w:rPr>
          <w:b/>
          <w:bCs/>
          <w:szCs w:val="28"/>
        </w:rPr>
      </w:pPr>
    </w:p>
    <w:p w:rsidR="000001B8" w:rsidRPr="009B2D44" w:rsidRDefault="000001B8" w:rsidP="000E7E78">
      <w:pPr>
        <w:pStyle w:val="23"/>
        <w:tabs>
          <w:tab w:val="num" w:pos="-180"/>
        </w:tabs>
        <w:spacing w:line="360" w:lineRule="auto"/>
        <w:ind w:firstLine="709"/>
        <w:jc w:val="both"/>
        <w:rPr>
          <w:b/>
          <w:bCs/>
          <w:szCs w:val="28"/>
        </w:rPr>
      </w:pPr>
      <w:r w:rsidRPr="009B2D44">
        <w:rPr>
          <w:b/>
          <w:bCs/>
          <w:szCs w:val="28"/>
        </w:rPr>
        <w:t>5. Общая характеристика услуг станций технического обслуживания автомобилей</w:t>
      </w:r>
    </w:p>
    <w:p w:rsidR="000001B8" w:rsidRPr="009B2D44" w:rsidRDefault="000001B8" w:rsidP="000E7E78">
      <w:pPr>
        <w:pStyle w:val="23"/>
        <w:tabs>
          <w:tab w:val="num" w:pos="-180"/>
        </w:tabs>
        <w:spacing w:line="360" w:lineRule="auto"/>
        <w:ind w:firstLine="709"/>
        <w:jc w:val="both"/>
        <w:rPr>
          <w:b/>
          <w:bCs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 xml:space="preserve">Услуга – это результат непосредственного взаимодействия исполнителя и потребителя, а также собственная деятельность исполнителя по удовлетворению потребностей потребителя. Применительно к системе автосервиса в узком понимании слова «услуга автосервиса» – деятельность работников станции технического обслуживания автомобилей, технического центра или автомастерской, направленная на удовлетворение потребностей автовладельцев в поддержании и восстановлении исправности и работоспособности автомобиля. Услуги автосервиса, оказываемые на СТОА, включают в себя две составные части – обслуживание владельца автомобиля и выполнение технических работ по обслуживанию и ремонту автомобиля. 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Номенклатура этих работ многообразна. В зависимости от конкретных целей и задач они могут быть объединены в отдельные группы: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предпродажная подготовка автомобилей (выполняется в дилерских центрах, а также на тех СТОА, которые имеют салон-магазины по продаже новых или комиссионых автомобилей);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гарантийное обслуживание автомобилей;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послегарантийное обслуживание автомобилей;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ремонт автомобилей и их составных частей;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усовершенствование конструкции или внешнего вида автомобиля, установка нового оборудования и систем.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Номенклатура работ по предпродажной подготовке автомобиля устанавливается заводом-изготовителем на весь модельный ряд выпускаемых автомобилей. В эти работы входят осмотровые, проверка функционирования, проверка и подтяжка крепежных соединений, расконсервация и, при необходимости, смазочно-заправочные операции и др.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Гарантийное обслуживание автомобилей включает в себя регламентные работы по техническому обслуживанию и устранение заводских дефектов (гарантийный ремонт). Регламентное техническое обслуживание производится в соответствии с сервисной книжкой и включает такие виды работ как контрольно-регулировочные, смазочно-заправочные и контрольно-крепежные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Послегарантийное техническое обслуживание (ТО) автомобилей представляет собой комплекс работ, направленных на предупреждение отказов и неисправностей, поддержание автомобилей в исправном состоянии и обеспечение</w:t>
      </w:r>
      <w:r w:rsidR="000E7E78" w:rsidRPr="009B2D44">
        <w:rPr>
          <w:sz w:val="28"/>
          <w:szCs w:val="28"/>
        </w:rPr>
        <w:t xml:space="preserve"> </w:t>
      </w:r>
      <w:r w:rsidRPr="009B2D44">
        <w:rPr>
          <w:sz w:val="28"/>
          <w:szCs w:val="28"/>
        </w:rPr>
        <w:t>надежной, безопасной и экологичной их эксплуатации. Техническое обслуживание включает следующие виды работ: контрольно-диагностические, крепежные, регулировочные, электротехнические, работы по системе питания, заправочные, смазочные и другие.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По периодичности, перечню и трудоемкости выполнения работы по ТО легковых автомобилей, проводимые на СТОА, подразделяются на следующие виды: периодическое техническое обслуживание (ТО), сезонное обслуживание (СО).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ТО предусматривает выполнение определенного объема, работ через установленный эксплуатационный пробег автомобиля. В соответствии с нормативами ТО легковых автомобилей различают ТО-1 и ТО-2.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ТО-1 проводится через установленный заводом-изготовителем автомобиля определенный пробег для выполнения следующих работ:</w:t>
      </w:r>
    </w:p>
    <w:p w:rsidR="000001B8" w:rsidRPr="009B2D44" w:rsidRDefault="000001B8" w:rsidP="000E7E78">
      <w:pPr>
        <w:pStyle w:val="31"/>
        <w:tabs>
          <w:tab w:val="num" w:pos="-180"/>
        </w:tabs>
        <w:spacing w:line="360" w:lineRule="auto"/>
        <w:ind w:firstLine="709"/>
        <w:jc w:val="both"/>
        <w:rPr>
          <w:b w:val="0"/>
          <w:szCs w:val="28"/>
        </w:rPr>
      </w:pPr>
      <w:r w:rsidRPr="009B2D44">
        <w:rPr>
          <w:b w:val="0"/>
          <w:szCs w:val="28"/>
        </w:rPr>
        <w:t>-</w:t>
      </w:r>
      <w:r w:rsidRPr="009B2D44">
        <w:rPr>
          <w:b w:val="0"/>
          <w:szCs w:val="28"/>
        </w:rPr>
        <w:tab/>
        <w:t>контрольно-диагностических – проверка действия рабочей тормозной системы на одновременное срабатывание и эффективность торможения, действия стояночной тормозной системы, тормозного привода, проверка соединений в рулевом приводе, состояния шин, приборов освещения и сигнализации;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осмотровых – осмотр и проверка кузова, стекол, номерных знаков; действия дверных механизмов, стеклоочистителей, зеркал заднего вида; герметичности соединений систем смазочной, охлаждения и гидравлического привода включения сцепления; резиновых защитных чехлов на приводах и шарниров рулевых тяг; величины свободного хода педали сцепления и тормоза; натяжения ремня вентилятора; уровней тормозной жидкости в бачках главного тормозного цилиндра и привода выключения сцепления; пружин и рычагов в передней подвеске, штанг и стоек стабилизатора поперечной устойчивости.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крепежных – подтяжка крепежных деталей крепления двигателя к кузову, коробки передач и удлинителя, картера рулевого механизма и рулевой сошки, рулевого колеса и рулевых тяг, поворотных рычагов, соединительных фланцев карданного вала, дисков колес, приборов, трубопроводов и шлангов смазочной системы и системы охлаждения, тормозных механизмов и гидравлического привода выключения сцепления, приемной трубы глушителя;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регулировочных – регулировка свободного хода педали сцепления и тормоза, действия рабочей и стояночной тормозных систем, свободного хода рулевого колеса и зазора в соединениях рулевого привода, натяжение ремня вентилятора и генератора; доведение до нормы давления воздуха в шинах и уровней тормозной жидкости в питательных бачках главного тормозного цилиндра и привода выключения сцепления.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При ТО-1 также очищают от грязи и проверяют приборы системы питания и герметичность их соединений; аккумуляторную батарею; проверяют крепление, надежность контакта наконечников проводов с клеммами и уровень электролита в каждой из банок аккумулятора; изоляцию электрооборудования, крепление генератора, стартера и реле-регулятора, проверяют крепление стартера, катушки зажигания.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ТО-2 проводится с периодичностью, установленной заводом-изготовителем автомобиля. Перед выполнением ТО-2 или в процессе его целесообразно проводить углубленное диагностирование всех основных агрегатов, узлов и систем автомобиля для установления их технического состояния, определения характера неисправностей, их причин, а также возможности дальнейшей эксплуатации данного агрегата, узла и системы.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Кроме того, необходимо проверить и отрегулировать углы установки управляемых колес; эффективность действия и одновременность срабатывания тормозных механизмов; балансировку колес; работу системы зажигания; установку и действие фар; состояние тормозного привода, радиатора, резиновых подушек подвески двигателя.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При ТО-2 кроме объема работ по ТО-1 выполняют ряд дополнительных операций: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закрепление радиатора; головки блока цилиндров и стоек коромысел, крышек кожуха головки блока цилиндров; впускного и выпускного трубопроводов; крышки блока распределительных зубчатых колес; корпусов фильтров очистки масла, поддона масляного картера двигателя, картера сцепления; амортизаторов, топливного бака, глушителя, крышки редуктора заднего моста, стремянки, пальцев рессор, замков и ручек дверей;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подтяжку гаек крепления фланца к ведущей шестерне главной передачи заднего моста и шарнирных пальцев крепления проушин амортизатора;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регулировку усилия поворота рулевого колеса, тепловых зазоров клапанов, натяжение цепи привода механизма газораспределения двигателя, зазора между тормозными колодками и дисками колес, зазора в подшипниках ступиц передних колес.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При ТО-2 проверяют также состояние лакокрасочного покрытия автомобиля, замков и петель капота, крышки багажника и дверей; работу омывателя ветрового стекла, системы отопления кузова и вентилятора обдува ветрового стекла.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При обслуживании системы электрооборудования производят следующее: снимают батарею с автомобиля и проверяют степень заряда, проверяют состояние щеток и коллекторов генератора и стартера, работу реле-регулятора; регулируют натяжение пружин якорей; снимают свечи зажигания и проверяют их состояние, очищают от нагара и регулируют зазоры между электродами; снимают прерыватель-распределитель зажигания и очищают его наружную поверхность от грязи и масла,</w:t>
      </w:r>
      <w:r w:rsidR="000E7E78" w:rsidRPr="009B2D44">
        <w:rPr>
          <w:szCs w:val="28"/>
        </w:rPr>
        <w:t xml:space="preserve"> </w:t>
      </w:r>
      <w:r w:rsidRPr="009B2D44">
        <w:rPr>
          <w:szCs w:val="28"/>
        </w:rPr>
        <w:t>проверяют состояние контактов и регулируют зазоры между ними, смазывают вал прерывателя-распределителя; проверяют состояние проводов низкого и высокого напряжения и регулируют действие приборов освещения и сигнализации.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СО – предусматривает выполнение ТО и дополнительных операций по подготовке автомобиля к зимней или летней эксплуатации согласно рекомендациям заводов-изготовителей.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При техническом обслуживании автомобилей на СТОА особое внимание уделяют неисправностям, которые могут повлиять на безопасность движения. При этом обязательно устраняют выявленные неисправности и ослабление крепления деталей, узлов, агрегатов и систем: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Ремонтом называется комплекс работ по устранению возникших неисправностей и восстановление работоспособности автомобиля в целом или агрегата. Различат два вида ремонта – текущий (ТР) и капитальный (КР). Различие в этих видах ремонта заключается в глубине разборки объекта ремонта и объеме технологического воздействия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Ремонт автомобилей на СТОА осуществляется по заявкам их владельцев. При ТР и КР выполняют разборочно-сборочные, сварочно-жестяницкие, электротехнические, окрасочные и слесарно-механические работы.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Разборочно-сборочные работы включают снятие и установку дверей, отдельных панелей или частей кузова, механизмов, стекол и других съемных деталей. Частичную разборку кузова для ремонта его деталей осуществляют в объеме, необходимом для обеспечения качественного выполнения всех ремонтных операций.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Сварочно-жестяницкие и арматурно-кузовные работы включают операции по правке и сварке деталей кузова и его механизмов, а также изготовление необходимых для ремонта элементов кузова панелей, вставок, заплат, косынок и др.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Правочные работы в зависимости от характера повреждений заключаются в устранении неровностей на деформированных поверхностях, а также в исправлении искажений геометрических размеров кузова, т.е. перекосов кузова.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Сварочные работы являются неотъемлемой частью жестяницко-рихтовочных работ. Почти все ремонтные операции требуют применения</w:t>
      </w:r>
      <w:r w:rsidR="000E7E78" w:rsidRPr="009B2D44">
        <w:rPr>
          <w:sz w:val="28"/>
          <w:szCs w:val="28"/>
        </w:rPr>
        <w:t xml:space="preserve"> </w:t>
      </w:r>
      <w:r w:rsidRPr="009B2D44">
        <w:rPr>
          <w:sz w:val="28"/>
          <w:szCs w:val="28"/>
        </w:rPr>
        <w:t xml:space="preserve">сварки в том или ином объеме. 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Окрасочные работы предназначены для восстановления лакокрасочного покрытия кузова со снятием старого лакокрасочного покрытия, подкраски местных повреждений, окраски отдельных деталей кузова и нанесения различного вида защитных слоев.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Общий технологический процесс окраски включает подготовку поверхности под окраску, грунтование, шпатлевание, шлифование, нанесение промежуточных и внешних слоев покрытия, последующую сушку окрашенных поверхностей.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При ТР электрооборудования выполняют разборку приборов и агрегатов на отдельные сборочные единицы и детали; контроль и выявление дефектов деталей; замену негодных деталей; зачистку и проточку коллекторов электродвигателей; восстановление повреждений изоляции соединительных проводов и выводов катушек; напайку наконечников проводов; сборку и испытание электрооборудования на специализированных стендах.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Для качественного выполнения ТО и ТР СТО оснащается необходимыми постами, устройствами, приборами, приспособлениями, инструментом и оснасткой, технической документацией.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0001B8" w:rsidP="000E7E78">
      <w:pPr>
        <w:pStyle w:val="4"/>
        <w:tabs>
          <w:tab w:val="num" w:pos="-180"/>
        </w:tabs>
        <w:spacing w:line="360" w:lineRule="auto"/>
        <w:jc w:val="both"/>
        <w:rPr>
          <w:bCs w:val="0"/>
          <w:szCs w:val="28"/>
        </w:rPr>
      </w:pPr>
      <w:r w:rsidRPr="009B2D44">
        <w:rPr>
          <w:bCs w:val="0"/>
          <w:szCs w:val="28"/>
        </w:rPr>
        <w:t>6. Законодательно-нормативная база объектов и систем автосервиса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4"/>
        </w:rPr>
      </w:pP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 xml:space="preserve">В связи с переходом российской экономики в русло общемировой рыночной экономики законодательно-нормативная база системы автосервиса, как и всей сферы услуг, находится в стадии становления и перспективного развития. На сегодняшний день в соответствии с государственной системой стандартизации (ГСС) имеет место разветвленная структура фонда нормативных документов, действующих в сфере услуг. </w:t>
      </w:r>
      <w:r w:rsidRPr="009B2D44">
        <w:t>Общая структура фонда нормативных документов показана на</w:t>
      </w:r>
      <w:r w:rsidR="000E7E78" w:rsidRPr="009B2D44">
        <w:t xml:space="preserve"> </w:t>
      </w:r>
      <w:r w:rsidRPr="009B2D44">
        <w:rPr>
          <w:szCs w:val="28"/>
        </w:rPr>
        <w:t>рисунке 3.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К международным нормативно-правовым и нормативно-техническим актам относятся: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Рекомендации ООН (например, по перевозке опасных грузов),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Конвенции (например, о дорожном движении),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Правила ЕЭК ООН,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Директивы ЕЭС идр.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Так, Правилами ЕЭК ООН утверждены «Единообразные предписания», касающиеся различных аспектов эксплуатационных свойств и конструктивных параметров автотранспортных средств (АТС), таких как требования к системам освещения, системам пассивной безопасности, выбросам загрязняющих веществ и др.</w:t>
      </w:r>
    </w:p>
    <w:p w:rsidR="000001B8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Например, для новых автомобилей класса М1 (легковые АТС) введены следующие нормы выброса токсичных веществ в составе отработанных газов (таблица 5).</w:t>
      </w:r>
    </w:p>
    <w:p w:rsidR="009C5357" w:rsidRPr="009B2D44" w:rsidRDefault="009C5357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001B8" w:rsidRPr="009B2D44" w:rsidRDefault="00E1693E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7.5pt;height:378pt">
            <v:imagedata r:id="rId9" o:title=""/>
          </v:shape>
        </w:pict>
      </w:r>
    </w:p>
    <w:p w:rsidR="008142CD" w:rsidRDefault="008142CD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</w:p>
    <w:p w:rsidR="000001B8" w:rsidRPr="009C5357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 xml:space="preserve">Таблица 5. </w:t>
      </w:r>
      <w:r w:rsidRPr="009C5357">
        <w:rPr>
          <w:szCs w:val="28"/>
        </w:rPr>
        <w:t>Нормативы ПДВ токсичных веществ для легковых автомобилей с бензиновыми и дизельными двигателями, принятые в ЕЭС.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397"/>
        <w:gridCol w:w="1619"/>
        <w:gridCol w:w="1081"/>
        <w:gridCol w:w="1440"/>
        <w:gridCol w:w="1440"/>
      </w:tblGrid>
      <w:tr w:rsidR="000001B8" w:rsidRPr="009B2D44" w:rsidTr="00045F02">
        <w:trPr>
          <w:cantSplit/>
          <w:trHeight w:val="320"/>
          <w:jc w:val="center"/>
        </w:trPr>
        <w:tc>
          <w:tcPr>
            <w:tcW w:w="1514" w:type="dxa"/>
            <w:vMerge w:val="restart"/>
            <w:vAlign w:val="center"/>
          </w:tcPr>
          <w:p w:rsidR="000001B8" w:rsidRPr="009B2D44" w:rsidRDefault="000001B8" w:rsidP="009C5357">
            <w:pPr>
              <w:pStyle w:val="13"/>
            </w:pPr>
            <w:r w:rsidRPr="009B2D44">
              <w:t>Нормативный документ</w:t>
            </w:r>
          </w:p>
        </w:tc>
        <w:tc>
          <w:tcPr>
            <w:tcW w:w="1397" w:type="dxa"/>
            <w:vMerge w:val="restart"/>
            <w:vAlign w:val="center"/>
          </w:tcPr>
          <w:p w:rsidR="000001B8" w:rsidRPr="009B2D44" w:rsidRDefault="000001B8" w:rsidP="009C5357">
            <w:pPr>
              <w:pStyle w:val="13"/>
            </w:pPr>
            <w:r w:rsidRPr="009B2D44">
              <w:t>Год</w:t>
            </w:r>
          </w:p>
          <w:p w:rsidR="000001B8" w:rsidRPr="009B2D44" w:rsidRDefault="000001B8" w:rsidP="009C5357">
            <w:pPr>
              <w:pStyle w:val="13"/>
            </w:pPr>
            <w:r w:rsidRPr="009B2D44">
              <w:t>введения</w:t>
            </w:r>
          </w:p>
        </w:tc>
        <w:tc>
          <w:tcPr>
            <w:tcW w:w="5580" w:type="dxa"/>
            <w:gridSpan w:val="4"/>
          </w:tcPr>
          <w:p w:rsidR="000001B8" w:rsidRPr="009B2D44" w:rsidRDefault="000001B8" w:rsidP="009C5357">
            <w:pPr>
              <w:pStyle w:val="13"/>
              <w:rPr>
                <w:vertAlign w:val="superscript"/>
              </w:rPr>
            </w:pPr>
            <w:r w:rsidRPr="009B2D44">
              <w:t>Концентрация, мг/м</w:t>
            </w:r>
            <w:r w:rsidRPr="009B2D44">
              <w:rPr>
                <w:vertAlign w:val="superscript"/>
              </w:rPr>
              <w:t>3</w:t>
            </w:r>
          </w:p>
        </w:tc>
      </w:tr>
      <w:tr w:rsidR="000001B8" w:rsidRPr="009B2D44" w:rsidTr="008142CD">
        <w:trPr>
          <w:cantSplit/>
          <w:trHeight w:val="320"/>
          <w:jc w:val="center"/>
        </w:trPr>
        <w:tc>
          <w:tcPr>
            <w:tcW w:w="1514" w:type="dxa"/>
            <w:vMerge/>
          </w:tcPr>
          <w:p w:rsidR="000001B8" w:rsidRPr="009B2D44" w:rsidRDefault="000001B8" w:rsidP="009C5357">
            <w:pPr>
              <w:pStyle w:val="13"/>
            </w:pPr>
          </w:p>
        </w:tc>
        <w:tc>
          <w:tcPr>
            <w:tcW w:w="1397" w:type="dxa"/>
            <w:vMerge/>
          </w:tcPr>
          <w:p w:rsidR="000001B8" w:rsidRPr="009B2D44" w:rsidRDefault="000001B8" w:rsidP="009C5357">
            <w:pPr>
              <w:pStyle w:val="13"/>
            </w:pPr>
          </w:p>
        </w:tc>
        <w:tc>
          <w:tcPr>
            <w:tcW w:w="1619" w:type="dxa"/>
          </w:tcPr>
          <w:p w:rsidR="000001B8" w:rsidRPr="009B2D44" w:rsidRDefault="000001B8" w:rsidP="009C5357">
            <w:pPr>
              <w:pStyle w:val="13"/>
            </w:pPr>
            <w:r w:rsidRPr="009B2D44">
              <w:t>Сажа - частицы</w:t>
            </w:r>
          </w:p>
        </w:tc>
        <w:tc>
          <w:tcPr>
            <w:tcW w:w="1081" w:type="dxa"/>
            <w:vAlign w:val="center"/>
          </w:tcPr>
          <w:p w:rsidR="000001B8" w:rsidRPr="009B2D44" w:rsidRDefault="000001B8" w:rsidP="009C5357">
            <w:pPr>
              <w:pStyle w:val="13"/>
              <w:rPr>
                <w:vertAlign w:val="subscript"/>
              </w:rPr>
            </w:pPr>
            <w:r w:rsidRPr="009B2D44">
              <w:rPr>
                <w:lang w:val="en-US"/>
              </w:rPr>
              <w:t>NO</w:t>
            </w:r>
            <w:r w:rsidRPr="009B2D44">
              <w:rPr>
                <w:vertAlign w:val="subscript"/>
                <w:lang w:val="en-US"/>
              </w:rPr>
              <w:t>X</w:t>
            </w:r>
          </w:p>
        </w:tc>
        <w:tc>
          <w:tcPr>
            <w:tcW w:w="1440" w:type="dxa"/>
            <w:vAlign w:val="center"/>
          </w:tcPr>
          <w:p w:rsidR="000001B8" w:rsidRPr="009B2D44" w:rsidRDefault="000001B8" w:rsidP="009C5357">
            <w:pPr>
              <w:pStyle w:val="13"/>
              <w:rPr>
                <w:lang w:val="en-US"/>
              </w:rPr>
            </w:pPr>
            <w:r w:rsidRPr="009B2D44">
              <w:rPr>
                <w:lang w:val="en-US"/>
              </w:rPr>
              <w:t>C</w:t>
            </w:r>
            <w:r w:rsidRPr="009B2D44">
              <w:rPr>
                <w:vertAlign w:val="subscript"/>
                <w:lang w:val="en-US"/>
              </w:rPr>
              <w:t>X</w:t>
            </w:r>
            <w:r w:rsidRPr="009B2D44">
              <w:rPr>
                <w:lang w:val="en-US"/>
              </w:rPr>
              <w:t>H</w:t>
            </w:r>
            <w:r w:rsidRPr="009B2D44">
              <w:rPr>
                <w:vertAlign w:val="subscript"/>
                <w:lang w:val="en-US"/>
              </w:rPr>
              <w:t>Y</w:t>
            </w:r>
          </w:p>
        </w:tc>
        <w:tc>
          <w:tcPr>
            <w:tcW w:w="1440" w:type="dxa"/>
            <w:vAlign w:val="center"/>
          </w:tcPr>
          <w:p w:rsidR="000001B8" w:rsidRPr="009B2D44" w:rsidRDefault="000001B8" w:rsidP="009C5357">
            <w:pPr>
              <w:pStyle w:val="13"/>
              <w:rPr>
                <w:lang w:val="en-US"/>
              </w:rPr>
            </w:pPr>
            <w:r w:rsidRPr="009B2D44">
              <w:rPr>
                <w:lang w:val="en-US"/>
              </w:rPr>
              <w:t>CO</w:t>
            </w:r>
          </w:p>
        </w:tc>
      </w:tr>
      <w:tr w:rsidR="000001B8" w:rsidRPr="009B2D44" w:rsidTr="008142CD">
        <w:trPr>
          <w:cantSplit/>
          <w:jc w:val="center"/>
        </w:trPr>
        <w:tc>
          <w:tcPr>
            <w:tcW w:w="1514" w:type="dxa"/>
          </w:tcPr>
          <w:p w:rsidR="000001B8" w:rsidRPr="009B2D44" w:rsidRDefault="000001B8" w:rsidP="009C5357">
            <w:pPr>
              <w:pStyle w:val="13"/>
              <w:rPr>
                <w:lang w:val="en-US"/>
              </w:rPr>
            </w:pPr>
            <w:r w:rsidRPr="009B2D44">
              <w:t>Евро</w:t>
            </w:r>
            <w:r w:rsidRPr="009B2D44">
              <w:rPr>
                <w:lang w:val="en-US"/>
              </w:rPr>
              <w:t xml:space="preserve"> 1</w:t>
            </w:r>
            <w:r w:rsidRPr="009B2D44">
              <w:rPr>
                <w:vertAlign w:val="superscript"/>
                <w:lang w:val="en-US"/>
              </w:rPr>
              <w:t>*</w:t>
            </w:r>
          </w:p>
        </w:tc>
        <w:tc>
          <w:tcPr>
            <w:tcW w:w="1397" w:type="dxa"/>
          </w:tcPr>
          <w:p w:rsidR="000001B8" w:rsidRPr="009B2D44" w:rsidRDefault="000001B8" w:rsidP="009C5357">
            <w:pPr>
              <w:pStyle w:val="13"/>
            </w:pPr>
            <w:r w:rsidRPr="009B2D44">
              <w:t>1993</w:t>
            </w:r>
          </w:p>
        </w:tc>
        <w:tc>
          <w:tcPr>
            <w:tcW w:w="1619" w:type="dxa"/>
          </w:tcPr>
          <w:p w:rsidR="000001B8" w:rsidRPr="009B2D44" w:rsidRDefault="000001B8" w:rsidP="009C5357">
            <w:pPr>
              <w:pStyle w:val="13"/>
            </w:pPr>
            <w:r w:rsidRPr="009B2D44">
              <w:t>- / 0,14</w:t>
            </w:r>
          </w:p>
        </w:tc>
        <w:tc>
          <w:tcPr>
            <w:tcW w:w="2521" w:type="dxa"/>
            <w:gridSpan w:val="2"/>
          </w:tcPr>
          <w:p w:rsidR="000001B8" w:rsidRPr="009B2D44" w:rsidRDefault="000001B8" w:rsidP="009C5357">
            <w:pPr>
              <w:pStyle w:val="13"/>
              <w:rPr>
                <w:vertAlign w:val="superscript"/>
              </w:rPr>
            </w:pPr>
            <w:r w:rsidRPr="009B2D44">
              <w:t>0,97 / 0,97</w:t>
            </w:r>
            <w:r w:rsidRPr="009B2D44">
              <w:rPr>
                <w:vertAlign w:val="superscript"/>
              </w:rPr>
              <w:t>**</w:t>
            </w:r>
          </w:p>
        </w:tc>
        <w:tc>
          <w:tcPr>
            <w:tcW w:w="1440" w:type="dxa"/>
          </w:tcPr>
          <w:p w:rsidR="000001B8" w:rsidRPr="009B2D44" w:rsidRDefault="000001B8" w:rsidP="009C5357">
            <w:pPr>
              <w:pStyle w:val="13"/>
            </w:pPr>
            <w:r w:rsidRPr="009B2D44">
              <w:t>2,72 / 2,72</w:t>
            </w:r>
          </w:p>
        </w:tc>
      </w:tr>
      <w:tr w:rsidR="000001B8" w:rsidRPr="009B2D44" w:rsidTr="008142CD">
        <w:trPr>
          <w:cantSplit/>
          <w:jc w:val="center"/>
        </w:trPr>
        <w:tc>
          <w:tcPr>
            <w:tcW w:w="1514" w:type="dxa"/>
          </w:tcPr>
          <w:p w:rsidR="000001B8" w:rsidRPr="009B2D44" w:rsidRDefault="000001B8" w:rsidP="009C5357">
            <w:pPr>
              <w:pStyle w:val="13"/>
            </w:pPr>
            <w:r w:rsidRPr="009B2D44">
              <w:t>Евро 2</w:t>
            </w:r>
          </w:p>
        </w:tc>
        <w:tc>
          <w:tcPr>
            <w:tcW w:w="1397" w:type="dxa"/>
          </w:tcPr>
          <w:p w:rsidR="000001B8" w:rsidRPr="009B2D44" w:rsidRDefault="000001B8" w:rsidP="009C5357">
            <w:pPr>
              <w:pStyle w:val="13"/>
            </w:pPr>
            <w:r w:rsidRPr="009B2D44">
              <w:t>1996</w:t>
            </w:r>
          </w:p>
        </w:tc>
        <w:tc>
          <w:tcPr>
            <w:tcW w:w="1619" w:type="dxa"/>
          </w:tcPr>
          <w:p w:rsidR="000001B8" w:rsidRPr="009B2D44" w:rsidRDefault="000001B8" w:rsidP="009C5357">
            <w:pPr>
              <w:pStyle w:val="13"/>
            </w:pPr>
            <w:r w:rsidRPr="009B2D44">
              <w:t>- / 0,08</w:t>
            </w:r>
          </w:p>
        </w:tc>
        <w:tc>
          <w:tcPr>
            <w:tcW w:w="2521" w:type="dxa"/>
            <w:gridSpan w:val="2"/>
          </w:tcPr>
          <w:p w:rsidR="000001B8" w:rsidRPr="009B2D44" w:rsidRDefault="000001B8" w:rsidP="009C5357">
            <w:pPr>
              <w:pStyle w:val="13"/>
              <w:rPr>
                <w:vertAlign w:val="superscript"/>
              </w:rPr>
            </w:pPr>
            <w:r w:rsidRPr="009B2D44">
              <w:t>0,5 / 0,67</w:t>
            </w:r>
            <w:r w:rsidRPr="009B2D44">
              <w:rPr>
                <w:vertAlign w:val="superscript"/>
              </w:rPr>
              <w:t>**</w:t>
            </w:r>
          </w:p>
        </w:tc>
        <w:tc>
          <w:tcPr>
            <w:tcW w:w="1440" w:type="dxa"/>
          </w:tcPr>
          <w:p w:rsidR="000001B8" w:rsidRPr="009B2D44" w:rsidRDefault="000001B8" w:rsidP="009C5357">
            <w:pPr>
              <w:pStyle w:val="13"/>
            </w:pPr>
            <w:r w:rsidRPr="009B2D44">
              <w:t>2,2 / 1,0</w:t>
            </w:r>
          </w:p>
        </w:tc>
      </w:tr>
      <w:tr w:rsidR="000001B8" w:rsidRPr="009B2D44" w:rsidTr="008142CD">
        <w:trPr>
          <w:jc w:val="center"/>
        </w:trPr>
        <w:tc>
          <w:tcPr>
            <w:tcW w:w="1514" w:type="dxa"/>
          </w:tcPr>
          <w:p w:rsidR="000001B8" w:rsidRPr="009B2D44" w:rsidRDefault="000001B8" w:rsidP="009C5357">
            <w:pPr>
              <w:pStyle w:val="13"/>
            </w:pPr>
            <w:r w:rsidRPr="009B2D44">
              <w:t>Евро 3</w:t>
            </w:r>
          </w:p>
        </w:tc>
        <w:tc>
          <w:tcPr>
            <w:tcW w:w="1397" w:type="dxa"/>
          </w:tcPr>
          <w:p w:rsidR="000001B8" w:rsidRPr="009B2D44" w:rsidRDefault="000001B8" w:rsidP="009C5357">
            <w:pPr>
              <w:pStyle w:val="13"/>
            </w:pPr>
            <w:r w:rsidRPr="009B2D44">
              <w:t>2000</w:t>
            </w:r>
          </w:p>
        </w:tc>
        <w:tc>
          <w:tcPr>
            <w:tcW w:w="1619" w:type="dxa"/>
          </w:tcPr>
          <w:p w:rsidR="000001B8" w:rsidRPr="009B2D44" w:rsidRDefault="000001B8" w:rsidP="009C5357">
            <w:pPr>
              <w:pStyle w:val="13"/>
            </w:pPr>
            <w:r w:rsidRPr="009B2D44">
              <w:t>- / 0,05</w:t>
            </w:r>
          </w:p>
        </w:tc>
        <w:tc>
          <w:tcPr>
            <w:tcW w:w="1081" w:type="dxa"/>
          </w:tcPr>
          <w:p w:rsidR="000001B8" w:rsidRPr="009B2D44" w:rsidRDefault="000001B8" w:rsidP="009C5357">
            <w:pPr>
              <w:pStyle w:val="13"/>
            </w:pPr>
            <w:r w:rsidRPr="009B2D44">
              <w:t>0,14 / 0,5</w:t>
            </w:r>
          </w:p>
        </w:tc>
        <w:tc>
          <w:tcPr>
            <w:tcW w:w="1440" w:type="dxa"/>
          </w:tcPr>
          <w:p w:rsidR="000001B8" w:rsidRPr="009B2D44" w:rsidRDefault="000001B8" w:rsidP="009C5357">
            <w:pPr>
              <w:pStyle w:val="13"/>
            </w:pPr>
            <w:r w:rsidRPr="009B2D44">
              <w:t>0,17 / 0,06</w:t>
            </w:r>
          </w:p>
        </w:tc>
        <w:tc>
          <w:tcPr>
            <w:tcW w:w="1440" w:type="dxa"/>
          </w:tcPr>
          <w:p w:rsidR="000001B8" w:rsidRPr="009B2D44" w:rsidRDefault="000001B8" w:rsidP="009C5357">
            <w:pPr>
              <w:pStyle w:val="13"/>
            </w:pPr>
            <w:r w:rsidRPr="009B2D44">
              <w:t>1,5 / 0,6</w:t>
            </w:r>
          </w:p>
        </w:tc>
      </w:tr>
      <w:tr w:rsidR="000001B8" w:rsidRPr="009B2D44" w:rsidTr="008142CD">
        <w:trPr>
          <w:trHeight w:val="335"/>
          <w:jc w:val="center"/>
        </w:trPr>
        <w:tc>
          <w:tcPr>
            <w:tcW w:w="1514" w:type="dxa"/>
          </w:tcPr>
          <w:p w:rsidR="000001B8" w:rsidRPr="009B2D44" w:rsidRDefault="000001B8" w:rsidP="009C5357">
            <w:pPr>
              <w:pStyle w:val="13"/>
            </w:pPr>
            <w:r w:rsidRPr="009B2D44">
              <w:t>Евро 4</w:t>
            </w:r>
          </w:p>
        </w:tc>
        <w:tc>
          <w:tcPr>
            <w:tcW w:w="1397" w:type="dxa"/>
          </w:tcPr>
          <w:p w:rsidR="000001B8" w:rsidRPr="009B2D44" w:rsidRDefault="000001B8" w:rsidP="009C5357">
            <w:pPr>
              <w:pStyle w:val="13"/>
            </w:pPr>
            <w:r w:rsidRPr="009B2D44">
              <w:t>2005</w:t>
            </w:r>
          </w:p>
        </w:tc>
        <w:tc>
          <w:tcPr>
            <w:tcW w:w="1619" w:type="dxa"/>
          </w:tcPr>
          <w:p w:rsidR="000001B8" w:rsidRPr="009B2D44" w:rsidRDefault="000001B8" w:rsidP="009C5357">
            <w:pPr>
              <w:pStyle w:val="13"/>
            </w:pPr>
            <w:r w:rsidRPr="009B2D44">
              <w:t>- / 0,025</w:t>
            </w:r>
          </w:p>
        </w:tc>
        <w:tc>
          <w:tcPr>
            <w:tcW w:w="1081" w:type="dxa"/>
          </w:tcPr>
          <w:p w:rsidR="000001B8" w:rsidRPr="009B2D44" w:rsidRDefault="000001B8" w:rsidP="009C5357">
            <w:pPr>
              <w:pStyle w:val="13"/>
            </w:pPr>
            <w:r w:rsidRPr="009B2D44">
              <w:t>0,07 / 0,25</w:t>
            </w:r>
          </w:p>
        </w:tc>
        <w:tc>
          <w:tcPr>
            <w:tcW w:w="1440" w:type="dxa"/>
          </w:tcPr>
          <w:p w:rsidR="000001B8" w:rsidRPr="009B2D44" w:rsidRDefault="000001B8" w:rsidP="009C5357">
            <w:pPr>
              <w:pStyle w:val="13"/>
            </w:pPr>
            <w:r w:rsidRPr="009B2D44">
              <w:t>0,08 / 0,05</w:t>
            </w:r>
          </w:p>
        </w:tc>
        <w:tc>
          <w:tcPr>
            <w:tcW w:w="1440" w:type="dxa"/>
          </w:tcPr>
          <w:p w:rsidR="000001B8" w:rsidRPr="009B2D44" w:rsidRDefault="000001B8" w:rsidP="009C5357">
            <w:pPr>
              <w:pStyle w:val="13"/>
            </w:pPr>
            <w:r w:rsidRPr="009B2D44">
              <w:t>0,7 / 0,47</w:t>
            </w:r>
          </w:p>
        </w:tc>
      </w:tr>
      <w:tr w:rsidR="000001B8" w:rsidRPr="009B2D44" w:rsidTr="00045F02">
        <w:trPr>
          <w:trHeight w:val="335"/>
          <w:jc w:val="center"/>
        </w:trPr>
        <w:tc>
          <w:tcPr>
            <w:tcW w:w="8491" w:type="dxa"/>
            <w:gridSpan w:val="6"/>
          </w:tcPr>
          <w:p w:rsidR="000001B8" w:rsidRPr="009B2D44" w:rsidRDefault="000001B8" w:rsidP="009C5357">
            <w:pPr>
              <w:pStyle w:val="13"/>
            </w:pPr>
            <w:r w:rsidRPr="009B2D44">
              <w:t>Примечания: * - В России введено с 1999 года. ** - (</w:t>
            </w:r>
            <w:r w:rsidRPr="009B2D44">
              <w:rPr>
                <w:lang w:val="en-US"/>
              </w:rPr>
              <w:t>NO</w:t>
            </w:r>
            <w:r w:rsidRPr="009B2D44">
              <w:rPr>
                <w:vertAlign w:val="subscript"/>
                <w:lang w:val="en-US"/>
              </w:rPr>
              <w:t>X</w:t>
            </w:r>
            <w:r w:rsidRPr="009B2D44">
              <w:t xml:space="preserve"> + </w:t>
            </w:r>
            <w:r w:rsidRPr="009B2D44">
              <w:rPr>
                <w:lang w:val="en-US"/>
              </w:rPr>
              <w:t>C</w:t>
            </w:r>
            <w:r w:rsidRPr="009B2D44">
              <w:rPr>
                <w:vertAlign w:val="subscript"/>
                <w:lang w:val="en-US"/>
              </w:rPr>
              <w:t>X</w:t>
            </w:r>
            <w:r w:rsidRPr="009B2D44">
              <w:rPr>
                <w:lang w:val="en-US"/>
              </w:rPr>
              <w:t>H</w:t>
            </w:r>
            <w:r w:rsidRPr="009B2D44">
              <w:rPr>
                <w:vertAlign w:val="subscript"/>
                <w:lang w:val="en-US"/>
              </w:rPr>
              <w:t>Y</w:t>
            </w:r>
            <w:r w:rsidRPr="009B2D44">
              <w:t xml:space="preserve">). В числителе – для бензиновых, в знаменателе – для дизельных </w:t>
            </w:r>
          </w:p>
        </w:tc>
      </w:tr>
    </w:tbl>
    <w:p w:rsidR="000E7E78" w:rsidRPr="009B2D44" w:rsidRDefault="000E7E7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К законодательным актам РФ на услуги, оговаривающим права и обязанности исполнителя и потребителя услуг, а также содержащие обязательные требования качества, относятся ГК РФ, ФЗ: «О защите прав потребителей», «О безопасности дорожного движения», «О стандартизации», «О сертификации продукции и услуг» и др.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Подзаконные нормативно-правовые акты охватывают: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-</w:t>
      </w:r>
      <w:r w:rsidRPr="009B2D44">
        <w:rPr>
          <w:bCs/>
          <w:sz w:val="28"/>
          <w:szCs w:val="28"/>
        </w:rPr>
        <w:tab/>
        <w:t xml:space="preserve">Постановления правительства РФ и утвержденные ими «Правила» и «Положения», такие, например, как «Правила предоставления услуг по техническому обслуживанию и ремонту автомототранспортных средств», «Положение о проведении государственного технического осмотра автомототранспортных средств и прицепов к ним ГИБДД МВД РФ», «Правила бытового обслуживания населения РФ» и др., 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-</w:t>
      </w:r>
      <w:r w:rsidRPr="009B2D44">
        <w:rPr>
          <w:bCs/>
          <w:sz w:val="28"/>
          <w:szCs w:val="28"/>
        </w:rPr>
        <w:tab/>
        <w:t>приказы и постановления отдельных министерств и ведомств РФ, например, «Требования по обеспечению безопасности автобусных перевозок в РФ» – приказ МВД РФ и др.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Рынок услуг представлен значительным числом видом деятельности, способных удовлетворять любые запросы потребителей. По своей направленности эти услуги могут иметь производственный и социально-культурный характер, и для них присущи все признаки услуг: на них влияют условия обслуживания, они носят личностный характер, их нельзя транспортировать и т.д. Существует множество вариантов классификации услуг, например, по степени потребительской ориентации, по трудоемкости, по стоимости.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2D44">
        <w:rPr>
          <w:bCs/>
          <w:sz w:val="28"/>
          <w:szCs w:val="28"/>
        </w:rPr>
        <w:t>Сегодня на предприятиях сферы бытовых услуг действует общероссийский классификатор услуг населению ОК 002 – 93. Классификатор построен по иерархическому методу классификации. Уровни иерархии услуг в классификаторе ОК–002-93 показаны на рисунке 4.</w:t>
      </w:r>
    </w:p>
    <w:p w:rsidR="000001B8" w:rsidRPr="009B2D44" w:rsidRDefault="000001B8" w:rsidP="000E7E78">
      <w:pPr>
        <w:pStyle w:val="a7"/>
        <w:tabs>
          <w:tab w:val="num" w:pos="-180"/>
        </w:tabs>
        <w:spacing w:line="360" w:lineRule="auto"/>
        <w:rPr>
          <w:szCs w:val="28"/>
        </w:rPr>
      </w:pPr>
      <w:r w:rsidRPr="009B2D44">
        <w:rPr>
          <w:szCs w:val="28"/>
        </w:rPr>
        <w:t>Классификатор услуг населению является основой для создания нормативной базы, определяющей качество услуги на всех этапах ее формирования.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Согласно классификации ИСО/МЭК имеются следующие виды стандартов: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-</w:t>
      </w:r>
      <w:r w:rsidRPr="009B2D44">
        <w:rPr>
          <w:noProof/>
          <w:sz w:val="28"/>
          <w:szCs w:val="28"/>
        </w:rPr>
        <w:tab/>
        <w:t>основополагающий стандарт – нормативный документ, который содержит общие или руководящие положения для определенной области;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-</w:t>
      </w:r>
      <w:r w:rsidRPr="009B2D44">
        <w:rPr>
          <w:noProof/>
          <w:sz w:val="28"/>
          <w:szCs w:val="28"/>
        </w:rPr>
        <w:tab/>
        <w:t>терминологический стандарт, в котором объектом стандартизации являются термины;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-</w:t>
      </w:r>
      <w:r w:rsidRPr="009B2D44">
        <w:rPr>
          <w:noProof/>
          <w:sz w:val="28"/>
          <w:szCs w:val="28"/>
        </w:rPr>
        <w:tab/>
        <w:t>стандарт на методы испытаний устанавливает методики, правила, процедуры различных испытаний и сопряженных с ними действий (например, отбор проб и др.);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-</w:t>
      </w:r>
      <w:r w:rsidRPr="009B2D44">
        <w:rPr>
          <w:noProof/>
          <w:sz w:val="28"/>
          <w:szCs w:val="28"/>
        </w:rPr>
        <w:tab/>
        <w:t xml:space="preserve">стандарт на продукцию содержит требования к продукции, которые обеспечивают соответствие продукции ее назначению. Различают неполный стандарт, содержащий только часть требований к продукции, например, только к параметрам качества и полный стандарт, который содержит не только все требования к продукции, но и правила или методы испытаний, отбора проб и т.п., например, ГОСТ Р 51709 – 2001 – </w:t>
      </w:r>
      <w:r w:rsidRPr="009B2D44">
        <w:rPr>
          <w:sz w:val="28"/>
          <w:szCs w:val="28"/>
        </w:rPr>
        <w:t>«</w:t>
      </w:r>
      <w:r w:rsidRPr="009B2D44">
        <w:rPr>
          <w:noProof/>
          <w:sz w:val="28"/>
          <w:szCs w:val="28"/>
        </w:rPr>
        <w:t>Автотранспортные средства. Требования безопасности к техническому состоянию и методы проверки</w:t>
      </w:r>
      <w:r w:rsidRPr="009B2D44">
        <w:rPr>
          <w:sz w:val="28"/>
          <w:szCs w:val="28"/>
        </w:rPr>
        <w:t>»</w:t>
      </w:r>
      <w:r w:rsidRPr="009B2D44">
        <w:rPr>
          <w:noProof/>
          <w:sz w:val="28"/>
          <w:szCs w:val="28"/>
        </w:rPr>
        <w:t>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-</w:t>
      </w:r>
      <w:r w:rsidRPr="009B2D44">
        <w:rPr>
          <w:noProof/>
          <w:sz w:val="28"/>
          <w:szCs w:val="28"/>
        </w:rPr>
        <w:tab/>
        <w:t xml:space="preserve">стандарт на процесс, стандарт на услугу - нормативные документы, в которых объектом стандартизации выступают соответственно процесс или услуга, например, ГОСТ 25478 – 91 – </w:t>
      </w:r>
      <w:r w:rsidRPr="009B2D44">
        <w:rPr>
          <w:sz w:val="28"/>
          <w:szCs w:val="28"/>
        </w:rPr>
        <w:t>«</w:t>
      </w:r>
      <w:r w:rsidRPr="009B2D44">
        <w:rPr>
          <w:noProof/>
          <w:sz w:val="28"/>
          <w:szCs w:val="28"/>
        </w:rPr>
        <w:t>Положение о техническом обслуживании и ремонте подвижного состава автомобильного транспорта</w:t>
      </w:r>
      <w:r w:rsidRPr="009B2D44">
        <w:rPr>
          <w:sz w:val="28"/>
          <w:szCs w:val="28"/>
        </w:rPr>
        <w:t>»</w:t>
      </w:r>
      <w:r w:rsidRPr="009B2D44">
        <w:rPr>
          <w:noProof/>
          <w:sz w:val="28"/>
          <w:szCs w:val="28"/>
        </w:rPr>
        <w:t>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-</w:t>
      </w:r>
      <w:r w:rsidRPr="009B2D44">
        <w:rPr>
          <w:noProof/>
          <w:sz w:val="28"/>
          <w:szCs w:val="28"/>
        </w:rPr>
        <w:tab/>
        <w:t>стандарт на совместимость устанавливает требования, касающиеся совместимости продукта в целом, а также его отдельных частей. Такой стандарт разрабатывается также на систему в целом, например, на систему сигнализации.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Государственные стандарты (ГОСТ Р) разрабатываются на продукцию, работы и услуги, потребности в которых носят межотраслевой характер. В государственных стандартах содержатся как обязательные для выполнения требования к объекту стандартизации, так и рекомедательные.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Потребительские (эксплуатационные) требования и методы их контроля признаются обязательными, если имеется соответствующее указание в технической документации изготовителя или исполнителя услуг.</w:t>
      </w:r>
    </w:p>
    <w:p w:rsidR="000E7E78" w:rsidRPr="009B2D44" w:rsidRDefault="000E7E7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0001B8" w:rsidRPr="009B2D44" w:rsidRDefault="00E1693E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28" type="#_x0000_t75" style="width:252pt;height:300pt">
            <v:imagedata r:id="rId10" o:title=""/>
          </v:shape>
        </w:pict>
      </w:r>
    </w:p>
    <w:p w:rsidR="000E7E78" w:rsidRPr="009B2D44" w:rsidRDefault="000E7E78" w:rsidP="000E7E78">
      <w:pPr>
        <w:pStyle w:val="a9"/>
        <w:spacing w:line="360" w:lineRule="auto"/>
        <w:ind w:firstLine="709"/>
      </w:pPr>
      <w:r w:rsidRPr="009B2D44">
        <w:t xml:space="preserve">Рис. 4 </w:t>
      </w:r>
    </w:p>
    <w:p w:rsidR="000001B8" w:rsidRPr="009B2D44" w:rsidRDefault="00E1693E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27" style="position:absolute;left:0;text-align:left;flip:x;z-index:251657216" from="-36pt,4.2pt" to="-28.8pt,4.2pt"/>
        </w:pict>
      </w:r>
      <w:r w:rsidR="000001B8" w:rsidRPr="009B2D44">
        <w:rPr>
          <w:noProof/>
          <w:sz w:val="28"/>
          <w:szCs w:val="28"/>
        </w:rPr>
        <w:t>Отраслевые стандарты (ОСТ) разрабатываются применительно к продукции, работам, процессам, услугам в определенной отрасли экономики. Их требования не должны противоречить ГОСТ Р.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Стандарты предприятий (СТП) разрабатываются и принимаются самим предприятием. Объектами стандартизации явлются составляющие элементы организации и управления производством.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B2D44">
        <w:rPr>
          <w:noProof/>
          <w:sz w:val="28"/>
          <w:szCs w:val="28"/>
        </w:rPr>
        <w:t>Технические условия (ТУ) разрабатывается предприятием на собственную продукцию или услуги в том случае, когда стандарт создавать нецелесообразно.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noProof/>
          <w:sz w:val="28"/>
          <w:szCs w:val="28"/>
        </w:rPr>
        <w:t xml:space="preserve">В соответствии с Законом </w:t>
      </w:r>
      <w:r w:rsidRPr="009B2D44">
        <w:rPr>
          <w:sz w:val="28"/>
          <w:szCs w:val="28"/>
        </w:rPr>
        <w:t>« О стандартизации» ТУ отнесены к технической, а не нормативной документации. В то же время установлено, что ТУ рассматриваются как нормативные документы, если на них есть ссылка в контрактах или договорах на поставку продукции или услуг.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Кроме перечисленных нормативных документов на предприятиях используется ряд технических документов, которые носят характер нормативных актов. К ним относят: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РД – руководящий документ, например, РД 37.00613 – 97 – «Шаровые шарниры автотранспортных средств. Общие технические требования и методы испытаний»;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РТМ – руководящие технические материалы, например, РТМ 37.00027 – 88 – «приемка легковых автомобилей станциями технического обслуживания. Общие положения»;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РТ, РК – руководство по текущему, капитальному ремонту,</w:t>
      </w:r>
    </w:p>
    <w:p w:rsidR="000001B8" w:rsidRPr="009B2D44" w:rsidRDefault="000001B8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2D44">
        <w:rPr>
          <w:sz w:val="28"/>
          <w:szCs w:val="28"/>
        </w:rPr>
        <w:t>-</w:t>
      </w:r>
      <w:r w:rsidRPr="009B2D44">
        <w:rPr>
          <w:sz w:val="28"/>
          <w:szCs w:val="28"/>
        </w:rPr>
        <w:tab/>
        <w:t>Р – руководство по эксплуатации, например, Р 3112199 – 0306 – 89 «Руководство по эксплуатации легкового индивидуального автотранспорта, переоборудованного для работы на сжиженном нефтяном газе» и др.</w:t>
      </w:r>
    </w:p>
    <w:p w:rsidR="004C133F" w:rsidRPr="009B2D44" w:rsidRDefault="004C133F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4C133F" w:rsidRPr="009B2D44" w:rsidRDefault="000E7E78" w:rsidP="000E7E78">
      <w:pPr>
        <w:pStyle w:val="a5"/>
        <w:spacing w:line="360" w:lineRule="auto"/>
        <w:jc w:val="both"/>
      </w:pPr>
      <w:r w:rsidRPr="009B2D44">
        <w:br w:type="page"/>
      </w:r>
      <w:r w:rsidR="004C133F" w:rsidRPr="009B2D44">
        <w:t>Б</w:t>
      </w:r>
      <w:r w:rsidR="00044636" w:rsidRPr="009B2D44">
        <w:t>иблиографический список</w:t>
      </w:r>
    </w:p>
    <w:p w:rsidR="004C133F" w:rsidRPr="009B2D44" w:rsidRDefault="004C133F" w:rsidP="000E7E78">
      <w:pPr>
        <w:widowControl/>
        <w:spacing w:line="360" w:lineRule="auto"/>
        <w:ind w:left="0" w:firstLine="709"/>
        <w:jc w:val="both"/>
        <w:rPr>
          <w:sz w:val="28"/>
          <w:szCs w:val="24"/>
        </w:rPr>
      </w:pP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kern w:val="20"/>
          <w:sz w:val="28"/>
          <w:szCs w:val="24"/>
        </w:rPr>
      </w:pPr>
      <w:r w:rsidRPr="009B2D44">
        <w:rPr>
          <w:kern w:val="20"/>
          <w:sz w:val="28"/>
          <w:szCs w:val="24"/>
        </w:rPr>
        <w:t>Стандартизация и сертификация в сфере услуг [Текст]: учебн. пособие для вузов/под ред. А.В.Ракова. – М.: Мастерство, 2010. – 208 с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Коммерческое товароведение и экспертиза[Текст]: учебн. пособие для вузов/Г.А.Васильев [и др.]; отв. ред. Г.А.Васильева и Н.А. Нагапетьянца. – М.: Банки и биржи, ЮНИТИ, 2008. – 135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Товарная экспертиза [Текст]: учебник для вузов / Н.М.Чечеткина, Т.И. Путилина, В.В. Горбунева. – Ростов н / Д: Феникс, 2010. – 512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Кравец, В.Н. Законодательные и потребительские требования к автомобилям [Текст]/ В.Н.</w:t>
      </w:r>
      <w:r w:rsidR="00320031">
        <w:rPr>
          <w:kern w:val="20"/>
          <w:sz w:val="28"/>
          <w:szCs w:val="24"/>
        </w:rPr>
        <w:t xml:space="preserve"> </w:t>
      </w:r>
      <w:r w:rsidRPr="009B2D44">
        <w:rPr>
          <w:kern w:val="20"/>
          <w:sz w:val="28"/>
          <w:szCs w:val="24"/>
        </w:rPr>
        <w:t>Кравец, Е.В. Горынин.– Н.Новгород, 2009. – 176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 xml:space="preserve">Мороз, С.М. </w:t>
      </w:r>
      <w:r w:rsidRPr="009B2D44">
        <w:rPr>
          <w:sz w:val="28"/>
          <w:szCs w:val="24"/>
        </w:rPr>
        <w:t>Комментарий к ГОСТ Р 51709 – 2001 «Автотранспортные средства. Требования к техническому состоянию и методам проверки»</w:t>
      </w:r>
      <w:r w:rsidRPr="009B2D44">
        <w:rPr>
          <w:kern w:val="20"/>
          <w:sz w:val="28"/>
          <w:szCs w:val="24"/>
        </w:rPr>
        <w:t xml:space="preserve"> [Текст]/ С.М.</w:t>
      </w:r>
      <w:r w:rsidR="00320031">
        <w:rPr>
          <w:kern w:val="20"/>
          <w:sz w:val="28"/>
          <w:szCs w:val="24"/>
        </w:rPr>
        <w:t xml:space="preserve"> </w:t>
      </w:r>
      <w:r w:rsidRPr="009B2D44">
        <w:rPr>
          <w:kern w:val="20"/>
          <w:sz w:val="28"/>
          <w:szCs w:val="24"/>
        </w:rPr>
        <w:t>Мороз.- М.: Транспорт, 2008.-240с.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Хазаров, А.М. Диагностирование легковых автомобилей на станциях технического обслуживания [Текст]: учеб. пособие для вузов / А.М. Хазаров, А.М. Кривенко Е.И.– М.: Высшая школа, 2007. – 146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Андрианов, Ю.В. Оценка автотранспортных средств [Текст]/ Ю.В. Андрианов.– М.: Дело, 2008. – 488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Бешелев, С.Д.</w:t>
      </w:r>
      <w:r w:rsidR="000E7E78" w:rsidRPr="009B2D44">
        <w:rPr>
          <w:kern w:val="20"/>
          <w:sz w:val="28"/>
          <w:szCs w:val="24"/>
        </w:rPr>
        <w:t xml:space="preserve"> </w:t>
      </w:r>
      <w:r w:rsidRPr="009B2D44">
        <w:rPr>
          <w:kern w:val="20"/>
          <w:sz w:val="28"/>
          <w:szCs w:val="24"/>
        </w:rPr>
        <w:t>Математико-статистические методы экспертных оценок [Текст]/</w:t>
      </w:r>
      <w:r w:rsidR="000E7E78" w:rsidRPr="009B2D44">
        <w:rPr>
          <w:kern w:val="20"/>
          <w:sz w:val="28"/>
          <w:szCs w:val="24"/>
        </w:rPr>
        <w:t xml:space="preserve"> </w:t>
      </w:r>
      <w:r w:rsidRPr="009B2D44">
        <w:rPr>
          <w:kern w:val="20"/>
          <w:sz w:val="28"/>
          <w:szCs w:val="24"/>
        </w:rPr>
        <w:t>С.Д. Бешелев, Гурвич С.Ф. – М.: Высшая школа 2010. – 364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Марков, О.Д. Автосервис. Рынок - автомобиль – клиент [Текст]/ О.Д.Марков. – М.: Транспорт, 2009. - 270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sz w:val="28"/>
          <w:szCs w:val="24"/>
        </w:rPr>
        <w:t xml:space="preserve">Надежность машин </w:t>
      </w:r>
      <w:r w:rsidRPr="009B2D44">
        <w:rPr>
          <w:kern w:val="20"/>
          <w:sz w:val="28"/>
          <w:szCs w:val="24"/>
        </w:rPr>
        <w:t>[Текст]</w:t>
      </w:r>
      <w:r w:rsidRPr="009B2D44">
        <w:rPr>
          <w:sz w:val="28"/>
          <w:szCs w:val="24"/>
        </w:rPr>
        <w:t xml:space="preserve">: учебн. пособие для машиностр. спец. вузов/ Д.Н.Решетов </w:t>
      </w:r>
      <w:r w:rsidRPr="009B2D44">
        <w:rPr>
          <w:kern w:val="20"/>
          <w:sz w:val="28"/>
          <w:szCs w:val="24"/>
        </w:rPr>
        <w:t>[и др.]</w:t>
      </w:r>
      <w:r w:rsidRPr="009B2D44">
        <w:rPr>
          <w:sz w:val="28"/>
          <w:szCs w:val="24"/>
        </w:rPr>
        <w:t>; под общ. ред. Д.Н.Решетова. – М.: Высш. шк., 2008. – 238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sz w:val="28"/>
          <w:szCs w:val="24"/>
        </w:rPr>
        <w:t xml:space="preserve">Голубков, Е.П. Маркетинговые исследования: теория, методология и практика </w:t>
      </w:r>
      <w:r w:rsidRPr="009B2D44">
        <w:rPr>
          <w:kern w:val="20"/>
          <w:sz w:val="28"/>
          <w:szCs w:val="24"/>
        </w:rPr>
        <w:t>[Текст]</w:t>
      </w:r>
      <w:r w:rsidRPr="009B2D44">
        <w:rPr>
          <w:sz w:val="28"/>
          <w:szCs w:val="24"/>
        </w:rPr>
        <w:t>: учебник/ Е.П.Голубков. – Изд.3-е, перераб. и доп. – М.: Финпресс, 2010. – 496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Ротенберг, Р.В. Основы надежности системы водитель – автомобиль – дорога – среда [Текст]/ Р.В. Ротенберг.– М.: Машиностроение, 2007. – 216 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Волгин, В.В. Справочник по диагностике неисправностей автомобиля [Текст]/ В.В.Волгин. – М.: Транспорт, 2009. - 140с.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Волгин, В.В. Инструментальный контроль [Текст]/ В.В. Волгин. - М.: Транспорт, 2009. - 95с.</w:t>
      </w:r>
    </w:p>
    <w:p w:rsidR="004C133F" w:rsidRPr="009B2D44" w:rsidRDefault="004C133F" w:rsidP="00B562F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2D44">
        <w:rPr>
          <w:kern w:val="20"/>
          <w:sz w:val="28"/>
          <w:szCs w:val="24"/>
        </w:rPr>
        <w:t>Волгин, В.В. Автосервис и права потребителей [Текст]/ В.В. Волгин.– М.: Изд.-торг. Корпорация «Дашков и К</w:t>
      </w:r>
      <w:r w:rsidRPr="009B2D44">
        <w:rPr>
          <w:kern w:val="20"/>
          <w:sz w:val="28"/>
          <w:szCs w:val="24"/>
          <w:vertAlign w:val="superscript"/>
        </w:rPr>
        <w:t>о</w:t>
      </w:r>
      <w:r w:rsidRPr="009B2D44">
        <w:rPr>
          <w:kern w:val="20"/>
          <w:sz w:val="28"/>
          <w:szCs w:val="24"/>
        </w:rPr>
        <w:t>», 2008. –160 с.</w:t>
      </w:r>
    </w:p>
    <w:p w:rsidR="00B562FD" w:rsidRPr="00B562FD" w:rsidRDefault="00B562FD" w:rsidP="00B562FD">
      <w:pPr>
        <w:widowControl/>
        <w:spacing w:line="240" w:lineRule="auto"/>
        <w:ind w:left="0" w:firstLine="0"/>
        <w:jc w:val="center"/>
        <w:rPr>
          <w:rStyle w:val="FontStyle16"/>
          <w:rFonts w:eastAsia="MS PGothic"/>
          <w:bCs/>
          <w:iCs/>
          <w:color w:val="FFFFFF"/>
          <w:szCs w:val="24"/>
        </w:rPr>
      </w:pPr>
    </w:p>
    <w:p w:rsidR="003D41F0" w:rsidRPr="000E7E78" w:rsidRDefault="003D41F0" w:rsidP="000E7E78">
      <w:pPr>
        <w:widowControl/>
        <w:tabs>
          <w:tab w:val="num" w:pos="-180"/>
        </w:tabs>
        <w:spacing w:line="360" w:lineRule="auto"/>
        <w:ind w:left="0" w:firstLine="709"/>
        <w:jc w:val="both"/>
        <w:rPr>
          <w:sz w:val="28"/>
          <w:szCs w:val="24"/>
        </w:rPr>
      </w:pPr>
      <w:bookmarkStart w:id="0" w:name="_GoBack"/>
      <w:bookmarkEnd w:id="0"/>
    </w:p>
    <w:sectPr w:rsidR="003D41F0" w:rsidRPr="000E7E78" w:rsidSect="008142CD">
      <w:headerReference w:type="even" r:id="rId11"/>
      <w:headerReference w:type="default" r:id="rId12"/>
      <w:footerReference w:type="even" r:id="rId13"/>
      <w:footerReference w:type="default" r:id="rId14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5B" w:rsidRDefault="006E3E5B">
      <w:pPr>
        <w:widowControl/>
        <w:spacing w:line="240" w:lineRule="auto"/>
        <w:ind w:left="0" w:firstLine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E3E5B" w:rsidRDefault="006E3E5B">
      <w:pPr>
        <w:widowControl/>
        <w:spacing w:line="240" w:lineRule="auto"/>
        <w:ind w:left="0" w:firstLine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78" w:rsidRDefault="00A83EE8" w:rsidP="00045F0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0E7E78" w:rsidRDefault="000E7E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78" w:rsidRDefault="00A83EE8" w:rsidP="00045F0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1</w:t>
    </w:r>
  </w:p>
  <w:p w:rsidR="000E7E78" w:rsidRDefault="000E7E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5B" w:rsidRDefault="006E3E5B">
      <w:pPr>
        <w:widowControl/>
        <w:spacing w:line="240" w:lineRule="auto"/>
        <w:ind w:left="0" w:firstLine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E3E5B" w:rsidRDefault="006E3E5B">
      <w:pPr>
        <w:widowControl/>
        <w:spacing w:line="240" w:lineRule="auto"/>
        <w:ind w:left="0" w:firstLine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FD" w:rsidRPr="006A2134" w:rsidRDefault="00B562FD" w:rsidP="00B562FD">
    <w:pPr>
      <w:pStyle w:val="ae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FD" w:rsidRPr="006A2134" w:rsidRDefault="00B562FD" w:rsidP="00B562FD">
    <w:pPr>
      <w:pStyle w:val="ae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5F3"/>
    <w:multiLevelType w:val="singleLevel"/>
    <w:tmpl w:val="0ED6ABD2"/>
    <w:lvl w:ilvl="0"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7D2C50"/>
    <w:multiLevelType w:val="hybridMultilevel"/>
    <w:tmpl w:val="202A4CD4"/>
    <w:lvl w:ilvl="0" w:tplc="CAF21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CC2929"/>
    <w:multiLevelType w:val="hybridMultilevel"/>
    <w:tmpl w:val="FB269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E020E"/>
    <w:multiLevelType w:val="hybridMultilevel"/>
    <w:tmpl w:val="6C7C3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644C"/>
    <w:multiLevelType w:val="hybridMultilevel"/>
    <w:tmpl w:val="45900E6C"/>
    <w:lvl w:ilvl="0" w:tplc="83B2AC52">
      <w:start w:val="1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  <w:rPr>
        <w:rFonts w:cs="Times New Roman"/>
      </w:rPr>
    </w:lvl>
  </w:abstractNum>
  <w:abstractNum w:abstractNumId="5">
    <w:nsid w:val="15CC5E79"/>
    <w:multiLevelType w:val="singleLevel"/>
    <w:tmpl w:val="2982CF58"/>
    <w:lvl w:ilvl="0"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hint="default"/>
      </w:rPr>
    </w:lvl>
  </w:abstractNum>
  <w:abstractNum w:abstractNumId="6">
    <w:nsid w:val="167F29CD"/>
    <w:multiLevelType w:val="hybridMultilevel"/>
    <w:tmpl w:val="BF581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6E63D6F"/>
    <w:multiLevelType w:val="hybridMultilevel"/>
    <w:tmpl w:val="5B844FB0"/>
    <w:lvl w:ilvl="0" w:tplc="08F2B0D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7595F7B"/>
    <w:multiLevelType w:val="hybridMultilevel"/>
    <w:tmpl w:val="B31832E0"/>
    <w:lvl w:ilvl="0" w:tplc="247E526E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95B5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43374FB"/>
    <w:multiLevelType w:val="hybridMultilevel"/>
    <w:tmpl w:val="8884BB4A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5352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5696A73"/>
    <w:multiLevelType w:val="singleLevel"/>
    <w:tmpl w:val="F550A46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80F0090"/>
    <w:multiLevelType w:val="hybridMultilevel"/>
    <w:tmpl w:val="C14E5B2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C0D1EB9"/>
    <w:multiLevelType w:val="hybridMultilevel"/>
    <w:tmpl w:val="2F84501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277984"/>
    <w:multiLevelType w:val="hybridMultilevel"/>
    <w:tmpl w:val="657A7EA8"/>
    <w:lvl w:ilvl="0" w:tplc="81FC32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1AE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0C0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EC3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B07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DE2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02C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C03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C02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E63379F"/>
    <w:multiLevelType w:val="multilevel"/>
    <w:tmpl w:val="55B69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FBF7658"/>
    <w:multiLevelType w:val="hybridMultilevel"/>
    <w:tmpl w:val="6644BB4A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144D9B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0805FC4"/>
    <w:multiLevelType w:val="hybridMultilevel"/>
    <w:tmpl w:val="BCF0B57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3370781"/>
    <w:multiLevelType w:val="hybridMultilevel"/>
    <w:tmpl w:val="52E209C6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6D8470E"/>
    <w:multiLevelType w:val="hybridMultilevel"/>
    <w:tmpl w:val="52C6EB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70C1412"/>
    <w:multiLevelType w:val="singleLevel"/>
    <w:tmpl w:val="F550A46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B3934CC"/>
    <w:multiLevelType w:val="singleLevel"/>
    <w:tmpl w:val="F550A46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1C61735"/>
    <w:multiLevelType w:val="hybridMultilevel"/>
    <w:tmpl w:val="695C88B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CF305C"/>
    <w:multiLevelType w:val="hybridMultilevel"/>
    <w:tmpl w:val="294A5FA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9B27E9F"/>
    <w:multiLevelType w:val="hybridMultilevel"/>
    <w:tmpl w:val="770460D6"/>
    <w:lvl w:ilvl="0" w:tplc="FFFFFFFF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A0A1DAC"/>
    <w:multiLevelType w:val="multilevel"/>
    <w:tmpl w:val="5740CA7A"/>
    <w:lvl w:ilvl="0">
      <w:start w:val="1"/>
      <w:numFmt w:val="none"/>
      <w:pStyle w:val="a0"/>
      <w:suff w:val="space"/>
      <w:lvlText w:val="Т а б л и ц а 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F385222"/>
    <w:multiLevelType w:val="multilevel"/>
    <w:tmpl w:val="4F0E3290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09D5B03"/>
    <w:multiLevelType w:val="hybridMultilevel"/>
    <w:tmpl w:val="64FEDD94"/>
    <w:lvl w:ilvl="0" w:tplc="FFFFFFFF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8E7536A"/>
    <w:multiLevelType w:val="singleLevel"/>
    <w:tmpl w:val="C1BE28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5ADB5722"/>
    <w:multiLevelType w:val="singleLevel"/>
    <w:tmpl w:val="3634C97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C0E5EB3"/>
    <w:multiLevelType w:val="hybridMultilevel"/>
    <w:tmpl w:val="55AA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424CB"/>
    <w:multiLevelType w:val="multilevel"/>
    <w:tmpl w:val="8DF688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2D53EF0"/>
    <w:multiLevelType w:val="hybridMultilevel"/>
    <w:tmpl w:val="501A515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41B26F0"/>
    <w:multiLevelType w:val="hybridMultilevel"/>
    <w:tmpl w:val="CF720042"/>
    <w:lvl w:ilvl="0" w:tplc="08F2B0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66494F00"/>
    <w:multiLevelType w:val="hybridMultilevel"/>
    <w:tmpl w:val="46BC149E"/>
    <w:lvl w:ilvl="0" w:tplc="39A60A8E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  <w:rPr>
        <w:rFonts w:cs="Times New Roman"/>
      </w:rPr>
    </w:lvl>
  </w:abstractNum>
  <w:abstractNum w:abstractNumId="36">
    <w:nsid w:val="668B38C3"/>
    <w:multiLevelType w:val="hybridMultilevel"/>
    <w:tmpl w:val="55B69316"/>
    <w:lvl w:ilvl="0" w:tplc="51883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6BE5714"/>
    <w:multiLevelType w:val="hybridMultilevel"/>
    <w:tmpl w:val="BDF295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9397D91"/>
    <w:multiLevelType w:val="hybridMultilevel"/>
    <w:tmpl w:val="B8BA2EBE"/>
    <w:lvl w:ilvl="0" w:tplc="FFFFFFFF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9454566"/>
    <w:multiLevelType w:val="multilevel"/>
    <w:tmpl w:val="29B09E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69B8173F"/>
    <w:multiLevelType w:val="multilevel"/>
    <w:tmpl w:val="55B69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AE811DF"/>
    <w:multiLevelType w:val="hybridMultilevel"/>
    <w:tmpl w:val="7CFADFC6"/>
    <w:lvl w:ilvl="0" w:tplc="FFFFFFFF">
      <w:start w:val="5"/>
      <w:numFmt w:val="bullet"/>
      <w:lvlText w:val="-"/>
      <w:lvlJc w:val="left"/>
      <w:pPr>
        <w:tabs>
          <w:tab w:val="num" w:pos="2475"/>
        </w:tabs>
        <w:ind w:left="2475" w:hanging="103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B835DF1"/>
    <w:multiLevelType w:val="multilevel"/>
    <w:tmpl w:val="7C5421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6F7B04C5"/>
    <w:multiLevelType w:val="singleLevel"/>
    <w:tmpl w:val="C1BE28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>
    <w:nsid w:val="70930A2B"/>
    <w:multiLevelType w:val="hybridMultilevel"/>
    <w:tmpl w:val="2D021372"/>
    <w:lvl w:ilvl="0" w:tplc="2198346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B3208BD"/>
    <w:multiLevelType w:val="hybridMultilevel"/>
    <w:tmpl w:val="D5245324"/>
    <w:lvl w:ilvl="0" w:tplc="35D6B9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6">
    <w:nsid w:val="7EC81FB4"/>
    <w:multiLevelType w:val="singleLevel"/>
    <w:tmpl w:val="F550A46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>
    <w:nsid w:val="7EFC5BB4"/>
    <w:multiLevelType w:val="hybridMultilevel"/>
    <w:tmpl w:val="11EE213A"/>
    <w:lvl w:ilvl="0" w:tplc="60AE4CDA">
      <w:start w:val="5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0"/>
  </w:num>
  <w:num w:numId="4">
    <w:abstractNumId w:val="10"/>
  </w:num>
  <w:num w:numId="5">
    <w:abstractNumId w:val="13"/>
  </w:num>
  <w:num w:numId="6">
    <w:abstractNumId w:val="12"/>
  </w:num>
  <w:num w:numId="7">
    <w:abstractNumId w:val="46"/>
  </w:num>
  <w:num w:numId="8">
    <w:abstractNumId w:val="22"/>
  </w:num>
  <w:num w:numId="9">
    <w:abstractNumId w:val="21"/>
  </w:num>
  <w:num w:numId="10">
    <w:abstractNumId w:val="42"/>
  </w:num>
  <w:num w:numId="11">
    <w:abstractNumId w:val="47"/>
  </w:num>
  <w:num w:numId="12">
    <w:abstractNumId w:val="23"/>
  </w:num>
  <w:num w:numId="13">
    <w:abstractNumId w:val="7"/>
  </w:num>
  <w:num w:numId="14">
    <w:abstractNumId w:val="18"/>
  </w:num>
  <w:num w:numId="15">
    <w:abstractNumId w:val="15"/>
  </w:num>
  <w:num w:numId="16">
    <w:abstractNumId w:val="38"/>
  </w:num>
  <w:num w:numId="17">
    <w:abstractNumId w:val="20"/>
  </w:num>
  <w:num w:numId="18">
    <w:abstractNumId w:val="41"/>
  </w:num>
  <w:num w:numId="19">
    <w:abstractNumId w:val="5"/>
  </w:num>
  <w:num w:numId="20">
    <w:abstractNumId w:val="8"/>
  </w:num>
  <w:num w:numId="21">
    <w:abstractNumId w:val="1"/>
  </w:num>
  <w:num w:numId="22">
    <w:abstractNumId w:val="33"/>
  </w:num>
  <w:num w:numId="23">
    <w:abstractNumId w:val="37"/>
  </w:num>
  <w:num w:numId="24">
    <w:abstractNumId w:val="17"/>
  </w:num>
  <w:num w:numId="25">
    <w:abstractNumId w:val="45"/>
  </w:num>
  <w:num w:numId="26">
    <w:abstractNumId w:val="34"/>
  </w:num>
  <w:num w:numId="27">
    <w:abstractNumId w:val="28"/>
  </w:num>
  <w:num w:numId="28">
    <w:abstractNumId w:val="19"/>
  </w:num>
  <w:num w:numId="29">
    <w:abstractNumId w:val="6"/>
  </w:num>
  <w:num w:numId="30">
    <w:abstractNumId w:val="3"/>
  </w:num>
  <w:num w:numId="31">
    <w:abstractNumId w:val="24"/>
  </w:num>
  <w:num w:numId="32">
    <w:abstractNumId w:val="27"/>
  </w:num>
  <w:num w:numId="33">
    <w:abstractNumId w:val="9"/>
  </w:num>
  <w:num w:numId="34">
    <w:abstractNumId w:val="44"/>
  </w:num>
  <w:num w:numId="35">
    <w:abstractNumId w:val="0"/>
  </w:num>
  <w:num w:numId="36">
    <w:abstractNumId w:val="26"/>
  </w:num>
  <w:num w:numId="37">
    <w:abstractNumId w:val="14"/>
  </w:num>
  <w:num w:numId="38">
    <w:abstractNumId w:val="29"/>
  </w:num>
  <w:num w:numId="39">
    <w:abstractNumId w:val="43"/>
  </w:num>
  <w:num w:numId="40">
    <w:abstractNumId w:val="11"/>
  </w:num>
  <w:num w:numId="41">
    <w:abstractNumId w:val="4"/>
  </w:num>
  <w:num w:numId="42">
    <w:abstractNumId w:val="35"/>
  </w:num>
  <w:num w:numId="43">
    <w:abstractNumId w:val="2"/>
  </w:num>
  <w:num w:numId="44">
    <w:abstractNumId w:val="39"/>
  </w:num>
  <w:num w:numId="45">
    <w:abstractNumId w:val="31"/>
  </w:num>
  <w:num w:numId="46">
    <w:abstractNumId w:val="36"/>
  </w:num>
  <w:num w:numId="47">
    <w:abstractNumId w:val="1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1B8"/>
    <w:rsid w:val="000001B8"/>
    <w:rsid w:val="00044636"/>
    <w:rsid w:val="00045F02"/>
    <w:rsid w:val="000E7E78"/>
    <w:rsid w:val="00320031"/>
    <w:rsid w:val="003D41F0"/>
    <w:rsid w:val="004C133F"/>
    <w:rsid w:val="006A2134"/>
    <w:rsid w:val="006E3E5B"/>
    <w:rsid w:val="00784ED1"/>
    <w:rsid w:val="008142CD"/>
    <w:rsid w:val="0083346E"/>
    <w:rsid w:val="008454C3"/>
    <w:rsid w:val="0094270E"/>
    <w:rsid w:val="009B2D44"/>
    <w:rsid w:val="009C5357"/>
    <w:rsid w:val="00A83EE8"/>
    <w:rsid w:val="00AA0C32"/>
    <w:rsid w:val="00B562FD"/>
    <w:rsid w:val="00D50BFA"/>
    <w:rsid w:val="00E1693E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3F34D56-5E9A-4C1F-A652-C2070C8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1B8"/>
    <w:pPr>
      <w:widowControl w:val="0"/>
      <w:spacing w:line="540" w:lineRule="auto"/>
      <w:ind w:left="120" w:firstLine="720"/>
    </w:pPr>
    <w:rPr>
      <w:sz w:val="24"/>
    </w:rPr>
  </w:style>
  <w:style w:type="paragraph" w:styleId="1">
    <w:name w:val="heading 1"/>
    <w:basedOn w:val="a1"/>
    <w:next w:val="a1"/>
    <w:link w:val="10"/>
    <w:uiPriority w:val="99"/>
    <w:qFormat/>
    <w:rsid w:val="000001B8"/>
    <w:pPr>
      <w:keepNext/>
      <w:widowControl/>
      <w:spacing w:line="240" w:lineRule="auto"/>
      <w:ind w:left="0" w:firstLine="709"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0001B8"/>
    <w:pPr>
      <w:keepNext/>
      <w:widowControl/>
      <w:spacing w:line="240" w:lineRule="auto"/>
      <w:ind w:left="5580" w:firstLine="0"/>
      <w:jc w:val="both"/>
      <w:outlineLvl w:val="1"/>
    </w:pPr>
    <w:rPr>
      <w:sz w:val="28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0001B8"/>
    <w:pPr>
      <w:keepNext/>
      <w:widowControl/>
      <w:spacing w:line="240" w:lineRule="auto"/>
      <w:ind w:left="0" w:right="-83"/>
      <w:jc w:val="center"/>
      <w:outlineLvl w:val="2"/>
    </w:pPr>
    <w:rPr>
      <w:sz w:val="28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0001B8"/>
    <w:pPr>
      <w:keepNext/>
      <w:widowControl/>
      <w:spacing w:line="240" w:lineRule="auto"/>
      <w:ind w:left="0" w:firstLine="709"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uiPriority w:val="99"/>
    <w:qFormat/>
    <w:rsid w:val="000001B8"/>
    <w:pPr>
      <w:keepNext/>
      <w:widowControl/>
      <w:spacing w:line="240" w:lineRule="auto"/>
      <w:ind w:left="0" w:firstLine="0"/>
      <w:jc w:val="center"/>
      <w:outlineLvl w:val="4"/>
    </w:pPr>
    <w:rPr>
      <w:sz w:val="28"/>
      <w:szCs w:val="24"/>
    </w:rPr>
  </w:style>
  <w:style w:type="paragraph" w:styleId="6">
    <w:name w:val="heading 6"/>
    <w:basedOn w:val="a1"/>
    <w:next w:val="a1"/>
    <w:link w:val="60"/>
    <w:uiPriority w:val="99"/>
    <w:qFormat/>
    <w:rsid w:val="000001B8"/>
    <w:pPr>
      <w:keepNext/>
      <w:widowControl/>
      <w:spacing w:line="240" w:lineRule="auto"/>
      <w:ind w:left="0" w:firstLine="0"/>
      <w:jc w:val="center"/>
      <w:outlineLvl w:val="5"/>
    </w:pPr>
    <w:rPr>
      <w:b/>
      <w:kern w:val="20"/>
      <w:sz w:val="28"/>
    </w:rPr>
  </w:style>
  <w:style w:type="paragraph" w:styleId="7">
    <w:name w:val="heading 7"/>
    <w:basedOn w:val="a1"/>
    <w:next w:val="a1"/>
    <w:link w:val="70"/>
    <w:uiPriority w:val="99"/>
    <w:qFormat/>
    <w:rsid w:val="000001B8"/>
    <w:pPr>
      <w:keepNext/>
      <w:widowControl/>
      <w:spacing w:line="240" w:lineRule="auto"/>
      <w:ind w:left="0" w:firstLine="0"/>
      <w:outlineLvl w:val="6"/>
    </w:pPr>
    <w:rPr>
      <w:sz w:val="28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001B8"/>
    <w:pPr>
      <w:keepNext/>
      <w:widowControl/>
      <w:spacing w:line="360" w:lineRule="auto"/>
      <w:ind w:left="1620" w:firstLine="0"/>
      <w:jc w:val="both"/>
      <w:outlineLvl w:val="7"/>
    </w:pPr>
    <w:rPr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0001B8"/>
    <w:pPr>
      <w:keepNext/>
      <w:widowControl/>
      <w:spacing w:line="360" w:lineRule="auto"/>
      <w:ind w:left="0" w:firstLine="709"/>
      <w:jc w:val="center"/>
      <w:outlineLvl w:val="8"/>
    </w:pPr>
    <w:rPr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5">
    <w:name w:val="Title"/>
    <w:basedOn w:val="a1"/>
    <w:link w:val="a6"/>
    <w:uiPriority w:val="99"/>
    <w:qFormat/>
    <w:rsid w:val="000001B8"/>
    <w:pPr>
      <w:widowControl/>
      <w:spacing w:line="240" w:lineRule="auto"/>
      <w:ind w:left="0" w:firstLine="709"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1"/>
    <w:link w:val="a8"/>
    <w:uiPriority w:val="99"/>
    <w:rsid w:val="000001B8"/>
    <w:pPr>
      <w:widowControl/>
      <w:spacing w:line="240" w:lineRule="auto"/>
      <w:ind w:left="0" w:firstLine="709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1"/>
    <w:link w:val="22"/>
    <w:uiPriority w:val="99"/>
    <w:rsid w:val="000001B8"/>
    <w:pPr>
      <w:widowControl/>
      <w:spacing w:line="240" w:lineRule="auto"/>
      <w:ind w:left="0" w:right="-83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1"/>
    <w:link w:val="aa"/>
    <w:uiPriority w:val="99"/>
    <w:rsid w:val="000001B8"/>
    <w:pPr>
      <w:widowControl/>
      <w:spacing w:line="240" w:lineRule="auto"/>
      <w:ind w:left="0" w:firstLine="0"/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0001B8"/>
    <w:pPr>
      <w:widowControl/>
      <w:spacing w:line="240" w:lineRule="auto"/>
      <w:ind w:left="0"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1"/>
    <w:link w:val="32"/>
    <w:uiPriority w:val="99"/>
    <w:rsid w:val="000001B8"/>
    <w:pPr>
      <w:widowControl/>
      <w:spacing w:line="240" w:lineRule="auto"/>
      <w:ind w:left="0" w:firstLine="0"/>
      <w:jc w:val="center"/>
    </w:pPr>
    <w:rPr>
      <w:b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1"/>
    <w:link w:val="34"/>
    <w:uiPriority w:val="99"/>
    <w:rsid w:val="000001B8"/>
    <w:pPr>
      <w:widowControl/>
      <w:spacing w:line="240" w:lineRule="auto"/>
      <w:ind w:left="0" w:firstLine="709"/>
    </w:pPr>
    <w:rPr>
      <w:sz w:val="28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rsid w:val="000001B8"/>
    <w:pPr>
      <w:widowControl w:val="0"/>
      <w:autoSpaceDE w:val="0"/>
      <w:autoSpaceDN w:val="0"/>
      <w:adjustRightInd w:val="0"/>
      <w:spacing w:line="300" w:lineRule="auto"/>
      <w:ind w:left="920" w:right="800"/>
      <w:jc w:val="center"/>
    </w:pPr>
    <w:rPr>
      <w:b/>
      <w:sz w:val="24"/>
    </w:rPr>
  </w:style>
  <w:style w:type="paragraph" w:styleId="ab">
    <w:name w:val="footer"/>
    <w:basedOn w:val="a1"/>
    <w:link w:val="ac"/>
    <w:uiPriority w:val="99"/>
    <w:rsid w:val="000001B8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szCs w:val="24"/>
    </w:r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0001B8"/>
    <w:rPr>
      <w:rFonts w:cs="Times New Roman"/>
    </w:rPr>
  </w:style>
  <w:style w:type="paragraph" w:styleId="ae">
    <w:name w:val="header"/>
    <w:basedOn w:val="a1"/>
    <w:link w:val="af"/>
    <w:uiPriority w:val="99"/>
    <w:rsid w:val="000001B8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bCs/>
      <w:sz w:val="28"/>
    </w:rPr>
  </w:style>
  <w:style w:type="character" w:customStyle="1" w:styleId="af">
    <w:name w:val="Верхний колонтитул Знак"/>
    <w:link w:val="ae"/>
    <w:uiPriority w:val="99"/>
    <w:semiHidden/>
    <w:locked/>
    <w:rsid w:val="00B562FD"/>
    <w:rPr>
      <w:rFonts w:cs="Times New Roman"/>
      <w:bCs/>
      <w:sz w:val="28"/>
      <w:lang w:val="ru-RU" w:eastAsia="ru-RU" w:bidi="ar-SA"/>
    </w:rPr>
  </w:style>
  <w:style w:type="character" w:customStyle="1" w:styleId="FontStyle16">
    <w:name w:val="Font Style16"/>
    <w:uiPriority w:val="99"/>
    <w:rsid w:val="00B562FD"/>
    <w:rPr>
      <w:rFonts w:ascii="Times New Roman" w:hAnsi="Times New Roman"/>
      <w:sz w:val="20"/>
    </w:rPr>
  </w:style>
  <w:style w:type="paragraph" w:customStyle="1" w:styleId="af0">
    <w:name w:val="Обычный с отступом"/>
    <w:basedOn w:val="a1"/>
    <w:next w:val="a1"/>
    <w:uiPriority w:val="99"/>
    <w:rsid w:val="000001B8"/>
    <w:pPr>
      <w:spacing w:before="120" w:line="288" w:lineRule="auto"/>
      <w:ind w:left="0" w:firstLine="709"/>
      <w:jc w:val="both"/>
    </w:pPr>
    <w:rPr>
      <w:sz w:val="26"/>
    </w:rPr>
  </w:style>
  <w:style w:type="paragraph" w:styleId="af1">
    <w:name w:val="Block Text"/>
    <w:basedOn w:val="a1"/>
    <w:uiPriority w:val="99"/>
    <w:rsid w:val="000001B8"/>
    <w:pPr>
      <w:shd w:val="clear" w:color="auto" w:fill="FFFFFF"/>
      <w:autoSpaceDE w:val="0"/>
      <w:autoSpaceDN w:val="0"/>
      <w:adjustRightInd w:val="0"/>
      <w:spacing w:line="240" w:lineRule="auto"/>
      <w:ind w:left="14" w:right="10" w:firstLine="567"/>
      <w:jc w:val="both"/>
    </w:pPr>
    <w:rPr>
      <w:color w:val="000000"/>
      <w:sz w:val="28"/>
    </w:rPr>
  </w:style>
  <w:style w:type="paragraph" w:customStyle="1" w:styleId="af2">
    <w:name w:val="Название таблицы"/>
    <w:basedOn w:val="a1"/>
    <w:next w:val="af3"/>
    <w:uiPriority w:val="99"/>
    <w:rsid w:val="000001B8"/>
    <w:pPr>
      <w:keepLines/>
      <w:tabs>
        <w:tab w:val="num" w:pos="1069"/>
      </w:tabs>
      <w:suppressAutoHyphens/>
      <w:spacing w:before="120" w:line="288" w:lineRule="auto"/>
      <w:ind w:left="1069" w:hanging="360"/>
    </w:pPr>
    <w:rPr>
      <w:sz w:val="26"/>
      <w:szCs w:val="24"/>
    </w:rPr>
  </w:style>
  <w:style w:type="paragraph" w:customStyle="1" w:styleId="af3">
    <w:name w:val="Таблица"/>
    <w:basedOn w:val="a1"/>
    <w:uiPriority w:val="99"/>
    <w:rsid w:val="000001B8"/>
    <w:pPr>
      <w:spacing w:before="20" w:after="20" w:line="240" w:lineRule="auto"/>
      <w:ind w:left="0" w:firstLine="0"/>
    </w:pPr>
    <w:rPr>
      <w:sz w:val="26"/>
      <w:szCs w:val="24"/>
    </w:rPr>
  </w:style>
  <w:style w:type="paragraph" w:customStyle="1" w:styleId="11">
    <w:name w:val="Список 1"/>
    <w:basedOn w:val="a1"/>
    <w:uiPriority w:val="99"/>
    <w:rsid w:val="000001B8"/>
    <w:pPr>
      <w:tabs>
        <w:tab w:val="num" w:pos="0"/>
        <w:tab w:val="left" w:pos="993"/>
      </w:tabs>
      <w:spacing w:line="288" w:lineRule="auto"/>
      <w:ind w:left="0" w:firstLine="709"/>
      <w:jc w:val="both"/>
    </w:pPr>
    <w:rPr>
      <w:sz w:val="26"/>
      <w:szCs w:val="24"/>
    </w:rPr>
  </w:style>
  <w:style w:type="paragraph" w:customStyle="1" w:styleId="12">
    <w:name w:val="Нумерованный список 1"/>
    <w:basedOn w:val="a1"/>
    <w:uiPriority w:val="99"/>
    <w:rsid w:val="000001B8"/>
    <w:pPr>
      <w:tabs>
        <w:tab w:val="num" w:pos="1755"/>
      </w:tabs>
      <w:spacing w:line="288" w:lineRule="auto"/>
      <w:ind w:left="1755" w:hanging="1035"/>
      <w:jc w:val="both"/>
    </w:pPr>
    <w:rPr>
      <w:sz w:val="26"/>
      <w:szCs w:val="24"/>
    </w:rPr>
  </w:style>
  <w:style w:type="paragraph" w:styleId="af4">
    <w:name w:val="List"/>
    <w:basedOn w:val="a1"/>
    <w:next w:val="a1"/>
    <w:uiPriority w:val="99"/>
    <w:rsid w:val="000001B8"/>
    <w:pPr>
      <w:tabs>
        <w:tab w:val="num" w:pos="495"/>
      </w:tabs>
      <w:spacing w:line="240" w:lineRule="auto"/>
      <w:ind w:left="495" w:hanging="495"/>
      <w:jc w:val="both"/>
    </w:pPr>
    <w:rPr>
      <w:sz w:val="26"/>
      <w:szCs w:val="24"/>
    </w:rPr>
  </w:style>
  <w:style w:type="paragraph" w:customStyle="1" w:styleId="-">
    <w:name w:val="-Список"/>
    <w:basedOn w:val="a1"/>
    <w:autoRedefine/>
    <w:uiPriority w:val="99"/>
    <w:rsid w:val="000001B8"/>
    <w:pPr>
      <w:widowControl/>
      <w:tabs>
        <w:tab w:val="num" w:pos="1755"/>
      </w:tabs>
      <w:spacing w:line="240" w:lineRule="auto"/>
      <w:ind w:left="1755" w:hanging="1035"/>
      <w:jc w:val="both"/>
    </w:pPr>
    <w:rPr>
      <w:szCs w:val="24"/>
    </w:rPr>
  </w:style>
  <w:style w:type="paragraph" w:styleId="25">
    <w:name w:val="List 2"/>
    <w:basedOn w:val="a1"/>
    <w:uiPriority w:val="99"/>
    <w:rsid w:val="000001B8"/>
    <w:pPr>
      <w:tabs>
        <w:tab w:val="num" w:pos="1800"/>
      </w:tabs>
      <w:spacing w:line="240" w:lineRule="auto"/>
      <w:ind w:left="1800" w:hanging="1080"/>
      <w:jc w:val="both"/>
    </w:pPr>
    <w:rPr>
      <w:sz w:val="26"/>
      <w:szCs w:val="24"/>
    </w:rPr>
  </w:style>
  <w:style w:type="paragraph" w:styleId="a0">
    <w:name w:val="Subtitle"/>
    <w:basedOn w:val="a1"/>
    <w:link w:val="af5"/>
    <w:uiPriority w:val="99"/>
    <w:qFormat/>
    <w:rsid w:val="000001B8"/>
    <w:pPr>
      <w:widowControl/>
      <w:numPr>
        <w:numId w:val="36"/>
      </w:numPr>
      <w:spacing w:line="240" w:lineRule="auto"/>
      <w:ind w:left="0" w:firstLine="709"/>
      <w:jc w:val="both"/>
    </w:pPr>
    <w:rPr>
      <w:sz w:val="28"/>
      <w:szCs w:val="24"/>
    </w:rPr>
  </w:style>
  <w:style w:type="character" w:customStyle="1" w:styleId="af5">
    <w:name w:val="Подзаголовок Знак"/>
    <w:link w:val="a0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a">
    <w:name w:val="Петит"/>
    <w:basedOn w:val="a1"/>
    <w:autoRedefine/>
    <w:uiPriority w:val="99"/>
    <w:rsid w:val="000001B8"/>
    <w:pPr>
      <w:numPr>
        <w:numId w:val="35"/>
      </w:numPr>
      <w:spacing w:line="288" w:lineRule="auto"/>
      <w:ind w:left="0" w:firstLine="709"/>
      <w:jc w:val="both"/>
    </w:pPr>
    <w:rPr>
      <w:szCs w:val="24"/>
    </w:rPr>
  </w:style>
  <w:style w:type="paragraph" w:customStyle="1" w:styleId="af6">
    <w:name w:val="Рисунок"/>
    <w:basedOn w:val="a1"/>
    <w:next w:val="a1"/>
    <w:autoRedefine/>
    <w:uiPriority w:val="99"/>
    <w:rsid w:val="000001B8"/>
    <w:pPr>
      <w:spacing w:line="245" w:lineRule="auto"/>
      <w:ind w:left="0"/>
      <w:jc w:val="both"/>
    </w:pPr>
    <w:rPr>
      <w:sz w:val="28"/>
      <w:szCs w:val="28"/>
    </w:rPr>
  </w:style>
  <w:style w:type="paragraph" w:customStyle="1" w:styleId="af7">
    <w:name w:val="Подрис"/>
    <w:basedOn w:val="af6"/>
    <w:autoRedefine/>
    <w:uiPriority w:val="99"/>
    <w:rsid w:val="000001B8"/>
    <w:pPr>
      <w:spacing w:after="240"/>
    </w:pPr>
    <w:rPr>
      <w:sz w:val="24"/>
    </w:rPr>
  </w:style>
  <w:style w:type="paragraph" w:customStyle="1" w:styleId="af8">
    <w:name w:val="Формула"/>
    <w:basedOn w:val="a1"/>
    <w:next w:val="a1"/>
    <w:uiPriority w:val="99"/>
    <w:rsid w:val="000001B8"/>
    <w:pPr>
      <w:tabs>
        <w:tab w:val="center" w:pos="4820"/>
        <w:tab w:val="center" w:pos="9214"/>
      </w:tabs>
      <w:spacing w:before="60" w:after="60" w:line="288" w:lineRule="auto"/>
      <w:ind w:left="0" w:firstLine="0"/>
    </w:pPr>
    <w:rPr>
      <w:sz w:val="26"/>
      <w:szCs w:val="24"/>
    </w:rPr>
  </w:style>
  <w:style w:type="paragraph" w:customStyle="1" w:styleId="af9">
    <w:name w:val="Экспликация формулы"/>
    <w:basedOn w:val="a1"/>
    <w:uiPriority w:val="99"/>
    <w:rsid w:val="000001B8"/>
    <w:pPr>
      <w:spacing w:line="288" w:lineRule="auto"/>
      <w:ind w:left="0" w:firstLine="425"/>
      <w:jc w:val="both"/>
    </w:pPr>
    <w:rPr>
      <w:sz w:val="26"/>
      <w:szCs w:val="24"/>
    </w:rPr>
  </w:style>
  <w:style w:type="character" w:styleId="afa">
    <w:name w:val="Hyperlink"/>
    <w:uiPriority w:val="99"/>
    <w:rsid w:val="00B562FD"/>
    <w:rPr>
      <w:rFonts w:cs="Times New Roman"/>
      <w:color w:val="0000FF"/>
      <w:u w:val="single"/>
    </w:rPr>
  </w:style>
  <w:style w:type="paragraph" w:customStyle="1" w:styleId="13">
    <w:name w:val="Стиль1"/>
    <w:basedOn w:val="a1"/>
    <w:uiPriority w:val="99"/>
    <w:rsid w:val="00044636"/>
    <w:pPr>
      <w:widowControl/>
      <w:tabs>
        <w:tab w:val="num" w:pos="-180"/>
      </w:tabs>
      <w:spacing w:line="360" w:lineRule="auto"/>
      <w:ind w:left="0" w:firstLine="0"/>
      <w:jc w:val="both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АВТОСЕРВИСА КАК ОБЪЕКТ ЭКСПЕРТИЗЫ</vt:lpstr>
    </vt:vector>
  </TitlesOfParts>
  <Company>MoBIL GROUP</Company>
  <LinksUpToDate>false</LinksUpToDate>
  <CharactersWithSpaces>43992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АВТОСЕРВИСА КАК ОБЪЕКТ ЭКСПЕРТИЗЫ</dc:title>
  <dc:subject/>
  <dc:creator>Женя</dc:creator>
  <cp:keywords/>
  <dc:description/>
  <cp:lastModifiedBy>admin</cp:lastModifiedBy>
  <cp:revision>2</cp:revision>
  <dcterms:created xsi:type="dcterms:W3CDTF">2014-03-25T21:25:00Z</dcterms:created>
  <dcterms:modified xsi:type="dcterms:W3CDTF">2014-03-25T21:25:00Z</dcterms:modified>
</cp:coreProperties>
</file>