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5B" w:rsidRPr="00DB522A" w:rsidRDefault="0038555B" w:rsidP="0038555B">
      <w:pPr>
        <w:spacing w:before="120"/>
        <w:jc w:val="center"/>
        <w:rPr>
          <w:b/>
          <w:bCs/>
          <w:sz w:val="32"/>
          <w:szCs w:val="32"/>
        </w:rPr>
      </w:pPr>
      <w:r w:rsidRPr="00DB522A">
        <w:rPr>
          <w:b/>
          <w:bCs/>
          <w:sz w:val="32"/>
          <w:szCs w:val="32"/>
        </w:rPr>
        <w:t>Совместимость и преобразование типов данных</w:t>
      </w:r>
    </w:p>
    <w:p w:rsidR="0038555B" w:rsidRPr="00DB522A" w:rsidRDefault="0038555B" w:rsidP="0038555B">
      <w:pPr>
        <w:spacing w:before="120"/>
        <w:jc w:val="center"/>
        <w:rPr>
          <w:sz w:val="28"/>
          <w:szCs w:val="28"/>
        </w:rPr>
      </w:pPr>
      <w:r w:rsidRPr="00DB522A">
        <w:rPr>
          <w:sz w:val="28"/>
          <w:szCs w:val="28"/>
        </w:rPr>
        <w:t>Курсовой проект по программированию</w:t>
      </w:r>
    </w:p>
    <w:p w:rsidR="0038555B" w:rsidRPr="00DB522A" w:rsidRDefault="0038555B" w:rsidP="0038555B">
      <w:pPr>
        <w:spacing w:before="120"/>
        <w:jc w:val="center"/>
        <w:rPr>
          <w:sz w:val="28"/>
          <w:szCs w:val="28"/>
        </w:rPr>
      </w:pPr>
      <w:r w:rsidRPr="00DB522A">
        <w:rPr>
          <w:sz w:val="28"/>
          <w:szCs w:val="28"/>
        </w:rPr>
        <w:t>Составила: Ирина Комарова IT2V</w:t>
      </w:r>
    </w:p>
    <w:p w:rsidR="0038555B" w:rsidRPr="00DB522A" w:rsidRDefault="0038555B" w:rsidP="0038555B">
      <w:pPr>
        <w:spacing w:before="120"/>
        <w:jc w:val="center"/>
        <w:rPr>
          <w:sz w:val="28"/>
          <w:szCs w:val="28"/>
        </w:rPr>
      </w:pPr>
      <w:r w:rsidRPr="00DB522A">
        <w:rPr>
          <w:sz w:val="28"/>
          <w:szCs w:val="28"/>
        </w:rPr>
        <w:t xml:space="preserve">Таллинн 2004 г. </w:t>
      </w:r>
    </w:p>
    <w:p w:rsidR="0038555B" w:rsidRPr="00DB522A" w:rsidRDefault="0038555B" w:rsidP="0038555B">
      <w:pPr>
        <w:spacing w:before="120"/>
        <w:jc w:val="center"/>
        <w:rPr>
          <w:b/>
          <w:bCs/>
          <w:sz w:val="28"/>
          <w:szCs w:val="28"/>
        </w:rPr>
      </w:pPr>
      <w:r w:rsidRPr="00DB522A">
        <w:rPr>
          <w:b/>
          <w:bCs/>
          <w:sz w:val="28"/>
          <w:szCs w:val="28"/>
        </w:rPr>
        <w:t>Введение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Язык программирования Pascal был разработан в 1968-1971 гг. Никлаусом Виртом в Цюрихском Институте информатики (Швейцария), и назван вчесть Блеза Паскаля – выдающегося математика, философа и физика 17-го века. Первоначальная цель разработки языка диктовалась необходимостью создания инструмента "для обучения программированию как систематической дисциплине". Однако очень скоро обнаружилась чрезвычайная эффективность языка Pascal в самых разнообразных приложениях, от решения небольших задач численного характера до разработки сложных программных систем - компиляторов, баз данных, операционных систем и т.п. К настоящему времени Pascal принадлежит к группе наиболее распространенных и популярных в мире языков программирования: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существуют многочисленные реализации языка практически для всех машинных архитектур;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разработаны десятки диалектов и проблемно-ориентированных расширений языка Pascal;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обучение программированию и научно-технические публикации в значительной степени базируются на этом языке.</w:t>
      </w:r>
    </w:p>
    <w:p w:rsidR="0038555B" w:rsidRPr="00DB522A" w:rsidRDefault="0038555B" w:rsidP="0038555B">
      <w:pPr>
        <w:spacing w:before="120"/>
        <w:jc w:val="center"/>
        <w:rPr>
          <w:b/>
          <w:bCs/>
          <w:sz w:val="28"/>
          <w:szCs w:val="28"/>
        </w:rPr>
      </w:pPr>
      <w:r w:rsidRPr="00DB522A">
        <w:rPr>
          <w:b/>
          <w:bCs/>
          <w:sz w:val="28"/>
          <w:szCs w:val="28"/>
        </w:rPr>
        <w:t>Описание типов данных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Достоинством языка Паскаль является возможность использования широкого набора разных типов данных. Тип данных определяет возможные значения констант, переменных, функций, выражений и операций, которые могут выполняться над ними.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Типы данных подразделяются на простые и сложные. Простые типы делятся на стандартные (предопределенные) типы и типы определяемые пользователем (пользовательские типы).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Имена стандартных типов являются идентификаторами и действуют в любой точке программы. Они описаны в стандартном модуле System. Так же, как и другие идентификаторы, имена стандартных типов могут быть переопределены в программе.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Однако остается возможность обращения к их первоначальному смыслу с помощью квалифицируемого идентификатора с указанием имени модуля System. Например: System.Integer, System.Real.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К стандартным типам относятся: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группа целых типов (Shortint, Integer, Longint, Byte, Word);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 xml:space="preserve">• </w:t>
      </w:r>
      <w:r w:rsidRPr="00DB522A">
        <w:t>группа</w:t>
      </w:r>
      <w:r w:rsidRPr="00DB522A">
        <w:rPr>
          <w:lang w:val="en-US"/>
        </w:rPr>
        <w:t xml:space="preserve"> </w:t>
      </w:r>
      <w:r w:rsidRPr="00DB522A">
        <w:t>вещественных</w:t>
      </w:r>
      <w:r w:rsidRPr="00DB522A">
        <w:rPr>
          <w:lang w:val="en-US"/>
        </w:rPr>
        <w:t xml:space="preserve"> </w:t>
      </w:r>
      <w:r w:rsidRPr="00DB522A">
        <w:t>типов</w:t>
      </w:r>
      <w:r w:rsidRPr="00DB522A">
        <w:rPr>
          <w:lang w:val="en-US"/>
        </w:rPr>
        <w:t xml:space="preserve"> (Single, Real, Double, Extended, Comp);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 xml:space="preserve">• </w:t>
      </w:r>
      <w:r w:rsidRPr="00DB522A">
        <w:t>группа</w:t>
      </w:r>
      <w:r w:rsidRPr="00DB522A">
        <w:rPr>
          <w:lang w:val="en-US"/>
        </w:rPr>
        <w:t xml:space="preserve"> </w:t>
      </w:r>
      <w:r w:rsidRPr="00DB522A">
        <w:t>логических</w:t>
      </w:r>
      <w:r w:rsidRPr="00DB522A">
        <w:rPr>
          <w:lang w:val="en-US"/>
        </w:rPr>
        <w:t xml:space="preserve"> (</w:t>
      </w:r>
      <w:r w:rsidRPr="00DB522A">
        <w:t>булевских</w:t>
      </w:r>
      <w:r w:rsidRPr="00DB522A">
        <w:rPr>
          <w:lang w:val="en-US"/>
        </w:rPr>
        <w:t xml:space="preserve">) </w:t>
      </w:r>
      <w:r w:rsidRPr="00DB522A">
        <w:t>типов</w:t>
      </w:r>
      <w:r w:rsidRPr="00DB522A">
        <w:rPr>
          <w:lang w:val="en-US"/>
        </w:rPr>
        <w:t xml:space="preserve"> (Boolean, ByteBool, WordBool, LongBool);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символьный тип (Char);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строковый тип (String, Pchar);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указательный тип (Pointer);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текстовый тип (Text).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Символьный тип, целые и булевские типы относят к, так называемым, порядковым типам.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Порядковые типы характеризуются следующими свойствами: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1. Множество допустимых значений любого порядкового типа представляет собой упорядоченную последовательность , каждый элемент которой имеет свой порядковый номер. Порядковый номер представляется целым числом. Первое значение любого порядкового типа имеет номер 0, следующий номер 1 и т.д. Исключение составляют порядковые типы Integer, Shortint, Longint, где порядковым номером значений этих типов является само значение.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2. К любому значению порядкового типа можно применять функции возвращающие номер, предыдущее или последующее значение данного типа.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Пользовательские типы – дополнительные абстрактные типы, характеристики которых программист может определять самостоятельно.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К пользовательским типам относятся: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перечисляемый тип;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интервальный тип;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указательные типы (кроме стандартного типа Pointer);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структурированные типы;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• процедурный тип.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Перечисляемый и интервальный типы являются порядковыми.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Структура подраздела описания типов выглядит следующим образом: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Форма записи: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type = 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Пример: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type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vec = integer;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bool = boolean;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Стандартные функции языка Паскаль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Для выполнения часто встречающихся операций и преобразований данных, относящихся к разным типам, существуют заранее определенные функции, которые называются СТАНДАРТНЫМИ. Для обращения к функции необходимо задать ее имя и в скобках список аргументов (параметров).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Прежде чем перейдем к стандартным функциям, сначала ознакомимся с правилами их использования: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1. Имя функции записывается прописными буквами латинского алфавита.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2. Аргумент функции записывается в круглых скобках после имени функции.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3. Аргументом функции может быть константа, переменная, или арифметическое выражение того же типа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Теперь рассмотрим некоторые стандартные функции: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Функция Действие Тип Х Тип возвращаемого значения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SQRT(X) вычисляет квадратный корень из аргумента Х действительный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SQR(X) вычисляет квадрат аргумента Х целый действи-тельный целый действи-тельный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RANDOM(X) возвращает случайное число, перед вызовом функции желательно использовать в программе оператор RANDOMIZE включающей случайную инициализацию генератора случайных чисел целый, положительный соответствует типу переменной принимающей значение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SIN(X) вычисляет синус аргумента Х действительный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COS(X) вычисляет косинус аргумента Х действительный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ABS(X) вычисляет абсолютное значение (модуль) аргумента Х целый действи-тельный целый действи-тельный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ODD(X) проверяет Х на четность длинное целое логический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ORD(X) определяет порядковый номер символа Х любой тип кроме действительного длинное целое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CHR(X) определяет символ стоящий по порядковому номеру Х byte символьный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PRED(X) определяет предыдущее значение по отношению к Х любой тип кроме действительного тот же тип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SUCC(X) определяет последующее значение по отношению к Х любой тип кроме действительного тот же тип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ARCTAN(X) вычисляет арктангенс аргумента Х действительный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EXP(X) вычисляет экспоненту от аргумента Х действительный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LN(X) вычисляет натуральный логарифм от Х действительный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TRUNC(X) находит целую часть от Х действительный длинное целое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ROUND(X) округляет Х в сторону ближайшего целого действительный длинное целое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INT(X) возвращает целую часть аргумента Х действительный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FRAC(X) возвращает дробную часть аргумента Х действительный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DEC(X,N) уменьшает значение переменной Х на заданное число N любой тип кроме действительного тот же тип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INC(X,N) увеличивает значение переменной Х на заданное число N любой тип кроме действительного тот же тип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PI возвращает значение числа - действительный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Примеры: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1. ORD(‘R’)=82; ORD(5)=5;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2. CHR(68)=’D’; можно вызывать эту функцию через #, если аргумент функции константа (#68='D');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3. PRED(‘N’)=’M’; PRED(87)=86;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4. SUCC(‘S’)=’T’; SUCC(87)=88;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5. PI=3.141592653897932385;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6. ROUND(3.1415)=3;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7. LN(1)=0.000;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8. SQRT(36)=6.000;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9. SIN(90*pi/180)=1.000.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Замечание: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В тригонометрических функциях аргумент должен быть задан только в радианной мере угла.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Совместимость и преобразование типов данных.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Турбо-Паскаль - типизированный язык, следовательно, все применяемые операции определены только над операндами совместимых типов.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Два типа считаются совместимыми, если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оба они есть один и тотже тип.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один тип есть тип-диапазон второго типа.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оба они являются типами-диапазонами одного и того же базового типа.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один тип есть строка, а другой - строка или символ.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оба они есть процедурные типы с одинаковым типом результата (для типа-функции), одинаковым количеством параметров и одинаковым типом взаимно соответствующих параметров.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Когда в тех или иных операциях или операторах присутствуют данные, относящиеся к различным типам, возникает вопрос о совместимости типов. В связи с этим говорят об идентичности типов, совместимости типов и совместимости типов для присваивания. Когда возникают проблемы с соответствием типов данных, можно осуществить преобразование тех или иных типов.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Идентичность типов.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Идентичность типов требуется от формальных параметров процедур и функций и соответствующих им фактических параметров во время вызова.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Два типа Т1 и Т2 идентичны в следующих случаях: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T1 и Т2 – один и тот же идентификатор типа (integer; real и т.д. и т.п.);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Один тип объявляется эквивалентным другому.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type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T1 = boolean;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T2 = T1;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T3 = boolean;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M1 = array [1..5] of integer;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M2 = array [1..5] of integer;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var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V1, V2 = array [1..10] of integer;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Так, типы Т1, Т2, Т3 и boolean – идентичны, а М1 и М2 – не идентичные типы, но тем не менее, переменные V1 и V2 – переменные идентичных типов.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Совместимость типов.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Совместимость типов требуется в выражениях (в том числе и в операциях отношения).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Два типа Т1 и Т2 идентичны в следующих случаях: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и Т2 – один и тот же тип или они идентичны;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и Т2 – вещественные типы;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и Т2 – целые типы;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Один тип – вещественный, а другой – целый;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Один тип представляет собой тип – диапазон другого;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Оба типа являются типами – диапазонами какого-то одного типа;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Оба типа являются типами – множествами с совместимыми базовыми типами;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Один тип является строкой, а другой – символом или строкой.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Совместимость для присваивания.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Эта совместимость необходима, когда значение какого-то выражения присваивается переменной, типизированной константе или функции. Если значение объекта типа Т2 присваивается объекту типа Т1, то это возможно в следующих случаях: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и Т2 – идентичные типы и не являются файловыми типами или структурированными типами, содержащими компоненты файлового типа на любом уровне структурированности;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и Т2 – совместимые порядковые типы и значение типа Т2 находится в границах возможных значений объекта типа Т1;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и Т2 – вещественные типы и значение типа Т2 находится в границах возможных значений объекта типа Т1;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– вещественный тип, а Т2 – целый;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и Т2 – строки;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– строка, а Т2 – символ;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Т1 и Т2 – совместимые типы – множества и все компоненты значения типа Т2 находятся в множестве Т1.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Преобразование типов в Паскале может быть явным и неявным. При явном преобразовании типов используются вызовы специальных функций Ord, Trunc, Round, Chr, Ptr (преобразует четырёхбайтный целочисленный аргумент к типу-указателю), аргументы которых принадлежат одному типу, а результат другому.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Преобразование может достигаться применением идентификатора (имени) стандартного типа, или определённого пользователем типа, в качестве идентификатора функции преобразования к выражению преобразуемого типа (так называемое автоопределённое преобразование типов). Например, допустимы следующие вызовы функций: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Type Mytype = (A, B, C, 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. . . . . . . . . . . . . . . . .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Mytype (2);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Integer (D);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Pointer (Longint (A) + $FF);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Char (127 Mod C);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Byte (K);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При автоопределённом преобразовании типа выражения может произойти изменение длины его внутреннего представления (уменьшение или увеличение).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В Турбо-Паскале есть ещё один явный способ: в ту область памяти, которую занимает переменная некоторого типа, можно поместить значение выражения другого типа, если только длина внутреннего представления вновь размещаемого значения в точности равна длине внутреннего представления переменной. С этой целью вновь используется автоопределённая функция преобразования типов, но уже в левой части оператора присваивания: 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Type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Byt = Array [1..2] Of Byte;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Int = Array [1..2] Of Integer;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Rec = Record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X: Integer;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Y: Integer;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End;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Var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VByt: Byt;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VInt: Int;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VRec: Rec;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Begin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Byt (VInt[1])[2]:= 0;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Int (VRec)[1]:= 256;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End.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Данные одного типа могут автоматически (неявно) преобразовываться в данные другого типа перед выполнением операций выражений.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Неявное преобразование типов возможно только в двух случаях: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выражение из целых и вещественных приводится к вещественным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одна и та же область памяти трактуется попеременно как содержащая данные то одного, то другого типа.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Совмещение данных может произойти при использовании записей с вариантами, типизированных указателей, содержащих одинаковый адрес, а также при явном размещении данных разного типа в одной области памяти (используется Absolute - за ним помещается либо абсолютный адрес, либо идентификатор ранее определённой переменной).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Абсолютный адрес - пара чисел, разделённых двоеточием - первое - сегмент, второе - смещение. 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t>Пример</w:t>
      </w:r>
      <w:r w:rsidRPr="00DB522A">
        <w:rPr>
          <w:lang w:val="en-US"/>
        </w:rPr>
        <w:t xml:space="preserve">: 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 xml:space="preserve">B: Byte Absolute $0000:$0055; 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 xml:space="preserve">W: Longint Absolute 128:0;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Если за Absolute указан идентификатор переменной, то происходит совмещение в памяти данных разного типа, причём первые байты внутреннего представления данных будут располагаться по одному и тому же абсолютному адресу: 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Var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X: Real;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Y: Array [1..3] Of Integer Absolute X;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Эквивалентность типов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Относительно понятия эквивалентности типов существует несколько точек зрения. Рассмотрим три из них. Все они исходят из того, что эквивалентные типы должны допускать одинаковые последовательности операций.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Структурная эквивалентность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Два атрибута типа T1 и T2 называются (структурно) эквивалентными, если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их базовые типы BT1 и BT2, соответственно, совпадают или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BT1=arr(M,N,T1'), BT2=arr(M,N,T2') и T1' эквивалентен T2', или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BT1=rec([F1:T11,...,Fn:T1n]), BT2=rec([F1:T21,...,Fn:T2n]) и T1i эквивалентен T2i для каждого i, или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BT1=ref(T1'), BT2=ref(T2') и T1' эквивалентен T2' и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• предположение об эквивалентности T1 и T2 не противоречит условиям 1-4.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Несколько странное условие 5 связано с рекурсивностью типов. Оно делает отношение структурной эквивалентности наибольшим среди отношений, удовлетворяющих условиям 1-4.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П р и м е р: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Пусть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T1=rec([info:int,next:T1])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T2=rec([info:int,next:T2])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Применяя только правила 1-4, получим, что T1 и T2 эквивалентны, если T1 и T2 эквивалентны. Правило 5 заставляет сделать вывод, что T1 и T2 действительно эквивалентны (на основании только правил 1-4 можно сделать и обратный вывод).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Если бы не было ссылочных и, следовательно, рекурсивных типов (как в Фортране или Алголе 60), то определение структурной эквивалентности сводилось бы к условию 1, т.е. к равенству базовых типов.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При допущении же рекурсивных ссылочных типов для проверки структурной эквивалентности двух типов используется алгоритм нахождения всех пар эквивалентных состояний некоторого конечного автомата. Можно использовать следующий метод построения этого автомата.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Сначала строится праволинейная грамматика: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1. Для каждого описания идентификатора типа, переменной или параметра declared(I,B,Inf), где Inf равно type(T), var(T) или par(T), типу T ставится в соответствие новый нетерминал t.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2. Если нетерминалу t соответствует базовый тип arr(m,n,T1), то типу T1 ставится в соответствие новый нетерминал t1 и вводится правило t -&gt; arr m n t1.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3. Если нетерминалу t соответствует базовый тип rec([f1:T1,...,fn:Tn]), то типу Ti ставится в соответствие новый нетерминал ti для каждого i и вводятся правила t -&gt; ref i fi ti.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4. Если нетерминалу t соответствует базовый тип ref(T1), где T1=int или T1=real, то вводится правило t -&gt; T1.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5. Если нетерминалу t соответствует базовый тип ref(tid(I,B)), а типу tid(I,B) уже сопоставлен нетерминал t1, то вводится правило t -&gt; ^ t1.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Нетерминалы этой грамматики эквивалентны, если и только если соответствующие типы структурно эквивалентны.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Остаётся преобразовать эту грамматику к автоматному виду и применить алгоритм нахождения всех пар эквивалентных состояний.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Отношение структурной эквивалентности действительно является эквивалентностью, т.к. оно рефлексивно, транзитивно и симметрично. Кроме того, два типа структурно эквивалентны тогда и только тогда, когда они допускают одни и те же последовательности операций. Это делает такую эквивалентность простой и понятной программистам. Её основным и весьма существенным недостатком является сложный и громоздкий алгоритм проверки эквивалентности. Насколько известно автору, структурная эквивалентность была принята только в языке Алгол 68.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Предикат consist в этом случае определим следующим образом: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consist(T1,T2):base_type(T1,BT1),base_type(T2,BT2),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 xml:space="preserve">(BT1=int,BT2=real ; % </w:t>
      </w:r>
      <w:r w:rsidRPr="00DB522A">
        <w:t>приводимость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 xml:space="preserve">equiv(BT1,BT2) ; % </w:t>
      </w:r>
      <w:r w:rsidRPr="00DB522A">
        <w:t>эквивалентность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error("Несовместимые типы")).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Именная эквивалентность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При стандартизации языка Паскаль была принята именная эквивалентность. Согласно её определению эквивалентными могут быть только именованные типы, т.е. типы с атрибутами int, real или tid(_,_):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1. Именованный тип эквивалентен сам себе.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2. Если тип T=tid(I,B) имеет описание declared(I,B,T1), где T1 – именованный тип, то типы T и T1 эквивалентны.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Это очень ограничительное определение. Даже в Паскале допустимо присваивание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U:=V,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если переменные U и V описаны как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var U,V: array[1..10]of real,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хотя имеют неименованный тип "массив". Но в том же Паскале этот оператор недопустим из-за неэквивалентности типов переменных, если они описаны как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var U: array[1..10]of real;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var V: array[1..10]of real;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Чтобы охватить все эти случаи, компилятор для каждого вхождения выражения типа, начинающегося с array, record или ^ (т.е. не являющегося идентификатором типа), вводит уникальное имя типа – псевдоним, благодаря чему разные вхождения одного и того же выражения типа оказываются неэквивалентными в смысле именной эквивалентности.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В соответствии со сказанным следует внести изменения в правила DC-грамматики для нетерминала type, определяющие атрибут типа. В них включается теперь порождение и описание псевдонимов типа. Для генерации новых "имен" можно использовать самые разные методы; мы здесь воспользуемся предикатом recorda, генерирующем в качестве псевдонима уникальную ссылку на пустой терм, записываемый по ключу alias. описание этого псевдонима типа включается в виде предиката declared. 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type(B,tid(A,B)) --&gt;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[array,`[,n(M),`:,n(N),`],of],type(B,T),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{recorda(alias,_,A),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assert(declared(A,B,type(arr(M,N,T)))}.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type(B,tid(A,B)) --&gt;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[record],field(B,F),fields(B,LF),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{correct(F,LF),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recorda(alias,_,A),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assert(declared(A,B,type(rec([F|LF])))},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[end].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type(B,tid(A,B)) --&gt;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[`^,id(I)],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{(type_id2(I,B,B1,type(_));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assert(declared(I,B,type(referred))),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B1=B),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recorda(alias,_,A),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assert(declared(A,B,type(ref(I,B1)))}.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Предикат consist в этом случае определяется следующим образом: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 xml:space="preserve">consist(T1,T2):T1=int,T2=real ; % </w:t>
      </w:r>
      <w:r w:rsidRPr="00DB522A">
        <w:t>приводимость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equiv(T1,T2) ; % эквивалентность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error("Несовместимые типы").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equiv(T,T).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equiv(tid(I,B),tid(I1,B1)):declared(I,B,type(tid(I1,B1)));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declared(I1,B1,type(tid(I,B))).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Именная эквивалентность сравнительно просто реализуется. Но это – отношение (рефлексивное и симметричное) не транзитивно, и поэтому не является эквивалентностью ни в математическом, ни в привычном, обыденном смысле. Понятие псевдонима типа обычно не даётся программистам, Поэтому начинающие программисты на Паскале часто делают ошибки, вроде указанных в примере. Мотивацией для введения именной эквивалентности в 1970-е годы послужило желание избежать ошибок программирования, вроде присваивания "яблокам" "крабов", когда и те, и другие описаны как целые. С развитием объектно-ориентированного программирования подобные ухищрения стали излишними, а именная эквивалентность осталась в некоторых языках как анахронизм.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Структурно-именная эквивалентность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Этот тип эквивалентности самый простой: эквивалентными считаются типы, имеющие одинаковый базовый тип. Предикат consist в этом случае определяется следующим образом: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consist(T1,T2):base_type(T1,BT1),base_type(T2,BT2),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(BT1=int,BT2=real ; % приводимость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BT1=BT2 ; % эквивалентность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error("Несовместимые типы")).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При этом нет необходимости вводить псевдонимы типа, как в случае именной эквивалентности. Вместо предиката acc_type при анализе доступа можно применять предикат base_type.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Отношение структурно-именной эквивалентности рефлексивно, симметрично и транзитивно. По вложению оно лежит строго между структурной и именной эквивалентностями. Им легко пользоваться на практике.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Примеры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1.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 помощью несложной программы мы сможем узнать внутренний код произвольного символа.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Program Code_pf_Char;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{Программа читает символ с клавиатуры и выводит на экран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этот символ и соответствующий ему внутренний код}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var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ch: Char; {В эту переменную читается символ}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begin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Write('Введите любой символ: ');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ReadLn(ch); {Читаем один символ}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WriteLn(ch, ' = ',ord(ch)); {Преобразуем его к целому и выводим на экран}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END.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Обращаем внимание: при вызове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WriteLntch,' = ',ord(ch));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третьим параметром обращения указан вызов функции ORD (СН) , что с точки зрения языка является выражением; во многих случаях при вызове процедур и функций в качестве параметров вызова можно указывать не только переменные или константы, но и выражения с их участием. 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2.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Давайте посмотрим, как можно реализовать на универсальном языке программирования простейшие инструкции лингвиста (даже не используюшие этих понятий), касающиеся этапа преобразования орфографического текста в фонетическую транскрипцию. Далее приведен пример задачи и ее решения на языке Паскаль.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Непроизносимые гласные: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Сочетания "вств" и "стн" транскрибируются как [ств] и [сн] соответственно, т. е.: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1) /вств/ -&gt; [ств]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2) /стн/ -&gt; [лнц]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>Реализация двух данных правил на языке Паскаль: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program transcription;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var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Word: String;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I, J, K: Integer;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begin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Write('</w:t>
      </w:r>
      <w:r w:rsidRPr="00DB522A">
        <w:t>Введите</w:t>
      </w:r>
      <w:r w:rsidRPr="00DB522A">
        <w:rPr>
          <w:lang w:val="en-US"/>
        </w:rPr>
        <w:t xml:space="preserve"> </w:t>
      </w:r>
      <w:r w:rsidRPr="00DB522A">
        <w:t>слово</w:t>
      </w:r>
      <w:r w:rsidRPr="00DB522A">
        <w:rPr>
          <w:lang w:val="en-US"/>
        </w:rPr>
        <w:t>: '); ReadLn(Word);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K := Pos('</w:t>
      </w:r>
      <w:r w:rsidRPr="00DB522A">
        <w:t>вств</w:t>
      </w:r>
      <w:r w:rsidRPr="00DB522A">
        <w:rPr>
          <w:lang w:val="en-US"/>
        </w:rPr>
        <w:t>', word);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while (K 0) do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begin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delete(Word, K, 1);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K := Pos('</w:t>
      </w:r>
      <w:r w:rsidRPr="00DB522A">
        <w:t>вств</w:t>
      </w:r>
      <w:r w:rsidRPr="00DB522A">
        <w:rPr>
          <w:lang w:val="en-US"/>
        </w:rPr>
        <w:t>', Word);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end;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K := Pos('</w:t>
      </w:r>
      <w:r w:rsidRPr="00DB522A">
        <w:t>стн</w:t>
      </w:r>
      <w:r w:rsidRPr="00DB522A">
        <w:rPr>
          <w:lang w:val="en-US"/>
        </w:rPr>
        <w:t>', Word);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while (K 0) do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begin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delete(Word, K+1, 1);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K := Pos('</w:t>
      </w:r>
      <w:r w:rsidRPr="00DB522A">
        <w:t>стн</w:t>
      </w:r>
      <w:r w:rsidRPr="00DB522A">
        <w:rPr>
          <w:lang w:val="en-US"/>
        </w:rPr>
        <w:t>', Word);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end;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WriteLn('</w:t>
      </w:r>
      <w:r w:rsidRPr="00DB522A">
        <w:t>Транскрипция</w:t>
      </w:r>
      <w:r w:rsidRPr="00DB522A">
        <w:rPr>
          <w:lang w:val="en-US"/>
        </w:rPr>
        <w:t>: ', Word);</w:t>
      </w:r>
    </w:p>
    <w:p w:rsidR="0038555B" w:rsidRPr="00DB522A" w:rsidRDefault="0038555B" w:rsidP="0038555B">
      <w:pPr>
        <w:spacing w:before="120"/>
        <w:ind w:firstLine="567"/>
        <w:jc w:val="both"/>
        <w:rPr>
          <w:lang w:val="en-US"/>
        </w:rPr>
      </w:pPr>
      <w:r w:rsidRPr="00DB522A">
        <w:rPr>
          <w:lang w:val="en-US"/>
        </w:rPr>
        <w:t>end.</w:t>
      </w:r>
    </w:p>
    <w:p w:rsidR="0038555B" w:rsidRPr="00DB522A" w:rsidRDefault="0038555B" w:rsidP="0038555B">
      <w:pPr>
        <w:spacing w:before="120"/>
        <w:ind w:firstLine="567"/>
        <w:jc w:val="both"/>
      </w:pPr>
      <w:r w:rsidRPr="00DB522A">
        <w:t xml:space="preserve">Как видно из примера, два правила, изложенные в лингвистическом описании, реализуются программой в двадцать с лишним строк. Нетрудно заметить, что а) такая запись очень громоздка, б) она трудна для восприятия, в) она совершенно не имеет ничего общего с записью, естественной для лингвиста и поэтому плохо отражает суть происходящих преобразований. А если бы мы чуть-чуть усложнили правила, введя несколько слов-исключений, требуя проверить, не является ли транскрибируемое слово производным от одного из них, программа увеличилась бы в два раза или более.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55B"/>
    <w:rsid w:val="00051FB8"/>
    <w:rsid w:val="00095BA6"/>
    <w:rsid w:val="00210DB3"/>
    <w:rsid w:val="0031418A"/>
    <w:rsid w:val="003167A8"/>
    <w:rsid w:val="00350B15"/>
    <w:rsid w:val="00377A3D"/>
    <w:rsid w:val="0038555B"/>
    <w:rsid w:val="0052086C"/>
    <w:rsid w:val="005A2562"/>
    <w:rsid w:val="00755964"/>
    <w:rsid w:val="008C19D7"/>
    <w:rsid w:val="00905618"/>
    <w:rsid w:val="00A44D32"/>
    <w:rsid w:val="00DB522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5456E3-FF46-4363-A1E6-36291071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3158</Words>
  <Characters>18006</Characters>
  <Application>Microsoft Office Word</Application>
  <DocSecurity>0</DocSecurity>
  <Lines>150</Lines>
  <Paragraphs>42</Paragraphs>
  <ScaleCrop>false</ScaleCrop>
  <Company>Home</Company>
  <LinksUpToDate>false</LinksUpToDate>
  <CharactersWithSpaces>21122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Совместимость и преобразование типов данных</dc:title>
  <dc:subject/>
  <dc:creator>Alena</dc:creator>
  <cp:keywords/>
  <dc:description/>
  <cp:lastModifiedBy>admin</cp:lastModifiedBy>
  <cp:revision>2</cp:revision>
  <dcterms:created xsi:type="dcterms:W3CDTF">2014-02-19T12:45:00Z</dcterms:created>
  <dcterms:modified xsi:type="dcterms:W3CDTF">2014-02-19T12:45:00Z</dcterms:modified>
</cp:coreProperties>
</file>