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</w:rPr>
      </w:pPr>
      <w:r w:rsidRPr="002021C9">
        <w:rPr>
          <w:sz w:val="28"/>
        </w:rPr>
        <w:t>Министерство образования Республики Беларусь</w:t>
      </w: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</w:rPr>
      </w:pPr>
      <w:r w:rsidRPr="002021C9">
        <w:rPr>
          <w:sz w:val="28"/>
        </w:rPr>
        <w:t>Учреждение образования</w:t>
      </w:r>
    </w:p>
    <w:p w:rsidR="00502ED8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</w:rPr>
      </w:pPr>
      <w:r w:rsidRPr="002021C9">
        <w:rPr>
          <w:sz w:val="28"/>
        </w:rPr>
        <w:t>"</w:t>
      </w:r>
      <w:r w:rsidR="00502ED8" w:rsidRPr="002021C9">
        <w:rPr>
          <w:sz w:val="28"/>
        </w:rPr>
        <w:t>Гомельский государственный университет</w:t>
      </w:r>
      <w:r w:rsidRPr="002021C9">
        <w:rPr>
          <w:sz w:val="28"/>
        </w:rPr>
        <w:t xml:space="preserve"> </w:t>
      </w:r>
      <w:r w:rsidR="00502ED8" w:rsidRPr="002021C9">
        <w:rPr>
          <w:sz w:val="28"/>
        </w:rPr>
        <w:t>им.</w:t>
      </w:r>
      <w:r w:rsidRPr="002021C9">
        <w:rPr>
          <w:sz w:val="28"/>
        </w:rPr>
        <w:t xml:space="preserve"> </w:t>
      </w:r>
      <w:r w:rsidR="00502ED8" w:rsidRPr="002021C9">
        <w:rPr>
          <w:sz w:val="28"/>
        </w:rPr>
        <w:t xml:space="preserve">Ф. </w:t>
      </w:r>
      <w:r w:rsidR="002021C9" w:rsidRPr="002021C9">
        <w:rPr>
          <w:sz w:val="28"/>
        </w:rPr>
        <w:t>Скоры</w:t>
      </w:r>
      <w:r w:rsidRPr="002021C9">
        <w:rPr>
          <w:sz w:val="28"/>
        </w:rPr>
        <w:t>"</w:t>
      </w: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021C9">
        <w:rPr>
          <w:sz w:val="28"/>
          <w:szCs w:val="28"/>
        </w:rPr>
        <w:t>Географический факультет</w:t>
      </w: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30"/>
        </w:rPr>
      </w:pPr>
      <w:r w:rsidRPr="002021C9">
        <w:rPr>
          <w:sz w:val="28"/>
          <w:szCs w:val="30"/>
        </w:rPr>
        <w:t>Современное состояние планктонных сообществ рек Припять и</w:t>
      </w:r>
      <w:r w:rsidR="00EB1CBB" w:rsidRPr="002021C9">
        <w:rPr>
          <w:sz w:val="28"/>
          <w:szCs w:val="30"/>
        </w:rPr>
        <w:t xml:space="preserve"> </w:t>
      </w:r>
      <w:r w:rsidRPr="002021C9">
        <w:rPr>
          <w:sz w:val="28"/>
          <w:szCs w:val="30"/>
        </w:rPr>
        <w:t>Сож</w:t>
      </w: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021C9">
        <w:rPr>
          <w:sz w:val="28"/>
          <w:szCs w:val="28"/>
        </w:rPr>
        <w:t>Курсовая работа</w:t>
      </w: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B1CBB" w:rsidRPr="002021C9" w:rsidRDefault="00502ED8" w:rsidP="00EB1CBB">
      <w:pPr>
        <w:suppressAutoHyphens/>
        <w:spacing w:line="360" w:lineRule="auto"/>
        <w:ind w:left="5670"/>
        <w:rPr>
          <w:sz w:val="28"/>
          <w:szCs w:val="28"/>
        </w:rPr>
      </w:pPr>
      <w:r w:rsidRPr="002021C9">
        <w:rPr>
          <w:sz w:val="28"/>
          <w:szCs w:val="28"/>
        </w:rPr>
        <w:t>Исполнитель:</w:t>
      </w:r>
    </w:p>
    <w:p w:rsidR="00502ED8" w:rsidRPr="002021C9" w:rsidRDefault="00502ED8" w:rsidP="00EB1CBB">
      <w:pPr>
        <w:suppressAutoHyphens/>
        <w:spacing w:line="360" w:lineRule="auto"/>
        <w:ind w:left="5670"/>
        <w:rPr>
          <w:sz w:val="28"/>
          <w:szCs w:val="28"/>
        </w:rPr>
      </w:pPr>
      <w:r w:rsidRPr="002021C9">
        <w:rPr>
          <w:sz w:val="28"/>
          <w:szCs w:val="28"/>
        </w:rPr>
        <w:t>Студентка группы Г-43 Рассашко И. Ф.,</w:t>
      </w:r>
    </w:p>
    <w:p w:rsidR="00502ED8" w:rsidRPr="002021C9" w:rsidRDefault="00502ED8" w:rsidP="00EB1CBB">
      <w:pPr>
        <w:suppressAutoHyphens/>
        <w:spacing w:line="360" w:lineRule="auto"/>
        <w:ind w:left="5670"/>
        <w:rPr>
          <w:sz w:val="28"/>
          <w:szCs w:val="28"/>
        </w:rPr>
      </w:pPr>
      <w:r w:rsidRPr="002021C9">
        <w:rPr>
          <w:sz w:val="28"/>
          <w:szCs w:val="28"/>
        </w:rPr>
        <w:t>Научный руководитель:</w:t>
      </w:r>
      <w:r w:rsidR="00EB1CBB" w:rsidRPr="002021C9">
        <w:rPr>
          <w:sz w:val="28"/>
          <w:szCs w:val="28"/>
        </w:rPr>
        <w:t xml:space="preserve"> </w:t>
      </w:r>
      <w:r w:rsidR="002021C9" w:rsidRPr="002021C9">
        <w:rPr>
          <w:sz w:val="28"/>
          <w:szCs w:val="28"/>
        </w:rPr>
        <w:t>К</w:t>
      </w:r>
      <w:r w:rsidRPr="002021C9">
        <w:rPr>
          <w:sz w:val="28"/>
          <w:szCs w:val="28"/>
        </w:rPr>
        <w:t xml:space="preserve">овалева </w:t>
      </w:r>
      <w:r w:rsidR="002021C9" w:rsidRPr="002021C9">
        <w:rPr>
          <w:sz w:val="28"/>
          <w:szCs w:val="28"/>
        </w:rPr>
        <w:t>О</w:t>
      </w:r>
      <w:r w:rsidRPr="002021C9">
        <w:rPr>
          <w:sz w:val="28"/>
          <w:szCs w:val="28"/>
        </w:rPr>
        <w:t xml:space="preserve">. </w:t>
      </w:r>
      <w:r w:rsidR="002021C9" w:rsidRPr="002021C9">
        <w:rPr>
          <w:sz w:val="28"/>
          <w:szCs w:val="28"/>
        </w:rPr>
        <w:t>в</w:t>
      </w:r>
      <w:r w:rsidRPr="002021C9">
        <w:rPr>
          <w:sz w:val="28"/>
          <w:szCs w:val="28"/>
        </w:rPr>
        <w:t>.</w:t>
      </w:r>
    </w:p>
    <w:p w:rsidR="00502ED8" w:rsidRPr="002021C9" w:rsidRDefault="00502ED8" w:rsidP="00EB1CBB">
      <w:pPr>
        <w:suppressAutoHyphens/>
        <w:spacing w:line="360" w:lineRule="auto"/>
        <w:ind w:left="5670"/>
        <w:rPr>
          <w:sz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</w:rPr>
      </w:pPr>
    </w:p>
    <w:p w:rsidR="00EB1CBB" w:rsidRPr="002021C9" w:rsidRDefault="00EB1CBB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2ED8" w:rsidRDefault="00502ED8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A6C62" w:rsidRPr="002021C9" w:rsidRDefault="00EA6C62" w:rsidP="00EB1CB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02ED8" w:rsidRPr="002021C9" w:rsidRDefault="00502ED8" w:rsidP="00EB1CBB">
      <w:pPr>
        <w:suppressAutoHyphens/>
        <w:spacing w:line="360" w:lineRule="auto"/>
        <w:ind w:firstLine="709"/>
        <w:jc w:val="center"/>
        <w:rPr>
          <w:sz w:val="28"/>
        </w:rPr>
      </w:pPr>
      <w:r w:rsidRPr="002021C9">
        <w:rPr>
          <w:sz w:val="28"/>
        </w:rPr>
        <w:t>Гомель 2007</w:t>
      </w:r>
    </w:p>
    <w:p w:rsidR="00477146" w:rsidRPr="002021C9" w:rsidRDefault="00EB1CBB" w:rsidP="00EB1CBB">
      <w:pPr>
        <w:pStyle w:val="af0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2"/>
        </w:rPr>
      </w:pPr>
      <w:r w:rsidRPr="002021C9">
        <w:rPr>
          <w:rFonts w:ascii="Times New Roman" w:hAnsi="Times New Roman"/>
          <w:b w:val="0"/>
          <w:color w:val="auto"/>
        </w:rPr>
        <w:br w:type="page"/>
      </w:r>
      <w:bookmarkStart w:id="0" w:name="_Toc252545244"/>
      <w:r w:rsidR="00477146" w:rsidRPr="002021C9">
        <w:rPr>
          <w:rFonts w:ascii="Times New Roman" w:hAnsi="Times New Roman"/>
          <w:b w:val="0"/>
          <w:color w:val="auto"/>
          <w:szCs w:val="32"/>
        </w:rPr>
        <w:t>Введение</w:t>
      </w:r>
      <w:bookmarkEnd w:id="0"/>
    </w:p>
    <w:p w:rsidR="00EB1CBB" w:rsidRPr="002021C9" w:rsidRDefault="00EB1CBB" w:rsidP="00EB1CBB">
      <w:pPr>
        <w:suppressAutoHyphens/>
        <w:spacing w:line="360" w:lineRule="auto"/>
        <w:ind w:firstLine="709"/>
        <w:jc w:val="both"/>
        <w:rPr>
          <w:sz w:val="28"/>
          <w:lang w:eastAsia="en-US"/>
        </w:rPr>
      </w:pPr>
    </w:p>
    <w:p w:rsidR="00EB1CBB" w:rsidRPr="002021C9" w:rsidRDefault="00715E8F" w:rsidP="00EB1CBB">
      <w:pPr>
        <w:pStyle w:val="21"/>
        <w:suppressAutoHyphens/>
        <w:spacing w:line="360" w:lineRule="auto"/>
        <w:ind w:firstLine="709"/>
        <w:rPr>
          <w:sz w:val="28"/>
          <w:szCs w:val="28"/>
        </w:rPr>
      </w:pPr>
      <w:r w:rsidRPr="002021C9">
        <w:rPr>
          <w:bCs/>
          <w:sz w:val="28"/>
          <w:szCs w:val="28"/>
        </w:rPr>
        <w:t>Гидрографическая сеть на территории Белорусского Полесья представлена крупными реками бассейна Днепра, включая его важные притоки – Припять и Сож. О</w:t>
      </w:r>
      <w:r w:rsidRPr="002021C9">
        <w:rPr>
          <w:sz w:val="28"/>
          <w:szCs w:val="28"/>
        </w:rPr>
        <w:t>ни оказывают существенное влияние на формирование его экосистемы, важными компонентами которой являются планктонные сообщества.</w:t>
      </w:r>
    </w:p>
    <w:p w:rsidR="00715E8F" w:rsidRPr="002021C9" w:rsidRDefault="00715E8F" w:rsidP="00EB1CBB">
      <w:pPr>
        <w:pStyle w:val="a6"/>
        <w:suppressAutoHyphens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Первые сведения о фитопланктоне Припяти относятся к 1926 г., Сожа – к 1959 г. Материал по истории и итогам изучения фитопланктона рек имеется в каталоге [1], по зоопланктону – в банке данных [2]. Из последнего видно, что изучение рачкового зоопланктона Припяти начато в мае 1887 г. выдающимся зоологом-карцинологом Киевского университета В.К. Совинским. Летом 1905 г. экспедицией Студенческого кружка для исследования русской природы Московского университета был собран материал по зоопланктону Припяти, и вскоре появились публикации Н.В. Воронкова (1907, 1909) по коловраткам и А.В. Новикова (1907) по ракообразным реки. В 1926 г. (по сборам 1912-1915 гг.) и в 1930 г. (по сборам 1929 г.) были опубликованы работы польских гидробиологов Вольского (</w:t>
      </w:r>
      <w:r w:rsidRPr="002021C9">
        <w:rPr>
          <w:szCs w:val="28"/>
          <w:lang w:val="en-US"/>
        </w:rPr>
        <w:t>Wolski</w:t>
      </w:r>
      <w:r w:rsidRPr="002021C9">
        <w:rPr>
          <w:szCs w:val="28"/>
        </w:rPr>
        <w:t>), Якубисика (</w:t>
      </w:r>
      <w:r w:rsidRPr="002021C9">
        <w:rPr>
          <w:szCs w:val="28"/>
          <w:lang w:val="en-US"/>
        </w:rPr>
        <w:t>Jakubisiak</w:t>
      </w:r>
      <w:r w:rsidRPr="002021C9">
        <w:rPr>
          <w:szCs w:val="28"/>
        </w:rPr>
        <w:t>), Вишневского (</w:t>
      </w:r>
      <w:r w:rsidRPr="002021C9">
        <w:rPr>
          <w:szCs w:val="28"/>
          <w:lang w:val="en-US"/>
        </w:rPr>
        <w:t>Wiszniewski</w:t>
      </w:r>
      <w:r w:rsidRPr="002021C9">
        <w:rPr>
          <w:szCs w:val="28"/>
        </w:rPr>
        <w:t>) по ракообразным и коловраткам Припяти, а в 1931г. и 1932 г. (по сборам 1913 г.) работы Слонимского (</w:t>
      </w:r>
      <w:r w:rsidRPr="002021C9">
        <w:rPr>
          <w:szCs w:val="28"/>
          <w:lang w:val="en-US"/>
        </w:rPr>
        <w:t>Slonimski</w:t>
      </w:r>
      <w:r w:rsidRPr="002021C9">
        <w:rPr>
          <w:szCs w:val="28"/>
        </w:rPr>
        <w:t>) по коловраткам Припяти. Существенный вклад в изучение Припяти внесли украинские гидробиологи. В 1936 г. опубликована статья М.К. Тарана по зоопланктону Припяти.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Летом 1953 г. под руководством Г.Г. Винберга [3] организована комплексная экспедиция по изучению водоемов Полесья, в том числе Припяти, материалы которой послужили основой для прогнозирования изменений в реке под воздействием мелиорации и хозяйственного освоения. В 1956 г. опубликован сборник трудов экспедиции, где имеется работа по зоопланктону реки.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В августе 1959, 1961 и 1963 гг. Травянко В.С. и Цеебом Я.Я. зоопланктон Припяти в приустьевом участке изучался с целью выяснения влияния реки на формирование биологического режима Днепра. Детальные исследования планктона Припяти проведены Д.О. Радзимовським и В.В. Полищуком, результаты которых представлены в книге </w:t>
      </w:r>
      <w:r w:rsidR="00EB1CBB" w:rsidRPr="002021C9">
        <w:rPr>
          <w:szCs w:val="28"/>
        </w:rPr>
        <w:t>"</w:t>
      </w:r>
      <w:r w:rsidRPr="002021C9">
        <w:rPr>
          <w:szCs w:val="28"/>
        </w:rPr>
        <w:t>Планктон р</w:t>
      </w:r>
      <w:r w:rsidRPr="002021C9">
        <w:rPr>
          <w:szCs w:val="28"/>
          <w:lang w:val="en-US"/>
        </w:rPr>
        <w:t>i</w:t>
      </w:r>
      <w:r w:rsidRPr="002021C9">
        <w:rPr>
          <w:szCs w:val="28"/>
        </w:rPr>
        <w:t>чки Прип,ять</w:t>
      </w:r>
      <w:r w:rsidR="00EB1CBB" w:rsidRPr="002021C9">
        <w:rPr>
          <w:szCs w:val="28"/>
        </w:rPr>
        <w:t>"</w:t>
      </w:r>
      <w:r w:rsidRPr="002021C9">
        <w:rPr>
          <w:szCs w:val="28"/>
        </w:rPr>
        <w:t xml:space="preserve"> [4]. Есть материал по зоопланктону реки в работе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В.И. Монченко (1967). Изменение видового и количественного состава зоопланктона Припяти отражено В.А. Бабицким (1975). Имеются данные И.П. Арабиной с соавт. (1983) по видовому и количественному составу летнего зоопланктона Припяти в районе Национального парка </w:t>
      </w:r>
      <w:r w:rsidR="00EB1CBB" w:rsidRPr="002021C9">
        <w:rPr>
          <w:szCs w:val="28"/>
        </w:rPr>
        <w:t>"</w:t>
      </w:r>
      <w:r w:rsidRPr="002021C9">
        <w:rPr>
          <w:szCs w:val="28"/>
        </w:rPr>
        <w:t>Припятский</w:t>
      </w:r>
      <w:r w:rsidR="00EB1CBB" w:rsidRPr="002021C9">
        <w:rPr>
          <w:szCs w:val="28"/>
        </w:rPr>
        <w:t>"</w:t>
      </w:r>
      <w:r w:rsidRPr="002021C9">
        <w:rPr>
          <w:szCs w:val="28"/>
        </w:rPr>
        <w:t>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Материалы указанных авторов приведены в банке данных [2]. В 1982 г. в рамках комплексной экспедиции Института зоологии НАН Б проведены исследования по изучению состояния зоопланктона Припяти с целью прогнозирования тех изменений в видовом составе, структуре и функционировании, которые могут быть вызваны обвалованием русла реки. Полученные данные представлены в публикациях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Г.А. Галковской с соавт. [5, 6],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 ряде других работ. В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каталоге по коловраткам водных экосистем Беларуси, изданном в 2001 г., есть данные и по коловраткам Припяти [7].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 2003 г. опубликовано первое систематизированное издание, содержащее изложение особенностей природных ресурсов, включая биоразнообразие, водосборного бассейна р. Припять [8], где, наряду с другими данными,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приводится характеристика основных сообществ гидробионтов Припяти.</w:t>
      </w:r>
    </w:p>
    <w:p w:rsidR="00EB1CBB" w:rsidRPr="002021C9" w:rsidRDefault="00715E8F" w:rsidP="00EB1CBB">
      <w:pPr>
        <w:pStyle w:val="33"/>
        <w:suppressAutoHyphens/>
        <w:spacing w:line="360" w:lineRule="auto"/>
        <w:ind w:firstLine="709"/>
        <w:rPr>
          <w:sz w:val="28"/>
          <w:szCs w:val="28"/>
        </w:rPr>
      </w:pPr>
      <w:r w:rsidRPr="002021C9">
        <w:rPr>
          <w:sz w:val="28"/>
          <w:szCs w:val="28"/>
        </w:rPr>
        <w:t>Исследования зоопланктона реки Сож начаты в 1959 году и продолжены в 1962, 1963 гг. в районе устья В.С. Травянко и Я.Я. Цеебом, в 1972 г. В.В. Полищуком, в 1986-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87 гг. нами в устье проводились круглогодичные исследования. С 1991 г. имеют место регулярные исследования планктона реки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на участках, расположенных выше, в черте и ниже г. Гомель, в том числе ниже поступления очищенных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сточных вод города.</w:t>
      </w:r>
    </w:p>
    <w:p w:rsidR="00715E8F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21C9">
        <w:rPr>
          <w:sz w:val="28"/>
          <w:szCs w:val="28"/>
        </w:rPr>
        <w:t xml:space="preserve">В общем, изучение планктона </w:t>
      </w:r>
      <w:r w:rsidRPr="002021C9">
        <w:rPr>
          <w:bCs/>
          <w:sz w:val="28"/>
          <w:szCs w:val="28"/>
        </w:rPr>
        <w:t xml:space="preserve">Припяти и Сожа </w:t>
      </w:r>
      <w:r w:rsidRPr="002021C9">
        <w:rPr>
          <w:sz w:val="28"/>
          <w:szCs w:val="28"/>
        </w:rPr>
        <w:t xml:space="preserve">проводилось разными исследователями. Результаты многолетних исследований </w:t>
      </w:r>
      <w:r w:rsidRPr="002021C9">
        <w:rPr>
          <w:bCs/>
          <w:sz w:val="28"/>
          <w:szCs w:val="28"/>
        </w:rPr>
        <w:t>показывают, что планктонные сообщества рек характеризуются значительным биоразнообразием</w:t>
      </w:r>
      <w:r w:rsidRPr="002021C9">
        <w:rPr>
          <w:sz w:val="28"/>
          <w:szCs w:val="28"/>
        </w:rPr>
        <w:t>. В настоящее время в альгофлоре Припяти по данным Т.М. Михеевой [1] значится 818 таксонов в ранге ниже рода и 682 вида водорослей. Первое место принадлежит зеленым водорослям – 278 (236), второе – диатомовым – 228 (191), третье – синезеленым – 123 (105). Далее следуют эвгленовые – 114 (83), золотистые – 36 (34), динофитовые – 19 (15), желтозеленые – 14 (12), криптофитовые – 6. Фитопланктон р. Сож разнообразен, представлен в основном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широко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распространенными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видами,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имеет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структуру типичную для речного фитопланктона, четкую годовую динамику видового состава и численности при наибольшем биоразнообразии и развитии летом.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Количественно фитопланктон р. Сож развит хорошо, наблюдается тенденция в увеличении как его разнообразия, так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численности и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биомассы. Обобщенные данные по биоразнообразию фитопланктона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р. Сож за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весь период изучения сообщества показывают, что он включает более 200 видов и внутривидовых таксонов водорослей из 8 отделов. Зоопланктон Припяти включает 257 видов и вариететов, в том числе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коловраток – 145, ветвистоусых ракообразных – 68, веслоногих ракообразных – 44 [2]. С дополнениями, имеющимися в каталоге [7], количество видов и вариететов коловраток, обнаруженных в Припяти, равно 200. В р. Сож обнаружено 180 видов и вариететов зоопланктона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- 106 - коловраток,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74 – ракообразных,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в том числе, 49 – ветвистоусых, 25 – веслоногих [9].</w:t>
      </w:r>
    </w:p>
    <w:p w:rsidR="00715E8F" w:rsidRPr="002021C9" w:rsidRDefault="00715E8F" w:rsidP="00EB1CBB">
      <w:pPr>
        <w:pStyle w:val="a6"/>
        <w:suppressAutoHyphens/>
        <w:spacing w:line="360" w:lineRule="auto"/>
        <w:ind w:firstLine="709"/>
        <w:rPr>
          <w:szCs w:val="28"/>
        </w:rPr>
      </w:pPr>
      <w:r w:rsidRPr="002021C9">
        <w:rPr>
          <w:szCs w:val="28"/>
        </w:rPr>
        <w:t>Учитывая важное экологическое и практическое значение Припяти и Сожа, исследования по изучению планктонных сообществ рек и факторов среды их обитания продолжаются. Нами в июле 2002 г., июне-сентябре 2003 г. проведены исследования на 1-4 станциях Припяти в районе порта г. Мозырь. На р. Сож исследования осуществлены в летний период 2002-2003 гг. на шести станциях, расположенных выше, в черте и ниже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г. Гомель, и на трех станциях в окрестностях дачной и санаторной зон п. Ченки. Кроме гидробиологических, изучались гидрохимические показатели – 9 для Припяти, 23 – для Сожа (гидрохимические анализы выполняли Л.А. Кухаренко и Т. Д. Довыденко, и авторы выражают им признательность). Сбор и обработка материала выполнены стандартными методами. Качественные пробы брали планктонной сетью, для количественных учетов пробы брали путем фильтрации 100 л воды через планктонную сеть №55, кроме того, для учета коловраток и фитопланктона применяли осадочный метод (объем проб 1,0 и 0,5 л ).</w:t>
      </w:r>
    </w:p>
    <w:p w:rsidR="00EB1CBB" w:rsidRPr="002021C9" w:rsidRDefault="00715E8F" w:rsidP="00EB1CBB">
      <w:pPr>
        <w:pStyle w:val="a6"/>
        <w:suppressAutoHyphens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Имеются гидрохимические показатели, характеризующие состояние среды рек, которые не превышают ПДК. В то же время, в р. Припять отмечено превышение допустимых величин по БПК5, ПДК по азоту аммонийному и нитритному, фосфатам, взвешенному веществу. По данным [10] в 2002 г. в Припяти содержание основных загрязняющих ингредиентов находится в пределах 0,5-2,5 ПДК, зарегистрировано высокое содержание азота нитритного (10,2 ПДК) и цинка (12,3 ПДК). По комплексной оценке качества воды индекс загрязненности (ИЗВ), показывающий на степень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химического загрязнения реки, несколько превышает 1 ПДК (</w:t>
      </w:r>
      <w:r w:rsidRPr="002021C9">
        <w:rPr>
          <w:szCs w:val="28"/>
          <w:lang w:val="en-US"/>
        </w:rPr>
        <w:t>III</w:t>
      </w:r>
      <w:r w:rsidRPr="002021C9">
        <w:rPr>
          <w:szCs w:val="28"/>
        </w:rPr>
        <w:t xml:space="preserve"> класс качества воды). В Соже имеет место превышение допустимых величин по цветности и мутности, БПК5, ПДК азота аммонийного, азота нитритного, цинка, железа, нефтепродуктов, фенолов. В р. Сож у Гомеля в 2002 г. [10] концентрация загрязняющих ингредиентов не превышает 0,5-2,0 ПДК, вода реки характеризуется как умеренно загрязненная – ИЗВ равен 1,1-1,3 (</w:t>
      </w:r>
      <w:r w:rsidRPr="002021C9">
        <w:rPr>
          <w:szCs w:val="28"/>
          <w:lang w:val="en-US"/>
        </w:rPr>
        <w:t>III</w:t>
      </w:r>
      <w:r w:rsidRPr="002021C9">
        <w:rPr>
          <w:szCs w:val="28"/>
        </w:rPr>
        <w:t xml:space="preserve"> класс качества воды).</w:t>
      </w:r>
    </w:p>
    <w:p w:rsidR="00EB1CBB" w:rsidRPr="002021C9" w:rsidRDefault="00EB1CBB" w:rsidP="00EB1CBB">
      <w:pPr>
        <w:pStyle w:val="a6"/>
        <w:suppressAutoHyphens/>
        <w:spacing w:line="360" w:lineRule="auto"/>
        <w:ind w:firstLine="709"/>
        <w:rPr>
          <w:szCs w:val="28"/>
        </w:rPr>
      </w:pPr>
    </w:p>
    <w:p w:rsidR="00477146" w:rsidRPr="002021C9" w:rsidRDefault="00EB1CBB" w:rsidP="00EB1CBB">
      <w:pPr>
        <w:pStyle w:val="a6"/>
        <w:suppressAutoHyphens/>
        <w:spacing w:line="360" w:lineRule="auto"/>
        <w:ind w:firstLine="709"/>
        <w:rPr>
          <w:szCs w:val="32"/>
        </w:rPr>
      </w:pPr>
      <w:r w:rsidRPr="002021C9">
        <w:rPr>
          <w:szCs w:val="28"/>
        </w:rPr>
        <w:br w:type="page"/>
      </w:r>
      <w:bookmarkStart w:id="1" w:name="_Toc252545245"/>
      <w:r w:rsidR="00477146" w:rsidRPr="002021C9">
        <w:rPr>
          <w:szCs w:val="32"/>
        </w:rPr>
        <w:t>Исследование</w:t>
      </w:r>
      <w:bookmarkEnd w:id="1"/>
    </w:p>
    <w:p w:rsidR="00EB1CBB" w:rsidRPr="002021C9" w:rsidRDefault="00EB1CBB" w:rsidP="00EB1CBB">
      <w:pPr>
        <w:pStyle w:val="a6"/>
        <w:suppressAutoHyphens/>
        <w:spacing w:line="360" w:lineRule="auto"/>
        <w:ind w:firstLine="709"/>
        <w:rPr>
          <w:szCs w:val="32"/>
        </w:rPr>
      </w:pPr>
    </w:p>
    <w:p w:rsidR="00EB1CBB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 xml:space="preserve">Биоразнообразие фитопланктона исследуемого участка Припяти довольно значительное – обнаружено около 100 видов, с преобладанием зеленых водорослей – 50,7-55,0%. Количество диатомовых в 2-3 раза меньше, разнообразны синезеленые (до 10 видов), есть водоросли из отделов эвгленовые, динофитовые, золотистые, криптофитовые. В количественном отношении фитопланктон обильно развит – его плотность достигает 48,08 млн. кл./л, (в 1961 г. она изменялась от 1,03 до 10,25 млн. кл./л), массовыми водорослями являются </w:t>
      </w:r>
      <w:r w:rsidRPr="002021C9">
        <w:rPr>
          <w:iCs/>
          <w:szCs w:val="28"/>
          <w:lang w:val="en-US"/>
        </w:rPr>
        <w:t>Melosira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granulat</w:t>
      </w:r>
      <w:r w:rsidRPr="002021C9">
        <w:rPr>
          <w:iCs/>
          <w:szCs w:val="28"/>
        </w:rPr>
        <w:t xml:space="preserve">а </w:t>
      </w:r>
      <w:r w:rsidRPr="002021C9">
        <w:rPr>
          <w:szCs w:val="28"/>
        </w:rPr>
        <w:t>(</w:t>
      </w:r>
      <w:r w:rsidRPr="002021C9">
        <w:rPr>
          <w:iCs/>
          <w:szCs w:val="28"/>
          <w:lang w:val="en-US"/>
        </w:rPr>
        <w:t>M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g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var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angustissima</w:t>
      </w:r>
      <w:r w:rsidRPr="002021C9">
        <w:rPr>
          <w:iCs/>
          <w:szCs w:val="28"/>
        </w:rPr>
        <w:t xml:space="preserve">), </w:t>
      </w:r>
      <w:r w:rsidRPr="002021C9">
        <w:rPr>
          <w:iCs/>
          <w:szCs w:val="28"/>
          <w:lang w:val="en-US"/>
        </w:rPr>
        <w:t>M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italica</w:t>
      </w:r>
      <w:r w:rsidRPr="002021C9">
        <w:rPr>
          <w:iCs/>
          <w:szCs w:val="28"/>
        </w:rPr>
        <w:t xml:space="preserve"> </w:t>
      </w:r>
      <w:r w:rsidRPr="002021C9">
        <w:rPr>
          <w:szCs w:val="28"/>
        </w:rPr>
        <w:t>(</w:t>
      </w:r>
      <w:r w:rsidRPr="002021C9">
        <w:rPr>
          <w:iCs/>
          <w:szCs w:val="28"/>
          <w:lang w:val="en-US"/>
        </w:rPr>
        <w:t>M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i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var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tenuissima</w:t>
      </w:r>
      <w:r w:rsidRPr="002021C9">
        <w:rPr>
          <w:szCs w:val="28"/>
        </w:rPr>
        <w:t xml:space="preserve">), </w:t>
      </w:r>
      <w:r w:rsidRPr="002021C9">
        <w:rPr>
          <w:iCs/>
          <w:szCs w:val="28"/>
          <w:lang w:val="en-US"/>
        </w:rPr>
        <w:t>Dictyosphaerium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pulchellum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Scenedesmus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quadricauda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Actinastrum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hantzschii</w:t>
      </w:r>
      <w:r w:rsidRPr="002021C9">
        <w:rPr>
          <w:szCs w:val="28"/>
        </w:rPr>
        <w:t xml:space="preserve"> и др. </w:t>
      </w:r>
      <w:r w:rsidRPr="002021C9">
        <w:rPr>
          <w:iCs/>
          <w:szCs w:val="28"/>
        </w:rPr>
        <w:t xml:space="preserve">Отмеченные водоросли встречались в Припяти в 60-х гг., являлись массовыми. Наблюдается значительное развитие видов фитопланктона, вызывающих </w:t>
      </w:r>
      <w:r w:rsidR="00EB1CBB" w:rsidRPr="002021C9">
        <w:rPr>
          <w:iCs/>
          <w:szCs w:val="28"/>
        </w:rPr>
        <w:t>"</w:t>
      </w:r>
      <w:r w:rsidRPr="002021C9">
        <w:rPr>
          <w:iCs/>
          <w:szCs w:val="28"/>
        </w:rPr>
        <w:t>цветение</w:t>
      </w:r>
      <w:r w:rsidR="00EB1CBB" w:rsidRPr="002021C9">
        <w:rPr>
          <w:iCs/>
          <w:szCs w:val="28"/>
        </w:rPr>
        <w:t>"</w:t>
      </w:r>
      <w:r w:rsidRPr="002021C9">
        <w:rPr>
          <w:iCs/>
          <w:szCs w:val="28"/>
        </w:rPr>
        <w:t xml:space="preserve">, прежде всего синезеленых водорослей, что может быть вызвано повышенным содержанием в воде некоторых биогенных элементов. Из указанных водорослей необходимо отметить развитие прежде всего </w:t>
      </w:r>
      <w:r w:rsidRPr="002021C9">
        <w:rPr>
          <w:szCs w:val="28"/>
          <w:lang w:val="en-US"/>
        </w:rPr>
        <w:t>Microcystis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aeruginosa</w:t>
      </w:r>
      <w:r w:rsidRPr="002021C9">
        <w:rPr>
          <w:szCs w:val="28"/>
        </w:rPr>
        <w:t>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M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pulverea</w:t>
      </w:r>
      <w:r w:rsidRPr="002021C9">
        <w:rPr>
          <w:szCs w:val="28"/>
        </w:rPr>
        <w:t xml:space="preserve">, </w:t>
      </w:r>
      <w:r w:rsidRPr="002021C9">
        <w:rPr>
          <w:iCs/>
          <w:szCs w:val="28"/>
        </w:rPr>
        <w:t xml:space="preserve">встречаются </w:t>
      </w:r>
      <w:r w:rsidRPr="002021C9">
        <w:rPr>
          <w:szCs w:val="28"/>
          <w:lang w:val="en-US"/>
        </w:rPr>
        <w:t>Anabaena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sp</w:t>
      </w:r>
      <w:r w:rsidRPr="002021C9">
        <w:rPr>
          <w:szCs w:val="28"/>
        </w:rPr>
        <w:t xml:space="preserve">., </w:t>
      </w:r>
      <w:r w:rsidRPr="002021C9">
        <w:rPr>
          <w:szCs w:val="28"/>
          <w:lang w:val="en-US"/>
        </w:rPr>
        <w:t>Aphanizomenon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flos</w:t>
      </w:r>
      <w:r w:rsidRPr="002021C9">
        <w:rPr>
          <w:szCs w:val="28"/>
        </w:rPr>
        <w:t>-</w:t>
      </w:r>
      <w:r w:rsidRPr="002021C9">
        <w:rPr>
          <w:szCs w:val="28"/>
          <w:lang w:val="en-US"/>
        </w:rPr>
        <w:t>aquae</w:t>
      </w:r>
      <w:r w:rsidRPr="002021C9">
        <w:rPr>
          <w:iCs/>
          <w:szCs w:val="28"/>
        </w:rPr>
        <w:t xml:space="preserve">. Данные водоросли и другие – </w:t>
      </w:r>
      <w:r w:rsidRPr="002021C9">
        <w:rPr>
          <w:szCs w:val="28"/>
          <w:lang w:val="en-US"/>
        </w:rPr>
        <w:t>Gloeocapsa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limnetica</w:t>
      </w:r>
      <w:r w:rsidRPr="002021C9">
        <w:rPr>
          <w:szCs w:val="28"/>
        </w:rPr>
        <w:t xml:space="preserve">, </w:t>
      </w:r>
      <w:r w:rsidRPr="002021C9">
        <w:rPr>
          <w:szCs w:val="28"/>
          <w:lang w:val="en-US"/>
        </w:rPr>
        <w:t>Gloeocapsa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minor</w:t>
      </w:r>
      <w:r w:rsidRPr="002021C9">
        <w:rPr>
          <w:szCs w:val="28"/>
        </w:rPr>
        <w:t xml:space="preserve">, </w:t>
      </w:r>
      <w:r w:rsidRPr="002021C9">
        <w:rPr>
          <w:szCs w:val="28"/>
          <w:lang w:val="en-US"/>
        </w:rPr>
        <w:t>Coelosphaerium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kutzingianum</w:t>
      </w:r>
      <w:r w:rsidRPr="002021C9">
        <w:rPr>
          <w:szCs w:val="28"/>
        </w:rPr>
        <w:t xml:space="preserve">, </w:t>
      </w:r>
      <w:r w:rsidRPr="002021C9">
        <w:rPr>
          <w:szCs w:val="28"/>
          <w:lang w:val="en-US"/>
        </w:rPr>
        <w:t>Gomphosphaeria</w:t>
      </w:r>
      <w:r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lacustris</w:t>
      </w:r>
      <w:r w:rsidRPr="002021C9">
        <w:rPr>
          <w:iCs/>
          <w:szCs w:val="28"/>
        </w:rPr>
        <w:t xml:space="preserve"> (они также обнаружены нами в районе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</w:rPr>
        <w:t>г. Мозырь)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</w:rPr>
        <w:t>постоянно встречались в планктоне по всему течению реки в 60-е гг. [4].</w:t>
      </w:r>
    </w:p>
    <w:p w:rsidR="00EB1CBB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Зоопланктон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Припяти в исследуемый нами период представлен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более 48 видами и вариететами (более 37 – коловратки, 7 – ветвистоусые и 4 – веслоногие ракообразные), принадлежащими к 20 семействам и 25 родам (таблица 1).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Первое место по биоразнообразию занимает семейство </w:t>
      </w:r>
      <w:r w:rsidRPr="002021C9">
        <w:rPr>
          <w:szCs w:val="28"/>
          <w:lang w:val="en-US"/>
        </w:rPr>
        <w:t>Brachionidae</w:t>
      </w:r>
      <w:r w:rsidRPr="002021C9">
        <w:rPr>
          <w:szCs w:val="28"/>
        </w:rPr>
        <w:t xml:space="preserve"> – </w:t>
      </w:r>
      <w:r w:rsidRPr="002021C9">
        <w:rPr>
          <w:iCs/>
          <w:szCs w:val="28"/>
        </w:rPr>
        <w:t xml:space="preserve">17 видов и вариететов. К семейству </w:t>
      </w:r>
      <w:r w:rsidRPr="002021C9">
        <w:rPr>
          <w:szCs w:val="28"/>
          <w:lang w:val="en-US"/>
        </w:rPr>
        <w:t>Trichocercidae</w:t>
      </w:r>
      <w:r w:rsidRPr="002021C9">
        <w:rPr>
          <w:szCs w:val="28"/>
        </w:rPr>
        <w:t xml:space="preserve"> </w:t>
      </w:r>
      <w:r w:rsidRPr="002021C9">
        <w:rPr>
          <w:iCs/>
          <w:szCs w:val="28"/>
        </w:rPr>
        <w:t>относится 6 видов, к семействам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  <w:lang w:val="en-US"/>
        </w:rPr>
        <w:t>Synchaetidae</w:t>
      </w:r>
      <w:r w:rsidRPr="002021C9">
        <w:rPr>
          <w:szCs w:val="28"/>
        </w:rPr>
        <w:t>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Chydoridae</w:t>
      </w:r>
      <w:r w:rsidRPr="002021C9">
        <w:rPr>
          <w:szCs w:val="28"/>
        </w:rPr>
        <w:t xml:space="preserve"> </w:t>
      </w:r>
      <w:r w:rsidRPr="002021C9">
        <w:rPr>
          <w:iCs/>
          <w:szCs w:val="28"/>
        </w:rPr>
        <w:t xml:space="preserve">и </w:t>
      </w:r>
      <w:r w:rsidRPr="002021C9">
        <w:rPr>
          <w:szCs w:val="28"/>
          <w:lang w:val="en-US"/>
        </w:rPr>
        <w:t>Cyclopidae</w:t>
      </w:r>
      <w:r w:rsidRPr="002021C9">
        <w:rPr>
          <w:iCs/>
          <w:szCs w:val="28"/>
        </w:rPr>
        <w:t xml:space="preserve"> – по 3 вида, </w:t>
      </w:r>
      <w:r w:rsidRPr="002021C9">
        <w:rPr>
          <w:szCs w:val="28"/>
          <w:lang w:val="en-US"/>
        </w:rPr>
        <w:t>Asplanchnidae</w:t>
      </w:r>
      <w:r w:rsidRPr="002021C9">
        <w:rPr>
          <w:szCs w:val="28"/>
        </w:rPr>
        <w:t xml:space="preserve"> </w:t>
      </w:r>
      <w:r w:rsidRPr="002021C9">
        <w:rPr>
          <w:iCs/>
          <w:szCs w:val="28"/>
        </w:rPr>
        <w:t>- 2 вида. Остальные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14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семейств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представлены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одним видом.</w:t>
      </w:r>
      <w:r w:rsidR="00EB1CBB" w:rsidRPr="002021C9">
        <w:rPr>
          <w:szCs w:val="28"/>
        </w:rPr>
        <w:t xml:space="preserve"> </w:t>
      </w:r>
      <w:r w:rsidRPr="002021C9">
        <w:rPr>
          <w:iCs/>
          <w:szCs w:val="28"/>
        </w:rPr>
        <w:t>П</w:t>
      </w:r>
      <w:r w:rsidRPr="002021C9">
        <w:rPr>
          <w:szCs w:val="28"/>
        </w:rPr>
        <w:t>о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количеству видов и внутривидовых таксонов наиболее разнообразен род </w:t>
      </w:r>
      <w:r w:rsidRPr="002021C9">
        <w:rPr>
          <w:szCs w:val="28"/>
          <w:lang w:val="en-US"/>
        </w:rPr>
        <w:t>Brachionus</w:t>
      </w:r>
      <w:r w:rsidRPr="002021C9">
        <w:rPr>
          <w:szCs w:val="28"/>
        </w:rPr>
        <w:t xml:space="preserve"> (14),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далее следуют роды </w:t>
      </w:r>
      <w:r w:rsidRPr="002021C9">
        <w:rPr>
          <w:iCs/>
          <w:szCs w:val="28"/>
          <w:lang w:val="en-US"/>
        </w:rPr>
        <w:t>Trichocerca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(6), </w:t>
      </w:r>
      <w:r w:rsidRPr="002021C9">
        <w:rPr>
          <w:iCs/>
          <w:szCs w:val="28"/>
          <w:lang w:val="en-US"/>
        </w:rPr>
        <w:t>Keratella</w:t>
      </w:r>
      <w:r w:rsidRPr="002021C9">
        <w:rPr>
          <w:iCs/>
          <w:szCs w:val="28"/>
        </w:rPr>
        <w:t xml:space="preserve"> </w:t>
      </w:r>
      <w:r w:rsidRPr="002021C9">
        <w:rPr>
          <w:szCs w:val="28"/>
        </w:rPr>
        <w:t>и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Synchaeta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</w:rPr>
        <w:t xml:space="preserve">(3), </w:t>
      </w:r>
      <w:r w:rsidRPr="002021C9">
        <w:rPr>
          <w:iCs/>
          <w:szCs w:val="28"/>
          <w:lang w:val="en-US"/>
        </w:rPr>
        <w:t>Asplanchna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</w:rPr>
        <w:t>(2). Остальные 20 родов представлены одним видом. В целом, существенный вклад в биоразнообразие зоопланктона р. Припять вносят одно- и двухвидовые семейства (70%) и роды (87%).</w:t>
      </w:r>
    </w:p>
    <w:p w:rsidR="00EB1CBB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Плотность зоопланктона, как отмечено выше, устанавливалась нами по сетным и осадочным пробам. В каталоге [7] указывается, что при определении численности и видового состава коловраток могут быть большие погрешности, обусловленные потерей мелких видов при использовании мельничного сита, и обосновывается необходимость отбора осадочных проб для получения достоверных данных о численности и видовом составе коловраток. Из примечания 2 таблицы 2 видно, что при проведении исследований по зоопланктону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р. Припять в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40-60-е годы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осадочный метод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не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использовался,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что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вносит затруднения в оценку характера многолетних изменений, происходящих в зоопланктоне. Поэтому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для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более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корректного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сопоставления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наших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данных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с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литературными представляется необходимым привести результаты, полученные с использованием разных методов учета. Плотность зоопланктона Припяти в исследуемом районе, установленная по сетным и осадочным пробам, различается.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По сетным пробам она составляет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24,42 тыс. экз./м3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(2002 г.), 1,72-9,31 тыс. экз./м3 (2003 г.).</w:t>
      </w:r>
    </w:p>
    <w:p w:rsidR="00715E8F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Плотность зоопланктона с учетом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осадочного метода имеет другой порядок величин и достигает 1628,0 – 3013,9 тыс. экз./м3. Для сравнения отметим, что по нашим данным в аналогичный период 1986-87 гг. плотность зоопланктона Днепра в районе впадения Сожа и Березины изменялась в пределах 8,0-2800,0 тыс. экз./м3,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 Соже – 9,0-1033,0 тыс. экз./м3 , в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Березине - 103,0-4697,0 тыс. экз./м3. По среднегодовым данным доля коловраток в общей плотности зоопланктона составляла 99,2-99,9%. В период исследований, проведенных в 80-х и начале 90-х гг. [12] в Припяти на территории Национального парка </w:t>
      </w:r>
      <w:r w:rsidR="00EB1CBB" w:rsidRPr="002021C9">
        <w:rPr>
          <w:szCs w:val="28"/>
        </w:rPr>
        <w:t>"</w:t>
      </w:r>
      <w:r w:rsidRPr="002021C9">
        <w:rPr>
          <w:szCs w:val="28"/>
        </w:rPr>
        <w:t>Припятский</w:t>
      </w:r>
      <w:r w:rsidR="00EB1CBB" w:rsidRPr="002021C9">
        <w:rPr>
          <w:szCs w:val="28"/>
        </w:rPr>
        <w:t>"</w:t>
      </w:r>
      <w:r w:rsidRPr="002021C9">
        <w:rPr>
          <w:szCs w:val="28"/>
        </w:rPr>
        <w:t xml:space="preserve"> плотность отдельных видов коловраток, как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a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bidens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</w:rPr>
        <w:t>достигала 4140 тыс. экз./м3,</w:t>
      </w:r>
      <w:r w:rsidR="00EB1CBB" w:rsidRPr="002021C9">
        <w:rPr>
          <w:szCs w:val="28"/>
        </w:rPr>
        <w:t xml:space="preserve"> </w:t>
      </w:r>
      <w:r w:rsidRPr="002021C9">
        <w:rPr>
          <w:iCs/>
          <w:szCs w:val="28"/>
          <w:lang w:val="en-US"/>
        </w:rPr>
        <w:t>Tr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pusilla</w:t>
      </w:r>
      <w:r w:rsidRPr="002021C9">
        <w:rPr>
          <w:szCs w:val="28"/>
        </w:rPr>
        <w:t xml:space="preserve"> – 23257 тыс. экз./м3 . Плотность зоопланктона Сожа в июне-сентябре 1996 г.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 районе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г. Гомель была 8,51-655,87 тыс. экз./м3, при доле коловраток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по среднегодовым данным - 93,1-99,8%.</w:t>
      </w:r>
    </w:p>
    <w:p w:rsidR="00EB1CBB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По полученным нами данным наибольшее разнообразие и обилие зоопланктона в Припяти приходится на июль. К концу лета количество видов и плотность уменьшаются.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Основу плотности (с учетом данных, полученных по осадочным пробам) составляют коловратки – до 99,9%. Хорошо выражено значение 1-3 структурообразующих видов: в разное время исследований ими являлись </w:t>
      </w:r>
      <w:r w:rsidRPr="002021C9">
        <w:rPr>
          <w:iCs/>
          <w:szCs w:val="28"/>
          <w:lang w:val="en-US"/>
        </w:rPr>
        <w:t>Tr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pusilla</w:t>
      </w:r>
      <w:r w:rsidRPr="002021C9">
        <w:rPr>
          <w:szCs w:val="28"/>
        </w:rPr>
        <w:t xml:space="preserve">, Br. а. </w:t>
      </w:r>
      <w:r w:rsidRPr="002021C9">
        <w:rPr>
          <w:szCs w:val="28"/>
          <w:lang w:val="en-US"/>
        </w:rPr>
        <w:t>bidens</w:t>
      </w:r>
      <w:r w:rsidRPr="002021C9">
        <w:rPr>
          <w:szCs w:val="28"/>
        </w:rPr>
        <w:t>, Br. calyciflorus,</w:t>
      </w:r>
      <w:r w:rsidRPr="002021C9">
        <w:rPr>
          <w:iCs/>
          <w:szCs w:val="28"/>
        </w:rPr>
        <w:t xml:space="preserve"> довольно часто встречались </w:t>
      </w:r>
      <w:r w:rsidRPr="002021C9">
        <w:rPr>
          <w:szCs w:val="28"/>
          <w:lang w:val="en-US"/>
        </w:rPr>
        <w:t>K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c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tecta</w:t>
      </w:r>
      <w:r w:rsidRPr="002021C9">
        <w:rPr>
          <w:szCs w:val="28"/>
        </w:rPr>
        <w:t xml:space="preserve">, </w:t>
      </w:r>
      <w:r w:rsidRPr="002021C9">
        <w:rPr>
          <w:szCs w:val="28"/>
          <w:lang w:val="en-US"/>
        </w:rPr>
        <w:t>F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l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longiseta</w:t>
      </w:r>
      <w:r w:rsidRPr="002021C9">
        <w:rPr>
          <w:szCs w:val="28"/>
        </w:rPr>
        <w:t>,</w:t>
      </w:r>
      <w:r w:rsidR="00EB1CBB" w:rsidRPr="002021C9">
        <w:rPr>
          <w:szCs w:val="28"/>
        </w:rPr>
        <w:t xml:space="preserve"> </w:t>
      </w:r>
      <w:r w:rsidRPr="002021C9">
        <w:rPr>
          <w:iCs/>
          <w:szCs w:val="28"/>
          <w:lang w:val="en-US"/>
        </w:rPr>
        <w:t>B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longirostris</w:t>
      </w:r>
      <w:r w:rsidRPr="002021C9">
        <w:rPr>
          <w:iCs/>
          <w:szCs w:val="28"/>
        </w:rPr>
        <w:t xml:space="preserve"> </w:t>
      </w:r>
      <w:r w:rsidRPr="002021C9">
        <w:rPr>
          <w:szCs w:val="28"/>
        </w:rPr>
        <w:t>и др</w:t>
      </w:r>
      <w:r w:rsidRPr="002021C9">
        <w:rPr>
          <w:iCs/>
          <w:szCs w:val="28"/>
        </w:rPr>
        <w:t xml:space="preserve">. </w:t>
      </w:r>
      <w:r w:rsidRPr="002021C9">
        <w:rPr>
          <w:szCs w:val="28"/>
        </w:rPr>
        <w:t>Структура сообщества по сетным пробам также характеризуется более разнообразным ротаторным планктоном (76,7%), кладоцеры составляют 14,0%, копеподы – 9,3%. Такое соотношение сохраняется и</w:t>
      </w:r>
    </w:p>
    <w:p w:rsidR="00EB1CBB" w:rsidRPr="002021C9" w:rsidRDefault="00EB1CBB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</w:p>
    <w:p w:rsidR="00715E8F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iCs/>
          <w:szCs w:val="28"/>
        </w:rPr>
      </w:pPr>
      <w:r w:rsidRPr="002021C9">
        <w:rPr>
          <w:szCs w:val="28"/>
        </w:rPr>
        <w:t>Таблица 1</w:t>
      </w:r>
    </w:p>
    <w:p w:rsidR="00715E8F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Видовой состав зоопланктона исследуемых участков рек Припять и Сож (2002-2003 гг.)</w:t>
      </w:r>
    </w:p>
    <w:tbl>
      <w:tblPr>
        <w:tblW w:w="8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1334"/>
        <w:gridCol w:w="891"/>
        <w:gridCol w:w="939"/>
        <w:gridCol w:w="906"/>
      </w:tblGrid>
      <w:tr w:rsidR="00715E8F" w:rsidRPr="00B6360E" w:rsidTr="00B6360E">
        <w:trPr>
          <w:jc w:val="center"/>
        </w:trPr>
        <w:tc>
          <w:tcPr>
            <w:tcW w:w="4621" w:type="dxa"/>
            <w:vMerge w:val="restart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Виды и вариететы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EB1CBB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 xml:space="preserve"> Припять в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Мозыре</w:t>
            </w:r>
          </w:p>
        </w:tc>
        <w:tc>
          <w:tcPr>
            <w:tcW w:w="2736" w:type="dxa"/>
            <w:gridSpan w:val="3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 xml:space="preserve"> Сож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vMerge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Выше</w:t>
            </w:r>
            <w:r w:rsidR="00EB1CBB" w:rsidRPr="00B6360E">
              <w:rPr>
                <w:sz w:val="20"/>
              </w:rPr>
              <w:t xml:space="preserve"> </w:t>
            </w:r>
            <w:r w:rsidRPr="00B6360E">
              <w:rPr>
                <w:sz w:val="20"/>
              </w:rPr>
              <w:t>Гомеля</w:t>
            </w:r>
          </w:p>
        </w:tc>
        <w:tc>
          <w:tcPr>
            <w:tcW w:w="939" w:type="dxa"/>
            <w:shd w:val="clear" w:color="auto" w:fill="auto"/>
          </w:tcPr>
          <w:p w:rsidR="00EB1CBB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Район п."Чен-</w:t>
            </w:r>
          </w:p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ки"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Ниже устья Узы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6360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636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636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636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B6360E">
              <w:rPr>
                <w:sz w:val="20"/>
                <w:szCs w:val="20"/>
                <w:lang w:val="en-US"/>
              </w:rPr>
              <w:t>5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pStyle w:val="FR1"/>
              <w:widowControl/>
              <w:tabs>
                <w:tab w:val="left" w:pos="1020"/>
              </w:tabs>
              <w:suppressAutoHyphens/>
              <w:spacing w:before="0" w:line="360" w:lineRule="auto"/>
              <w:ind w:left="0"/>
              <w:rPr>
                <w:rFonts w:ascii="Times New Roman" w:hAnsi="Times New Roman" w:cs="Times New Roman"/>
                <w:b w:val="0"/>
                <w:iCs/>
              </w:rPr>
            </w:pPr>
            <w:r w:rsidRPr="00B6360E">
              <w:rPr>
                <w:rFonts w:ascii="Times New Roman" w:hAnsi="Times New Roman" w:cs="Times New Roman"/>
                <w:b w:val="0"/>
                <w:iCs/>
              </w:rPr>
              <w:t>Rotifera: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Anuraeopsis fissa fissa (Gosse, 1851)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An.*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Asplanchna sp.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A.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A. priodonta Gosse, 1850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A. sieboldi (Leydig, 1854)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Brachionus angularis angularis (Gosse, 1851)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 xml:space="preserve">Br. 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a. bidens Plate, 1886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benini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Leissling, 1924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calyciflorus calyciflorus (Pallas, 1776)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c. amphyceros (Ehrenberg, 1838)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c. dorcas Gosse, 1851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c. spinosus (Wierzejsky, 1891)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c. anuraeiphormis Brehm, 1909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diversicornis diversicornis (Daday, 1883)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d. homoceros (Wierzejsky, 1891)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falcatus Zacharias, 1898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quadridentatus ancylongatus Schmarda, 1859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q. brevispinus Ehrenberg, 1883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q. cluniorbicularis (Skorikov, 1894)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q. quadridentatus Hermann, 1783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Br. leydigii Cohn, 1862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Cephalodella sp.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C. fluviatilis (Zavadowsky, 1962)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C. gibba (Ehrenberg, 1832)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Colurella colurus (Ehrenberg, 1832)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Cl.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Conochilus unicornis Rousselet, 1892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Cn.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Dipleuchlanis propatula (Gosse, 1886)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Dl.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E. dilatata dilatata Ehrenberg, 1832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E.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E. d. lucksiana Hauer, 1830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E. d. unisetata Leydig, 1854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E. incisa Carlin, 1939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E. oropha Gosse, 1887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Eudactylota eudactylota (Gosse, 1886)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Ed.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Filinia longiseta longiseta (Ehrenberg, 1834)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F.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F. l. limnetica (Zacharias, 1893)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F. passa (Muller, 1786)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Gastropus stylifer Imhof, 1891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Gs.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Kellicottia longispina longispina (Kellicott, 1879)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Kl.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Keratella cochlearis cochlearis (Gosse, 1851)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K.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c. hispida (Lauterborn, 1898)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c. macracantha (Lauterborn, 1898)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c. robusta (Lauterborn, 1900)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c. tecta (Gosse, 1851)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irregularis (Lauterborn, 1898)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i. wartmanni (Asper et Heuscher, 1889)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qudrata qudrata (Muller, 1786)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q. longispina (Thiebaud)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K. testudo (Ehrenberg, 1832)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Lecane sp.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L.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(s. str.) flexilis (Gosse, 1886)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(s.str.) inermis (Bryce, 1892)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(s. str.) luna luna (Muller, 1776)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(s. str.) tenuiseta tenuiseta (Harring, 1914)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both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(Monostyla) sp.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arcuata (Bryce, 1891)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bulla bulla (Gosse, 1832)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closterocerca (Schmarda, 1859)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copies (Harring et Myers, 1926)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decipiens (Murray, 1913)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hamata (Stokes, 1869)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lunaris (Ehrenberg, 1832)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quadridentata (Ehrenberg, 1832)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L. (M.) stenroosi (Meissner, 1908)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Lepadella ovalis (Muller, 1786)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Lp.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Lp. patella (Muller, 1773)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Lp. p. oblonga (Ehrenberg, 1834)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Monommata sp.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M.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M. longiseta (Muller, 1786)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Notholca acuminata acuminata Ehrenberg, 1832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Nt.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P. dolichoptera Idelson, 1925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P. euryptera (Wierzejski, 1891)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P. major Burckhardt, 1900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Ploesoma truncatum (Levander, 1894)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Ps.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Synchaeta pectinata Ehrenberg, 1832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 xml:space="preserve">S. oblonga </w:t>
            </w:r>
            <w:r w:rsidRPr="00B6360E">
              <w:rPr>
                <w:sz w:val="20"/>
                <w:lang w:val="en-US"/>
              </w:rPr>
              <w:t>Ehrenberg, 1831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S. stylata Wierzejski, 1893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Testudinella patina patina (Hermann, 1783)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Ts.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Trichocerca sp.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Tr.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Tr. (s.str.) capucina (Wierzejski et Zacharias, 1898)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Tr. (s.str.) cylindrica (Imhof, 1891)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Tr. (s. str.) elongata (Gosse, 1886)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Tr. (s. str.) iernis (Gosse, 1887)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Tr. (s.str.) pusilla (Lauterbom, 1898)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pStyle w:val="4"/>
              <w:keepNext w:val="0"/>
              <w:suppressAutoHyphens/>
              <w:spacing w:before="0" w:line="360" w:lineRule="auto"/>
              <w:rPr>
                <w:i w:val="0"/>
                <w:color w:val="auto"/>
                <w:sz w:val="20"/>
              </w:rPr>
            </w:pPr>
            <w:r w:rsidRPr="00B6360E">
              <w:rPr>
                <w:i w:val="0"/>
                <w:color w:val="auto"/>
                <w:sz w:val="20"/>
              </w:rPr>
              <w:t>Tr. (D.) sulcata (Jennings, 1894)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Trichotria pocillum pocillum (Muller, 1776)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T.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 xml:space="preserve">Bdelloidea fam. sp., </w:t>
            </w:r>
            <w:r w:rsidRPr="00B6360E">
              <w:rPr>
                <w:sz w:val="20"/>
              </w:rPr>
              <w:t>в</w:t>
            </w:r>
            <w:r w:rsidRPr="00B6360E">
              <w:rPr>
                <w:sz w:val="20"/>
                <w:lang w:val="en-US"/>
              </w:rPr>
              <w:t xml:space="preserve"> </w:t>
            </w:r>
            <w:r w:rsidRPr="00B6360E">
              <w:rPr>
                <w:sz w:val="20"/>
              </w:rPr>
              <w:t>т</w:t>
            </w:r>
            <w:r w:rsidRPr="00B6360E">
              <w:rPr>
                <w:sz w:val="20"/>
                <w:lang w:val="en-US"/>
              </w:rPr>
              <w:t xml:space="preserve">. </w:t>
            </w:r>
            <w:r w:rsidRPr="00B6360E">
              <w:rPr>
                <w:sz w:val="20"/>
              </w:rPr>
              <w:t>ч</w:t>
            </w:r>
            <w:r w:rsidRPr="00B6360E">
              <w:rPr>
                <w:sz w:val="20"/>
                <w:lang w:val="en-US"/>
              </w:rPr>
              <w:t>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EB1CBB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 xml:space="preserve"> </w:t>
            </w:r>
            <w:r w:rsidR="00715E8F" w:rsidRPr="00B6360E">
              <w:rPr>
                <w:iCs/>
                <w:sz w:val="20"/>
                <w:lang w:val="en-US"/>
              </w:rPr>
              <w:t>Philodina sp.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EB1CBB" w:rsidP="00B6360E">
            <w:pPr>
              <w:tabs>
                <w:tab w:val="left" w:pos="1020"/>
              </w:tabs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 xml:space="preserve"> </w:t>
            </w:r>
            <w:r w:rsidR="00715E8F" w:rsidRPr="00B6360E">
              <w:rPr>
                <w:iCs/>
                <w:sz w:val="20"/>
                <w:lang w:val="en-US"/>
              </w:rPr>
              <w:t>Rotaria sp.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tabs>
                <w:tab w:val="left" w:pos="1020"/>
              </w:tabs>
              <w:suppressAutoHyphens/>
              <w:spacing w:line="360" w:lineRule="auto"/>
              <w:rPr>
                <w:bCs/>
                <w:iCs/>
                <w:sz w:val="20"/>
                <w:u w:val="single"/>
                <w:lang w:val="en-US"/>
              </w:rPr>
            </w:pPr>
            <w:r w:rsidRPr="00B6360E">
              <w:rPr>
                <w:bCs/>
                <w:iCs/>
                <w:sz w:val="20"/>
                <w:u w:val="single"/>
                <w:lang w:val="en-US"/>
              </w:rPr>
              <w:t>Cladocera: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Acroperus angustatus Sars, 1863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Ac.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Alona guttata Sars, 1862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Al.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Al. quadrangularis (O.F. 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Al. rectangula Sars, 1862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Biapertura affinis (Leydig, 1860)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Bp.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Bosmina coregoni Baird, 1857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B.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B. longirostris (O.F.Muller,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Bosminopsis deitersi zemovi Linko, 1901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Bs.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Ceriodaphiua aflinis Lilljeborg, 1862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Cr.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Cr. pulchella Sars, 1862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Cr. quadrangula (O.F. 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Cr. reticulata (Jurine, 1820)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Chydorus ovalis Kurz, 1875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Ch.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Ch. sphaericus (O.F. 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Daphnia cucullata Sars, 1862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Dp.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Dp. longispina (O.F. 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Dp. pulex Leydig, 1860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Diaphanosoma brachyurum (Lievin, 1848)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D.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Disparalona rostrata (Koch, 1841)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Ds.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Eurycercus lamellatus (O.F. Muller, 1785)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Er.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Graptoleberis testudinaria (Fischer, 1851)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G.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Ilyocryptus sordidus (Lievin, 1848)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I.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Leptodora kindti (Focke, 1844)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Lt.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Macrothrix hirsuticornis Norman et Brady, 1867 Mr.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Mr. laticornis (Jurine, 1820)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Moina brachiata (Jurine, 1820)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Mn.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Pleuroxus aduncus (Jurine, 1820)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Pl.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Pl. trigonellus (O.F. 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Pl. truncatus (O.F. Muller, 1785)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Pl. uncinatus Baird, 1850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Polyphemus pediculus (Lume, 1778)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Pph.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Scapholeberis mucronata (O.F. Muller, 1785)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Sc.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Sida crystallina (O.F. Muller, 1776)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Sd.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Simocepbalus vetulus (O.F. Muller, 1776)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Sm.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u w:val="single"/>
                <w:lang w:val="en-US"/>
              </w:rPr>
            </w:pPr>
            <w:r w:rsidRPr="00B6360E">
              <w:rPr>
                <w:bCs/>
                <w:iCs/>
                <w:sz w:val="20"/>
                <w:u w:val="single"/>
                <w:lang w:val="en-US"/>
              </w:rPr>
              <w:t>Copepoda: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iCs/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iCs/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iCs/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iCs/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Calanoida: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Eudiaptomus gracilis Sars, 1863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Eu.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Eu. graciloides Lilljeborg, 1888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Eurytemora sp.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Cyclopoida: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Acanthocyclops americanus (Sars, 1863)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Acn.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Acn. vernalis vernalis (Fischer, 1853)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Cyclops</w:t>
            </w:r>
            <w:r w:rsidRPr="00B6360E">
              <w:rPr>
                <w:iCs/>
                <w:sz w:val="20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sp</w:t>
            </w:r>
            <w:r w:rsidRPr="00B6360E">
              <w:rPr>
                <w:iCs/>
                <w:sz w:val="20"/>
              </w:rPr>
              <w:t>.</w:t>
            </w:r>
            <w:r w:rsidR="00EB1CBB" w:rsidRPr="00B6360E">
              <w:rPr>
                <w:iCs/>
                <w:sz w:val="20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Cc.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Cc. strenuus Fischer, 1851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Eucyclops denticulatus (A. Graeter, 1903)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Ec.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 xml:space="preserve">Ec. macrurus (Sars, 1863) 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Ec. serrulatus (Fischer, 1851)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Ec. speratus (Lilljeborg, 1901)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Macrocyclops albidus (Jurine, 1820)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Mc.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Mc. fuscus (Jurine, 1820)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Megacyclops gigas (Claus, 1857)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Mg.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Mg. viridis (Jurine, 1820)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Mesocyclops leuckarti (Claus, 1857)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Ms.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Paracyclops fimbriatus (Fischer, 1853)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Pc.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Thermocyclops crassus (Fischer, 1853)</w:t>
            </w:r>
            <w:r w:rsidR="00EB1CBB" w:rsidRPr="00B6360E">
              <w:rPr>
                <w:iCs/>
                <w:sz w:val="20"/>
                <w:lang w:val="en-US"/>
              </w:rPr>
              <w:t xml:space="preserve"> </w:t>
            </w:r>
            <w:r w:rsidRPr="00B6360E">
              <w:rPr>
                <w:iCs/>
                <w:sz w:val="20"/>
                <w:lang w:val="en-US"/>
              </w:rPr>
              <w:t>Th.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  <w:r w:rsidRPr="00B6360E">
              <w:rPr>
                <w:sz w:val="20"/>
                <w:lang w:val="en-US"/>
              </w:rPr>
              <w:t>+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lang w:val="en-US"/>
              </w:rPr>
            </w:pPr>
            <w:r w:rsidRPr="00B6360E">
              <w:rPr>
                <w:iCs/>
                <w:sz w:val="20"/>
                <w:lang w:val="en-US"/>
              </w:rPr>
              <w:t>Th. oithonoides (Sars, 1863)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+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+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Коловратки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Кладоцеры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iCs/>
                <w:sz w:val="20"/>
                <w:szCs w:val="22"/>
              </w:rPr>
            </w:pPr>
            <w:r w:rsidRPr="00B6360E">
              <w:rPr>
                <w:sz w:val="20"/>
                <w:szCs w:val="22"/>
              </w:rPr>
              <w:t>Копеподы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более 37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7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52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26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13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23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17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14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46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19</w:t>
            </w:r>
          </w:p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9</w:t>
            </w:r>
          </w:p>
        </w:tc>
      </w:tr>
      <w:tr w:rsidR="00715E8F" w:rsidRPr="00B6360E" w:rsidTr="00B6360E">
        <w:trPr>
          <w:jc w:val="center"/>
        </w:trPr>
        <w:tc>
          <w:tcPr>
            <w:tcW w:w="462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rPr>
                <w:sz w:val="20"/>
              </w:rPr>
            </w:pPr>
            <w:r w:rsidRPr="00B6360E">
              <w:rPr>
                <w:sz w:val="20"/>
              </w:rPr>
              <w:t>ВСЕГО</w:t>
            </w:r>
            <w:r w:rsidR="00EB1CBB" w:rsidRPr="00B6360E">
              <w:rPr>
                <w:sz w:val="20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более 48</w:t>
            </w:r>
          </w:p>
        </w:tc>
        <w:tc>
          <w:tcPr>
            <w:tcW w:w="891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91</w:t>
            </w:r>
          </w:p>
        </w:tc>
        <w:tc>
          <w:tcPr>
            <w:tcW w:w="939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54</w:t>
            </w:r>
          </w:p>
        </w:tc>
        <w:tc>
          <w:tcPr>
            <w:tcW w:w="906" w:type="dxa"/>
            <w:shd w:val="clear" w:color="auto" w:fill="auto"/>
          </w:tcPr>
          <w:p w:rsidR="00715E8F" w:rsidRPr="00B6360E" w:rsidRDefault="00715E8F" w:rsidP="00B6360E">
            <w:pPr>
              <w:suppressAutoHyphens/>
              <w:spacing w:line="360" w:lineRule="auto"/>
              <w:jc w:val="center"/>
              <w:rPr>
                <w:sz w:val="20"/>
              </w:rPr>
            </w:pPr>
            <w:r w:rsidRPr="00B6360E">
              <w:rPr>
                <w:sz w:val="20"/>
              </w:rPr>
              <w:t>74</w:t>
            </w:r>
          </w:p>
        </w:tc>
      </w:tr>
    </w:tbl>
    <w:p w:rsidR="00EB1CBB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2021C9">
        <w:rPr>
          <w:sz w:val="28"/>
        </w:rPr>
        <w:t>Примечание</w:t>
      </w:r>
      <w:r w:rsidRPr="002021C9">
        <w:rPr>
          <w:sz w:val="28"/>
          <w:szCs w:val="22"/>
        </w:rPr>
        <w:t>:</w:t>
      </w:r>
      <w:r w:rsidR="00EB1CBB" w:rsidRPr="002021C9">
        <w:rPr>
          <w:sz w:val="28"/>
          <w:szCs w:val="22"/>
        </w:rPr>
        <w:t xml:space="preserve"> </w:t>
      </w:r>
      <w:r w:rsidRPr="002021C9">
        <w:rPr>
          <w:sz w:val="28"/>
          <w:szCs w:val="22"/>
        </w:rPr>
        <w:t>1) Данные по зоопланктону для участков р. Сож, расположенных выше</w:t>
      </w:r>
      <w:r w:rsidR="00EB1CBB" w:rsidRPr="002021C9">
        <w:rPr>
          <w:sz w:val="28"/>
          <w:szCs w:val="22"/>
        </w:rPr>
        <w:t xml:space="preserve"> </w:t>
      </w:r>
      <w:r w:rsidRPr="002021C9">
        <w:rPr>
          <w:sz w:val="28"/>
          <w:szCs w:val="22"/>
        </w:rPr>
        <w:t>г. Гомель и ниже устья р. Уза, приводятся с учетом таковых, полученных</w:t>
      </w:r>
      <w:r w:rsidR="00EB1CBB" w:rsidRPr="002021C9">
        <w:rPr>
          <w:sz w:val="28"/>
          <w:szCs w:val="22"/>
        </w:rPr>
        <w:t xml:space="preserve"> </w:t>
      </w:r>
      <w:r w:rsidRPr="002021C9">
        <w:rPr>
          <w:sz w:val="28"/>
          <w:szCs w:val="22"/>
        </w:rPr>
        <w:t>нами ранее в летний период [ 11-12].</w:t>
      </w:r>
    </w:p>
    <w:p w:rsidR="00715E8F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2021C9">
        <w:rPr>
          <w:sz w:val="28"/>
          <w:szCs w:val="22"/>
        </w:rPr>
        <w:t>2) * Принятые сокращения родовых названий.</w:t>
      </w:r>
    </w:p>
    <w:p w:rsidR="00715E8F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</w:pPr>
    </w:p>
    <w:p w:rsidR="00EB1CBB" w:rsidRPr="002021C9" w:rsidRDefault="00142C49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iCs/>
          <w:szCs w:val="28"/>
        </w:rPr>
      </w:pPr>
      <w:r w:rsidRPr="002021C9">
        <w:rPr>
          <w:szCs w:val="28"/>
        </w:rPr>
        <w:t>по плотности. Основу плотности составляют коловратки - 51,6-89,8% , доля кладоцер - 5,1-35,7%, копепод – 5,1-30,6%. Хорошо выражено значение одного структурообразующего вида (рисунок), при этом в июле 2002 г. им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являлась </w:t>
      </w:r>
      <w:r w:rsidRPr="002021C9">
        <w:rPr>
          <w:iCs/>
          <w:szCs w:val="28"/>
          <w:lang w:val="en-US"/>
        </w:rPr>
        <w:t>B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longirostris</w:t>
      </w:r>
      <w:r w:rsidRPr="002021C9">
        <w:rPr>
          <w:szCs w:val="28"/>
        </w:rPr>
        <w:t xml:space="preserve"> (25,1%), тогда как</w:t>
      </w:r>
      <w:r w:rsidR="00715E8F" w:rsidRPr="002021C9">
        <w:rPr>
          <w:szCs w:val="28"/>
        </w:rPr>
        <w:t xml:space="preserve">в июле 2003 г. – </w:t>
      </w:r>
      <w:r w:rsidR="00715E8F" w:rsidRPr="002021C9">
        <w:rPr>
          <w:szCs w:val="28"/>
          <w:lang w:val="en-US"/>
        </w:rPr>
        <w:t>Br</w:t>
      </w:r>
      <w:r w:rsidR="00715E8F" w:rsidRPr="002021C9">
        <w:rPr>
          <w:szCs w:val="28"/>
        </w:rPr>
        <w:t xml:space="preserve">. </w:t>
      </w:r>
      <w:r w:rsidR="00715E8F" w:rsidRPr="002021C9">
        <w:rPr>
          <w:szCs w:val="28"/>
          <w:lang w:val="en-US"/>
        </w:rPr>
        <w:t>calyciflorus</w:t>
      </w:r>
      <w:r w:rsidR="00715E8F" w:rsidRPr="002021C9">
        <w:rPr>
          <w:szCs w:val="28"/>
        </w:rPr>
        <w:t xml:space="preserve"> </w:t>
      </w:r>
      <w:r w:rsidR="00715E8F" w:rsidRPr="002021C9">
        <w:rPr>
          <w:szCs w:val="28"/>
          <w:lang w:val="en-US"/>
        </w:rPr>
        <w:t>amphyceros</w:t>
      </w:r>
      <w:r w:rsidR="00715E8F" w:rsidRPr="002021C9">
        <w:rPr>
          <w:iCs/>
          <w:szCs w:val="28"/>
        </w:rPr>
        <w:t xml:space="preserve"> (34,0%). В другие месяцы роль доминантов играли иные коловратки – как</w:t>
      </w:r>
      <w:r w:rsidR="00EB1CBB" w:rsidRPr="002021C9">
        <w:rPr>
          <w:iCs/>
          <w:szCs w:val="28"/>
        </w:rPr>
        <w:t xml:space="preserve"> </w:t>
      </w:r>
      <w:r w:rsidR="00715E8F" w:rsidRPr="002021C9">
        <w:rPr>
          <w:szCs w:val="28"/>
        </w:rPr>
        <w:t xml:space="preserve">Br. аngularis </w:t>
      </w:r>
      <w:r w:rsidR="00715E8F" w:rsidRPr="002021C9">
        <w:rPr>
          <w:szCs w:val="28"/>
          <w:lang w:val="en-US"/>
        </w:rPr>
        <w:t>bidens</w:t>
      </w:r>
      <w:r w:rsidR="00715E8F" w:rsidRPr="002021C9">
        <w:rPr>
          <w:szCs w:val="28"/>
        </w:rPr>
        <w:t xml:space="preserve"> </w:t>
      </w:r>
      <w:r w:rsidR="00715E8F" w:rsidRPr="002021C9">
        <w:rPr>
          <w:iCs/>
          <w:szCs w:val="28"/>
        </w:rPr>
        <w:t>(46,9%).</w:t>
      </w:r>
      <w:r w:rsidR="00715E8F" w:rsidRPr="002021C9">
        <w:rPr>
          <w:szCs w:val="28"/>
        </w:rPr>
        <w:t xml:space="preserve"> </w:t>
      </w:r>
      <w:r w:rsidR="00715E8F" w:rsidRPr="002021C9">
        <w:rPr>
          <w:iCs/>
          <w:szCs w:val="28"/>
        </w:rPr>
        <w:t>Имее</w:t>
      </w:r>
      <w:r w:rsidR="00715E8F" w:rsidRPr="002021C9">
        <w:rPr>
          <w:szCs w:val="28"/>
        </w:rPr>
        <w:t>тся еще 1-3 вида и вариетета -</w:t>
      </w:r>
      <w:r w:rsidR="00EB1CBB" w:rsidRPr="002021C9">
        <w:rPr>
          <w:szCs w:val="28"/>
        </w:rPr>
        <w:t xml:space="preserve"> </w:t>
      </w:r>
      <w:r w:rsidR="00715E8F" w:rsidRPr="002021C9">
        <w:rPr>
          <w:szCs w:val="28"/>
          <w:lang w:val="en-US"/>
        </w:rPr>
        <w:t>Br</w:t>
      </w:r>
      <w:r w:rsidR="00715E8F" w:rsidRPr="002021C9">
        <w:rPr>
          <w:szCs w:val="28"/>
        </w:rPr>
        <w:t xml:space="preserve">. с. </w:t>
      </w:r>
      <w:r w:rsidR="00715E8F" w:rsidRPr="002021C9">
        <w:rPr>
          <w:szCs w:val="28"/>
          <w:lang w:val="en-US"/>
        </w:rPr>
        <w:t>spinosus</w:t>
      </w:r>
      <w:r w:rsidR="00715E8F" w:rsidRPr="002021C9">
        <w:rPr>
          <w:szCs w:val="28"/>
        </w:rPr>
        <w:t xml:space="preserve">, </w:t>
      </w:r>
      <w:r w:rsidR="00715E8F" w:rsidRPr="002021C9">
        <w:rPr>
          <w:szCs w:val="28"/>
          <w:lang w:val="en-US"/>
        </w:rPr>
        <w:t>F</w:t>
      </w:r>
      <w:r w:rsidR="00715E8F" w:rsidRPr="002021C9">
        <w:rPr>
          <w:szCs w:val="28"/>
        </w:rPr>
        <w:t xml:space="preserve">. </w:t>
      </w:r>
      <w:r w:rsidR="00715E8F" w:rsidRPr="002021C9">
        <w:rPr>
          <w:szCs w:val="28"/>
          <w:lang w:val="en-US"/>
        </w:rPr>
        <w:t>longiseta</w:t>
      </w:r>
      <w:r w:rsidR="00EB1CBB" w:rsidRPr="002021C9">
        <w:rPr>
          <w:szCs w:val="28"/>
        </w:rPr>
        <w:t xml:space="preserve"> </w:t>
      </w:r>
      <w:r w:rsidR="00715E8F" w:rsidRPr="002021C9">
        <w:rPr>
          <w:szCs w:val="28"/>
          <w:lang w:val="en-US"/>
        </w:rPr>
        <w:t>longiseta</w:t>
      </w:r>
      <w:r w:rsidR="00715E8F" w:rsidRPr="002021C9">
        <w:rPr>
          <w:szCs w:val="28"/>
        </w:rPr>
        <w:t xml:space="preserve">, </w:t>
      </w:r>
      <w:r w:rsidR="00715E8F" w:rsidRPr="002021C9">
        <w:rPr>
          <w:szCs w:val="28"/>
          <w:lang w:val="en-US"/>
        </w:rPr>
        <w:t>Sd</w:t>
      </w:r>
      <w:r w:rsidR="00715E8F" w:rsidRPr="002021C9">
        <w:rPr>
          <w:szCs w:val="28"/>
        </w:rPr>
        <w:t xml:space="preserve">. </w:t>
      </w:r>
      <w:r w:rsidR="00715E8F" w:rsidRPr="002021C9">
        <w:rPr>
          <w:szCs w:val="28"/>
          <w:lang w:val="en-US"/>
        </w:rPr>
        <w:t>crystallina</w:t>
      </w:r>
      <w:r w:rsidR="00715E8F" w:rsidRPr="002021C9">
        <w:rPr>
          <w:iCs/>
          <w:szCs w:val="28"/>
        </w:rPr>
        <w:t>, плотность которых довольно значительная. В сумме плотность зоопланктона, определяемая этими видами, составляет 53,5-71,3% от общей (рисунок).</w:t>
      </w:r>
    </w:p>
    <w:p w:rsidR="00715E8F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  <w:lang w:val="en-US"/>
        </w:rPr>
      </w:pPr>
      <w:r w:rsidRPr="002021C9">
        <w:rPr>
          <w:iCs/>
          <w:szCs w:val="28"/>
        </w:rPr>
        <w:t xml:space="preserve">Сравнение полученных нами данных с литературными показывает следующее. Экспедиционными исследованиями 2000-2001 гг. [8] </w:t>
      </w:r>
      <w:r w:rsidRPr="002021C9">
        <w:rPr>
          <w:szCs w:val="28"/>
        </w:rPr>
        <w:t>в зоопланктоне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рек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бассейна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Припяти (отдельно для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Припяти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данные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не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приведены)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зарегистрировано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95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видов,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том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числе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51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вид коловраток,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29 - ветвистоусых ракообразных и 15 - веслоногих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ракообразных, а также ювенильные особи последних. На трансграничных участках рек бассейна Припяти отмечено 52 вида. Плотность зоопланктона Припяти достигала 9,82 тыс. экз./м3, и авторы определяют ее как низкую. Эти величины оказываются сопоставимыми с теми, которые получены нами по сетным пробам.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Для Припяти в 2000-2001 гг. характерно</w:t>
      </w:r>
    </w:p>
    <w:p w:rsidR="00EB1CBB" w:rsidRPr="002021C9" w:rsidRDefault="00EB1CBB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iCs/>
          <w:szCs w:val="28"/>
          <w:lang w:val="en-US"/>
        </w:rPr>
      </w:pPr>
    </w:p>
    <w:p w:rsidR="00715E8F" w:rsidRPr="002021C9" w:rsidRDefault="001B3835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148.5pt" fillcolor="window">
            <v:imagedata r:id="rId8" o:title=""/>
          </v:shape>
        </w:pict>
      </w:r>
    </w:p>
    <w:p w:rsidR="00715E8F" w:rsidRPr="002021C9" w:rsidRDefault="001B3835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7pt;height:153pt" fillcolor="window">
            <v:imagedata r:id="rId9" o:title=""/>
          </v:shape>
        </w:pict>
      </w:r>
    </w:p>
    <w:p w:rsidR="00715E8F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</w:rPr>
      </w:pPr>
      <w:r w:rsidRPr="002021C9">
        <w:rPr>
          <w:sz w:val="28"/>
        </w:rPr>
        <w:t>Рисунок - Ранговое распределение численности видов зоопланктона р. Припять</w:t>
      </w:r>
    </w:p>
    <w:p w:rsidR="00715E8F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1CBB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доминирование ракообразных как в верховье, так и в устье реки. В то же время в притоке Припяти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Уборти основную долю плотности зоопланктона (до 85%) составляли коловратки, что свидетельствовало о загрязнении воды. </w:t>
      </w:r>
      <w:r w:rsidRPr="002021C9">
        <w:rPr>
          <w:iCs/>
          <w:szCs w:val="28"/>
        </w:rPr>
        <w:t xml:space="preserve">По данным П.Г. Петровича [3] в 1949 и 1953 гг. на участке от Мозыря до Пинска было обнаружено 22 вида коловраток, 24 – кладоцер, 3 – копепод. Плотность зоопланктона выше г. Мозырь (в 7 км выше – в районе д. Загорины) в июле 1953 г. была 76,1 </w:t>
      </w:r>
      <w:r w:rsidRPr="002021C9">
        <w:rPr>
          <w:szCs w:val="28"/>
        </w:rPr>
        <w:t>тыс. экз./м3 при доминировании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Br. calyciflorus</w:t>
      </w:r>
      <w:r w:rsidRPr="002021C9">
        <w:rPr>
          <w:iCs/>
          <w:szCs w:val="28"/>
        </w:rPr>
        <w:t xml:space="preserve"> (34,1%). На данной и других станциях структурообразующими видами также были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</w:rPr>
        <w:t xml:space="preserve">Br. аngularis </w:t>
      </w:r>
      <w:r w:rsidRPr="002021C9">
        <w:rPr>
          <w:iCs/>
          <w:szCs w:val="28"/>
        </w:rPr>
        <w:t xml:space="preserve">и </w:t>
      </w:r>
      <w:r w:rsidRPr="002021C9">
        <w:rPr>
          <w:szCs w:val="28"/>
          <w:lang w:val="en-US"/>
        </w:rPr>
        <w:t>A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priodonta</w:t>
      </w:r>
      <w:r w:rsidRPr="002021C9">
        <w:rPr>
          <w:szCs w:val="28"/>
        </w:rPr>
        <w:t>.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</w:rPr>
        <w:t xml:space="preserve">Доминирование коловраток в составе зоопланктона Припяти в августе-сентябре 1961 г. (76% плотности, при доле кладоцер 4,1%, копепод – 2,7%) отмечает </w:t>
      </w:r>
      <w:r w:rsidRPr="002021C9">
        <w:rPr>
          <w:szCs w:val="28"/>
        </w:rPr>
        <w:t>В.В. Полищук [4]</w:t>
      </w:r>
      <w:r w:rsidRPr="002021C9">
        <w:rPr>
          <w:iCs/>
          <w:szCs w:val="28"/>
        </w:rPr>
        <w:t xml:space="preserve">. Наиболее массовыми видами являлись </w:t>
      </w:r>
      <w:r w:rsidRPr="002021C9">
        <w:rPr>
          <w:szCs w:val="28"/>
        </w:rPr>
        <w:t>Br. calyciflorus,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Br. аngularis, </w:t>
      </w:r>
      <w:r w:rsidRPr="002021C9">
        <w:rPr>
          <w:szCs w:val="28"/>
          <w:lang w:val="en-US"/>
        </w:rPr>
        <w:t>F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longiseta</w:t>
      </w:r>
      <w:r w:rsidRPr="002021C9">
        <w:rPr>
          <w:szCs w:val="28"/>
        </w:rPr>
        <w:t xml:space="preserve">, </w:t>
      </w:r>
      <w:r w:rsidRPr="002021C9">
        <w:rPr>
          <w:szCs w:val="28"/>
          <w:lang w:val="en-US"/>
        </w:rPr>
        <w:t>A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priodonta</w:t>
      </w:r>
      <w:r w:rsidRPr="002021C9">
        <w:rPr>
          <w:iCs/>
          <w:szCs w:val="28"/>
        </w:rPr>
        <w:t xml:space="preserve">. Автор при этом указывает, что веслоногие ракообразные массового развития не достигали. Ветвистоусые ракообразные, особенно в верхних участках реки, были представлены довольно значительным числом видов, в то же время в русле отмечено их наибольшее развитие при доминировании </w:t>
      </w:r>
      <w:r w:rsidRPr="002021C9">
        <w:rPr>
          <w:iCs/>
          <w:szCs w:val="28"/>
          <w:lang w:val="en-US"/>
        </w:rPr>
        <w:t>B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longirostris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Bs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d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zernovi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Al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rectangula</w:t>
      </w:r>
      <w:r w:rsidRPr="002021C9">
        <w:rPr>
          <w:szCs w:val="28"/>
        </w:rPr>
        <w:t xml:space="preserve">, </w:t>
      </w:r>
      <w:r w:rsidRPr="002021C9">
        <w:rPr>
          <w:iCs/>
          <w:szCs w:val="28"/>
          <w:lang w:val="en-US"/>
        </w:rPr>
        <w:t>Cr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pulchella</w:t>
      </w:r>
      <w:r w:rsidRPr="002021C9">
        <w:rPr>
          <w:szCs w:val="28"/>
        </w:rPr>
        <w:t>.После впадения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р. Сколодинка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(выше г. Мозырь) плотность зоопланктона была 252,71 тыс. экз./м3, массовыми видами являлись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szCs w:val="28"/>
        </w:rPr>
        <w:t>calyciflorus</w:t>
      </w:r>
      <w:r w:rsidRPr="002021C9">
        <w:rPr>
          <w:iCs/>
          <w:szCs w:val="28"/>
        </w:rPr>
        <w:t>,</w:t>
      </w:r>
      <w:r w:rsidRPr="002021C9">
        <w:rPr>
          <w:szCs w:val="28"/>
        </w:rPr>
        <w:t xml:space="preserve"> Br. аngularis,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urceolaris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K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cochlearis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B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longirostris</w:t>
      </w:r>
      <w:r w:rsidRPr="002021C9">
        <w:rPr>
          <w:iCs/>
          <w:szCs w:val="28"/>
        </w:rPr>
        <w:t>.</w:t>
      </w:r>
      <w:r w:rsidRPr="002021C9">
        <w:rPr>
          <w:szCs w:val="28"/>
        </w:rPr>
        <w:t xml:space="preserve"> В период мая-октября 1963 г. на участке от притока Пины до устья Припяти по средним данным она изменялась в пределах 5,51-142,32 тыс. экз./м3, в июле и октябре ниже г. Мозырь составляла 263,53 и 8,81 тыс. экз./м3 [8]. В.С. Травянко и Я.Я. Цееб [2] изучали зоопланктон Припяти в августе 1959, 1962 и 1963 гг. и в сравнительных целях сопоставляли его с таковым Днепра, отмечая, что в августе 1959 г. он был беднее днепровского (биомасса соответственно 13,6 и 44,4 мг/м3). В августе 1962 г. зоопланктон оказался богаче днепровского, в основном, за счет ветвистоусых ракообразных, преимущественно форм </w:t>
      </w:r>
      <w:r w:rsidRPr="002021C9">
        <w:rPr>
          <w:iCs/>
          <w:szCs w:val="28"/>
          <w:lang w:val="en-US"/>
        </w:rPr>
        <w:t>Chydorus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Sida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Disparalona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Peracantha</w:t>
      </w:r>
      <w:r w:rsidRPr="002021C9">
        <w:rPr>
          <w:iCs/>
          <w:szCs w:val="28"/>
        </w:rPr>
        <w:t xml:space="preserve">, </w:t>
      </w:r>
      <w:r w:rsidRPr="002021C9">
        <w:rPr>
          <w:szCs w:val="28"/>
        </w:rPr>
        <w:t xml:space="preserve">реофила </w:t>
      </w:r>
      <w:r w:rsidRPr="002021C9">
        <w:rPr>
          <w:iCs/>
          <w:szCs w:val="28"/>
          <w:lang w:val="en-US"/>
        </w:rPr>
        <w:t>Bosminopsis</w:t>
      </w:r>
      <w:r w:rsidRPr="002021C9">
        <w:rPr>
          <w:szCs w:val="28"/>
        </w:rPr>
        <w:t>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 августе 1963 г. в Припяти доминировали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виды, приведенные в таблице 2.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В зоопланктоне Припяти ветвистоусые ракообразные были более развиты, чем в Днепре, особенно </w:t>
      </w:r>
      <w:r w:rsidRPr="002021C9">
        <w:rPr>
          <w:iCs/>
          <w:szCs w:val="28"/>
          <w:lang w:val="en-US"/>
        </w:rPr>
        <w:t>Moina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micrura</w:t>
      </w:r>
      <w:r w:rsidRPr="002021C9">
        <w:rPr>
          <w:szCs w:val="28"/>
        </w:rPr>
        <w:t>. В целом, Припять имела зоопланктон, сходный с днепровским, он включал значительное количество зарослевых форм, в частности, ветвистоусых ракообразных, а также довольно много болотных представителей. По данным [5] в 1982 г. зоопланктон Припяти на участке примерно от Пинска до Наровли включал более 100 видов. Плотность зоопланктона изменялась в пределах 4,04-826,11 тыс. экз./м3. Наблюдались большие различия в сезонных изменениях плотности зоопланктона, при наибольшем развитии его осенью. В периоды максимумов количество зоопланктона на 85-94% было представлено коловратками. Увеличение общего количества коловраток происходило за счет интенсивного развития 1-2 видов.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Некоторые из отмеченных особенностей сохраняются и в настоящее время в реке в районе г. Мозырь – доминирование коловраток, значительные сезонные различия в величинах плотности, интенсивное развитие 1-2 видов. Проявляется тенденция в увеличении максимальных значений плотности зоопланктона (с учетом осадочных проб). Однако, по сетным пробам прослеживается уменьшение плотности. Следует отметить, что в Припяти есть виды, которые сохраняются на протяжении длительного периода – начиная с конца 19 в. и в течение 20 в.: </w:t>
      </w:r>
      <w:r w:rsidRPr="002021C9">
        <w:rPr>
          <w:iCs/>
          <w:szCs w:val="28"/>
          <w:lang w:val="en-US"/>
        </w:rPr>
        <w:t>Ms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leuckarti</w:t>
      </w:r>
      <w:r w:rsidRPr="002021C9">
        <w:rPr>
          <w:iCs/>
          <w:szCs w:val="28"/>
        </w:rPr>
        <w:t>,</w:t>
      </w:r>
      <w:r w:rsidRPr="002021C9">
        <w:rPr>
          <w:szCs w:val="28"/>
        </w:rPr>
        <w:t xml:space="preserve"> </w:t>
      </w:r>
      <w:r w:rsidRPr="002021C9">
        <w:rPr>
          <w:iCs/>
          <w:szCs w:val="28"/>
          <w:lang w:val="en-US"/>
        </w:rPr>
        <w:t>Ec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serrulatus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B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longirostris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Ch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sphaericus</w:t>
      </w:r>
      <w:r w:rsidRPr="002021C9">
        <w:rPr>
          <w:iCs/>
          <w:szCs w:val="28"/>
        </w:rPr>
        <w:t>,</w:t>
      </w:r>
      <w:r w:rsidR="00EB1CBB"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D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brachyurum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Sd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crystallina</w:t>
      </w:r>
      <w:r w:rsidRPr="002021C9">
        <w:rPr>
          <w:iCs/>
          <w:szCs w:val="28"/>
        </w:rPr>
        <w:t xml:space="preserve">, </w:t>
      </w:r>
      <w:r w:rsidRPr="002021C9">
        <w:rPr>
          <w:szCs w:val="28"/>
          <w:lang w:val="en-US"/>
        </w:rPr>
        <w:t>A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priodonta</w:t>
      </w:r>
      <w:r w:rsidRPr="002021C9">
        <w:rPr>
          <w:szCs w:val="28"/>
        </w:rPr>
        <w:t>,</w:t>
      </w:r>
      <w:r w:rsidR="00EB1CBB" w:rsidRPr="002021C9">
        <w:rPr>
          <w:szCs w:val="28"/>
        </w:rPr>
        <w:t xml:space="preserve"> </w:t>
      </w:r>
      <w:r w:rsidRPr="002021C9">
        <w:rPr>
          <w:szCs w:val="28"/>
          <w:lang w:val="en-US"/>
        </w:rPr>
        <w:t>Br</w:t>
      </w:r>
      <w:r w:rsidRPr="002021C9">
        <w:rPr>
          <w:szCs w:val="28"/>
        </w:rPr>
        <w:t xml:space="preserve">. </w:t>
      </w:r>
      <w:r w:rsidRPr="002021C9">
        <w:rPr>
          <w:szCs w:val="28"/>
          <w:lang w:val="en-US"/>
        </w:rPr>
        <w:t>angularis</w:t>
      </w:r>
      <w:r w:rsidRPr="002021C9">
        <w:rPr>
          <w:szCs w:val="28"/>
        </w:rPr>
        <w:t xml:space="preserve">, </w:t>
      </w:r>
      <w:r w:rsidRPr="002021C9">
        <w:rPr>
          <w:szCs w:val="28"/>
          <w:lang w:val="en-US"/>
        </w:rPr>
        <w:t>Br</w:t>
      </w:r>
      <w:r w:rsidRPr="002021C9">
        <w:rPr>
          <w:szCs w:val="28"/>
        </w:rPr>
        <w:t>. с</w:t>
      </w:r>
      <w:r w:rsidRPr="002021C9">
        <w:rPr>
          <w:szCs w:val="28"/>
          <w:lang w:val="en-US"/>
        </w:rPr>
        <w:t>alyciflorus</w:t>
      </w:r>
      <w:r w:rsidRPr="002021C9">
        <w:rPr>
          <w:szCs w:val="28"/>
        </w:rPr>
        <w:t xml:space="preserve">,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quadridentatus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</w:rPr>
        <w:t>и др.</w:t>
      </w:r>
      <w:r w:rsidR="00EB1CBB" w:rsidRPr="002021C9">
        <w:rPr>
          <w:iCs/>
          <w:szCs w:val="28"/>
        </w:rPr>
        <w:t xml:space="preserve"> </w:t>
      </w:r>
      <w:r w:rsidRPr="002021C9">
        <w:rPr>
          <w:szCs w:val="28"/>
        </w:rPr>
        <w:t>В то же время имеются некоторые виды, встречавшиеся ранее, а сейчас не обнаруженные -</w:t>
      </w:r>
      <w:r w:rsidR="00EB1CBB" w:rsidRPr="002021C9">
        <w:rPr>
          <w:szCs w:val="28"/>
        </w:rPr>
        <w:t xml:space="preserve"> </w:t>
      </w:r>
      <w:r w:rsidRPr="002021C9">
        <w:rPr>
          <w:iCs/>
          <w:szCs w:val="28"/>
          <w:lang w:val="en-US"/>
        </w:rPr>
        <w:t>Rotaria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tardigrada</w:t>
      </w:r>
      <w:r w:rsidRPr="002021C9">
        <w:rPr>
          <w:iCs/>
          <w:szCs w:val="28"/>
        </w:rPr>
        <w:t xml:space="preserve"> (</w:t>
      </w:r>
      <w:r w:rsidRPr="002021C9">
        <w:rPr>
          <w:iCs/>
          <w:szCs w:val="28"/>
          <w:lang w:val="en-US"/>
        </w:rPr>
        <w:t>Ehrenberg</w:t>
      </w:r>
      <w:r w:rsidRPr="002021C9">
        <w:rPr>
          <w:iCs/>
          <w:szCs w:val="28"/>
        </w:rPr>
        <w:t xml:space="preserve">, 1832), </w:t>
      </w:r>
      <w:r w:rsidRPr="002021C9">
        <w:rPr>
          <w:iCs/>
          <w:szCs w:val="28"/>
          <w:lang w:val="en-US"/>
        </w:rPr>
        <w:t>Scaridium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longicaudum</w:t>
      </w:r>
      <w:r w:rsidRPr="002021C9">
        <w:rPr>
          <w:iCs/>
          <w:szCs w:val="28"/>
        </w:rPr>
        <w:t xml:space="preserve"> (</w:t>
      </w:r>
      <w:r w:rsidRPr="002021C9">
        <w:rPr>
          <w:iCs/>
          <w:szCs w:val="28"/>
          <w:lang w:val="en-US"/>
        </w:rPr>
        <w:t>M</w:t>
      </w:r>
      <w:r w:rsidRPr="002021C9">
        <w:rPr>
          <w:iCs/>
          <w:szCs w:val="28"/>
        </w:rPr>
        <w:t>ü</w:t>
      </w:r>
      <w:r w:rsidRPr="002021C9">
        <w:rPr>
          <w:iCs/>
          <w:szCs w:val="28"/>
          <w:lang w:val="en-US"/>
        </w:rPr>
        <w:t>ller</w:t>
      </w:r>
      <w:r w:rsidRPr="002021C9">
        <w:rPr>
          <w:iCs/>
          <w:szCs w:val="28"/>
        </w:rPr>
        <w:t xml:space="preserve">, 1786), </w:t>
      </w:r>
      <w:r w:rsidRPr="002021C9">
        <w:rPr>
          <w:iCs/>
          <w:szCs w:val="28"/>
          <w:lang w:val="en-US"/>
        </w:rPr>
        <w:t>Lophocharis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salpina</w:t>
      </w:r>
      <w:r w:rsidRPr="002021C9">
        <w:rPr>
          <w:iCs/>
          <w:szCs w:val="28"/>
        </w:rPr>
        <w:t xml:space="preserve"> (</w:t>
      </w:r>
      <w:r w:rsidRPr="002021C9">
        <w:rPr>
          <w:iCs/>
          <w:szCs w:val="28"/>
          <w:lang w:val="en-US"/>
        </w:rPr>
        <w:t>Ehrenberg</w:t>
      </w:r>
      <w:r w:rsidRPr="002021C9">
        <w:rPr>
          <w:iCs/>
          <w:szCs w:val="28"/>
        </w:rPr>
        <w:t xml:space="preserve">, 1834), </w:t>
      </w:r>
      <w:r w:rsidRPr="002021C9">
        <w:rPr>
          <w:iCs/>
          <w:szCs w:val="28"/>
          <w:lang w:val="en-US"/>
        </w:rPr>
        <w:t>Camptocercus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lilljeborgi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Schoedler</w:t>
      </w:r>
      <w:r w:rsidRPr="002021C9">
        <w:rPr>
          <w:iCs/>
          <w:szCs w:val="28"/>
        </w:rPr>
        <w:t xml:space="preserve">, 1862, </w:t>
      </w:r>
      <w:r w:rsidRPr="002021C9">
        <w:rPr>
          <w:iCs/>
          <w:szCs w:val="28"/>
          <w:lang w:val="en-US"/>
        </w:rPr>
        <w:t>Ceriodaphnia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rotunda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Sars</w:t>
      </w:r>
      <w:r w:rsidRPr="002021C9">
        <w:rPr>
          <w:iCs/>
          <w:szCs w:val="28"/>
        </w:rPr>
        <w:t xml:space="preserve">, 1862, </w:t>
      </w:r>
      <w:r w:rsidRPr="002021C9">
        <w:rPr>
          <w:iCs/>
          <w:szCs w:val="28"/>
          <w:lang w:val="en-US"/>
        </w:rPr>
        <w:t>Lathonura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rectirostris</w:t>
      </w:r>
      <w:r w:rsidRPr="002021C9">
        <w:rPr>
          <w:iCs/>
          <w:szCs w:val="28"/>
        </w:rPr>
        <w:t xml:space="preserve"> (</w:t>
      </w:r>
      <w:r w:rsidRPr="002021C9">
        <w:rPr>
          <w:iCs/>
          <w:szCs w:val="28"/>
          <w:lang w:val="en-US"/>
        </w:rPr>
        <w:t>O</w:t>
      </w:r>
      <w:r w:rsidRPr="002021C9">
        <w:rPr>
          <w:iCs/>
          <w:szCs w:val="28"/>
        </w:rPr>
        <w:t>.</w:t>
      </w:r>
      <w:r w:rsidRPr="002021C9">
        <w:rPr>
          <w:iCs/>
          <w:szCs w:val="28"/>
          <w:lang w:val="en-US"/>
        </w:rPr>
        <w:t>F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M</w:t>
      </w:r>
      <w:r w:rsidRPr="002021C9">
        <w:rPr>
          <w:iCs/>
          <w:szCs w:val="28"/>
        </w:rPr>
        <w:t>ü</w:t>
      </w:r>
      <w:r w:rsidRPr="002021C9">
        <w:rPr>
          <w:iCs/>
          <w:szCs w:val="28"/>
          <w:lang w:val="en-US"/>
        </w:rPr>
        <w:t>ller</w:t>
      </w:r>
      <w:r w:rsidRPr="002021C9">
        <w:rPr>
          <w:iCs/>
          <w:szCs w:val="28"/>
        </w:rPr>
        <w:t xml:space="preserve">, 1785), </w:t>
      </w:r>
      <w:r w:rsidRPr="002021C9">
        <w:rPr>
          <w:iCs/>
          <w:szCs w:val="28"/>
          <w:lang w:val="en-US"/>
        </w:rPr>
        <w:t>Rhynchotalona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falcate</w:t>
      </w:r>
      <w:r w:rsidRPr="002021C9">
        <w:rPr>
          <w:iCs/>
          <w:szCs w:val="28"/>
        </w:rPr>
        <w:t xml:space="preserve"> (</w:t>
      </w:r>
      <w:r w:rsidRPr="002021C9">
        <w:rPr>
          <w:iCs/>
          <w:szCs w:val="28"/>
          <w:lang w:val="en-US"/>
        </w:rPr>
        <w:t>Sars</w:t>
      </w:r>
      <w:r w:rsidRPr="002021C9">
        <w:rPr>
          <w:iCs/>
          <w:szCs w:val="28"/>
        </w:rPr>
        <w:t xml:space="preserve">, 1862), </w:t>
      </w:r>
      <w:r w:rsidRPr="002021C9">
        <w:rPr>
          <w:iCs/>
          <w:szCs w:val="28"/>
          <w:lang w:val="en-US"/>
        </w:rPr>
        <w:t>Scapholeberis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aurita</w:t>
      </w:r>
      <w:r w:rsidRPr="002021C9">
        <w:rPr>
          <w:iCs/>
          <w:szCs w:val="28"/>
        </w:rPr>
        <w:t xml:space="preserve"> (</w:t>
      </w:r>
      <w:r w:rsidRPr="002021C9">
        <w:rPr>
          <w:iCs/>
          <w:szCs w:val="28"/>
          <w:lang w:val="en-US"/>
        </w:rPr>
        <w:t>Fischer</w:t>
      </w:r>
      <w:r w:rsidRPr="002021C9">
        <w:rPr>
          <w:iCs/>
          <w:szCs w:val="28"/>
        </w:rPr>
        <w:t xml:space="preserve">, 1894), </w:t>
      </w:r>
      <w:r w:rsidRPr="002021C9">
        <w:rPr>
          <w:iCs/>
          <w:szCs w:val="28"/>
          <w:lang w:val="en-US"/>
        </w:rPr>
        <w:t>Diaptomus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castor</w:t>
      </w:r>
      <w:r w:rsidRPr="002021C9">
        <w:rPr>
          <w:iCs/>
          <w:szCs w:val="28"/>
        </w:rPr>
        <w:t xml:space="preserve"> </w:t>
      </w:r>
      <w:r w:rsidRPr="002021C9">
        <w:rPr>
          <w:iCs/>
          <w:szCs w:val="28"/>
          <w:lang w:val="en-US"/>
        </w:rPr>
        <w:t>Jurine</w:t>
      </w:r>
      <w:r w:rsidRPr="002021C9">
        <w:rPr>
          <w:iCs/>
          <w:szCs w:val="28"/>
        </w:rPr>
        <w:t>, 1820.</w:t>
      </w:r>
      <w:r w:rsidRPr="002021C9">
        <w:rPr>
          <w:szCs w:val="28"/>
        </w:rPr>
        <w:t xml:space="preserve"> С другой стороны, в литературе приводятся виды, встречающиеся сейчас довольно часто, а ранее в Припяти не отмечавшиеся -</w:t>
      </w:r>
      <w:r w:rsidR="00EB1CBB" w:rsidRPr="002021C9">
        <w:rPr>
          <w:szCs w:val="28"/>
        </w:rPr>
        <w:t xml:space="preserve">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szCs w:val="28"/>
        </w:rPr>
        <w:t xml:space="preserve">c. </w:t>
      </w:r>
      <w:r w:rsidRPr="002021C9">
        <w:rPr>
          <w:szCs w:val="28"/>
          <w:lang w:val="en-US"/>
        </w:rPr>
        <w:t>dorcas</w:t>
      </w:r>
      <w:r w:rsidRPr="002021C9">
        <w:rPr>
          <w:szCs w:val="28"/>
        </w:rPr>
        <w:t xml:space="preserve">,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c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anuraeiphormis</w:t>
      </w:r>
      <w:r w:rsidRPr="002021C9">
        <w:rPr>
          <w:iCs/>
          <w:szCs w:val="28"/>
        </w:rPr>
        <w:t xml:space="preserve">, </w:t>
      </w:r>
      <w:r w:rsidRPr="002021C9">
        <w:rPr>
          <w:iCs/>
          <w:szCs w:val="28"/>
          <w:lang w:val="en-US"/>
        </w:rPr>
        <w:t>Br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a</w:t>
      </w:r>
      <w:r w:rsidRPr="002021C9">
        <w:rPr>
          <w:iCs/>
          <w:szCs w:val="28"/>
        </w:rPr>
        <w:t xml:space="preserve">. </w:t>
      </w:r>
      <w:r w:rsidRPr="002021C9">
        <w:rPr>
          <w:iCs/>
          <w:szCs w:val="28"/>
          <w:lang w:val="en-US"/>
        </w:rPr>
        <w:t>bidens</w:t>
      </w:r>
      <w:r w:rsidRPr="002021C9">
        <w:rPr>
          <w:iCs/>
          <w:szCs w:val="28"/>
        </w:rPr>
        <w:t>..</w:t>
      </w:r>
    </w:p>
    <w:p w:rsidR="00EB1CBB" w:rsidRPr="002021C9" w:rsidRDefault="00715E8F" w:rsidP="00EB1CBB">
      <w:pPr>
        <w:pStyle w:val="31"/>
        <w:widowControl/>
        <w:suppressAutoHyphens/>
        <w:autoSpaceDE/>
        <w:autoSpaceDN/>
        <w:adjustRightInd/>
        <w:spacing w:line="360" w:lineRule="auto"/>
        <w:ind w:firstLine="709"/>
        <w:rPr>
          <w:szCs w:val="28"/>
        </w:rPr>
      </w:pPr>
      <w:r w:rsidRPr="002021C9">
        <w:rPr>
          <w:szCs w:val="28"/>
        </w:rPr>
        <w:t>Существенные изменения планктонные сообщества Припяти претерпели после масштабной осушительной мелиорации [8]. Общее количество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обнаруженных в Припяти и ее притоках водорослей фитопланктона уменьшилось с 565 до 496 таксонов рангом ниже рода. Диатомовые комплексы сменились хлорококковыми. Уменьшилось количество таксонов десмидиевых, диатомовых, синезеленых, динофитовых, золотистых, желтозеленых и эвгленовых водорослей. В то же время количество хлорококковых увеличилось с 123 до 198 видов. По данным отмеченных выше комплексных экспедиций Украинского НИИ экологических проблем и ИГБ НАН Украины, проведенных в 2000-2001 гг. на трансграничных русловых участках Припяти и ее основных притоках, в фитопланктоне из 8 отделов водорослей было обнаружено 338 таксонов рангом ниже рода. Количественное развитие фитопланктона (численность) в среднем составляет 1,9 млн. кл./л, доминируют вольвоксовые – 74% численности. Участки выше городов, как правило, принадлежат к </w:t>
      </w:r>
      <w:r w:rsidR="001B3835">
        <w:rPr>
          <w:position w:val="-10"/>
          <w:szCs w:val="28"/>
        </w:rPr>
        <w:pict>
          <v:shape id="_x0000_i1027" type="#_x0000_t75" style="width:12pt;height:15.75pt">
            <v:imagedata r:id="rId10" o:title=""/>
          </v:shape>
        </w:pict>
      </w:r>
      <w:r w:rsidRPr="002021C9">
        <w:rPr>
          <w:szCs w:val="28"/>
        </w:rPr>
        <w:t>-мезосапробной зоне зимой, летом и осенью, а весной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>–</w:t>
      </w:r>
      <w:r w:rsidR="00EB1CBB" w:rsidRPr="002021C9">
        <w:rPr>
          <w:szCs w:val="28"/>
        </w:rPr>
        <w:t xml:space="preserve"> </w:t>
      </w:r>
      <w:r w:rsidRPr="002021C9">
        <w:rPr>
          <w:szCs w:val="28"/>
        </w:rPr>
        <w:t xml:space="preserve">к </w:t>
      </w:r>
      <w:r w:rsidR="001B3835">
        <w:rPr>
          <w:position w:val="-6"/>
          <w:szCs w:val="28"/>
        </w:rPr>
        <w:pict>
          <v:shape id="_x0000_i1028" type="#_x0000_t75" style="width:12pt;height:11.25pt">
            <v:imagedata r:id="rId11" o:title=""/>
          </v:shape>
        </w:pict>
      </w:r>
      <w:r w:rsidRPr="002021C9">
        <w:rPr>
          <w:szCs w:val="28"/>
        </w:rPr>
        <w:t>-мезосапробной.</w:t>
      </w:r>
    </w:p>
    <w:p w:rsidR="00EB1CBB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21C9">
        <w:rPr>
          <w:sz w:val="28"/>
          <w:szCs w:val="28"/>
        </w:rPr>
        <w:t>Исследования по зоопланктону, как и по фитопланктону, показали, что после проведения интенсивных мероприятий на водосборе Припяти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условия существования гидробионтов повсеместно изменились и связаны с осушением, распашкой пойм рек,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влиянием стоков населенных пунктов и др. Если в начале 60-х гг. Припять имела слабое загрязнение, и ее относили к олиго-β-мезосапробной зоне, то в дальнейшем качество воды реки изменилось. Г.А. Галковская с соавторами [5] отмечали наличие существенных изменений в видовом составе зоопланктона Припяти с 1961 г.</w:t>
      </w:r>
    </w:p>
    <w:p w:rsidR="00715E8F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21C9">
        <w:rPr>
          <w:sz w:val="28"/>
          <w:szCs w:val="28"/>
        </w:rPr>
        <w:t>Зоопланктон Сожа в исследуемый нами период включает 121 вид и вариетет: 69 коловраток, 34 ветвистоусых и 18 веслоногих ракообразных. Обнаруженные виды относятся к 25 семействам и 56 родам.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Плотность зоопланктона в р. Сож изменялась в пределах 11,75-353,18 тыс. экз./м3, основу ее составляли коловратки – 38,2-98,3% , доля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кладоцер и копепод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равна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 xml:space="preserve">1,1-43,4%, 0,6-18,4%. </w:t>
      </w:r>
      <w:r w:rsidRPr="002021C9">
        <w:rPr>
          <w:iCs/>
          <w:sz w:val="28"/>
          <w:szCs w:val="28"/>
        </w:rPr>
        <w:t>В Соже</w:t>
      </w:r>
      <w:r w:rsidR="00EB1CBB" w:rsidRPr="002021C9">
        <w:rPr>
          <w:iCs/>
          <w:sz w:val="28"/>
          <w:szCs w:val="28"/>
        </w:rPr>
        <w:t xml:space="preserve"> </w:t>
      </w:r>
      <w:r w:rsidRPr="002021C9">
        <w:rPr>
          <w:iCs/>
          <w:sz w:val="28"/>
          <w:szCs w:val="28"/>
        </w:rPr>
        <w:t>выше г. Гомель доминируют</w:t>
      </w:r>
      <w:r w:rsidR="00EB1CBB" w:rsidRPr="002021C9">
        <w:rPr>
          <w:iCs/>
          <w:sz w:val="28"/>
          <w:szCs w:val="28"/>
        </w:rPr>
        <w:t xml:space="preserve"> </w:t>
      </w:r>
      <w:r w:rsidRPr="002021C9">
        <w:rPr>
          <w:sz w:val="28"/>
          <w:szCs w:val="28"/>
          <w:lang w:val="en-US"/>
        </w:rPr>
        <w:t>K</w:t>
      </w:r>
      <w:r w:rsidRPr="002021C9">
        <w:rPr>
          <w:sz w:val="28"/>
          <w:szCs w:val="28"/>
        </w:rPr>
        <w:t>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  <w:lang w:val="en-US"/>
        </w:rPr>
        <w:t>cochlearis</w:t>
      </w:r>
      <w:r w:rsidRPr="002021C9">
        <w:rPr>
          <w:sz w:val="28"/>
          <w:szCs w:val="28"/>
        </w:rPr>
        <w:t xml:space="preserve"> (19,8% плотности и 15,6% биомассы), </w:t>
      </w:r>
      <w:r w:rsidRPr="002021C9">
        <w:rPr>
          <w:sz w:val="28"/>
          <w:szCs w:val="28"/>
          <w:lang w:val="en-US"/>
        </w:rPr>
        <w:t>Tr</w:t>
      </w:r>
      <w:r w:rsidRPr="002021C9">
        <w:rPr>
          <w:sz w:val="28"/>
          <w:szCs w:val="28"/>
        </w:rPr>
        <w:t>.</w:t>
      </w:r>
      <w:r w:rsidRPr="002021C9">
        <w:rPr>
          <w:iCs/>
          <w:sz w:val="28"/>
          <w:szCs w:val="28"/>
        </w:rPr>
        <w:t xml:space="preserve"> </w:t>
      </w:r>
      <w:r w:rsidRPr="002021C9">
        <w:rPr>
          <w:sz w:val="28"/>
          <w:szCs w:val="28"/>
          <w:lang w:val="en-US"/>
        </w:rPr>
        <w:t>pusilla</w:t>
      </w:r>
      <w:r w:rsidRPr="002021C9">
        <w:rPr>
          <w:iCs/>
          <w:sz w:val="28"/>
          <w:szCs w:val="28"/>
        </w:rPr>
        <w:t xml:space="preserve"> (14,3%, 10,6%), </w:t>
      </w:r>
      <w:r w:rsidRPr="002021C9">
        <w:rPr>
          <w:sz w:val="28"/>
          <w:szCs w:val="28"/>
          <w:lang w:val="en-US"/>
        </w:rPr>
        <w:t>P</w:t>
      </w:r>
      <w:r w:rsidRPr="002021C9">
        <w:rPr>
          <w:sz w:val="28"/>
          <w:szCs w:val="28"/>
        </w:rPr>
        <w:t xml:space="preserve">. </w:t>
      </w:r>
      <w:r w:rsidRPr="002021C9">
        <w:rPr>
          <w:sz w:val="28"/>
          <w:szCs w:val="28"/>
          <w:lang w:val="en-US"/>
        </w:rPr>
        <w:t>dolichoptera</w:t>
      </w:r>
      <w:r w:rsidRPr="002021C9">
        <w:rPr>
          <w:sz w:val="28"/>
          <w:szCs w:val="28"/>
        </w:rPr>
        <w:t xml:space="preserve"> </w:t>
      </w:r>
      <w:r w:rsidRPr="002021C9">
        <w:rPr>
          <w:iCs/>
          <w:sz w:val="28"/>
          <w:szCs w:val="28"/>
        </w:rPr>
        <w:t xml:space="preserve">(11,5%, 9,7%), в черте города – </w:t>
      </w:r>
      <w:r w:rsidRPr="002021C9">
        <w:rPr>
          <w:sz w:val="28"/>
          <w:szCs w:val="28"/>
        </w:rPr>
        <w:t xml:space="preserve">Br. calyciflorus </w:t>
      </w:r>
      <w:r w:rsidRPr="002021C9">
        <w:rPr>
          <w:iCs/>
          <w:sz w:val="28"/>
          <w:szCs w:val="28"/>
        </w:rPr>
        <w:t xml:space="preserve">(27,4%, 31,8%), </w:t>
      </w:r>
      <w:r w:rsidRPr="002021C9">
        <w:rPr>
          <w:sz w:val="28"/>
          <w:szCs w:val="28"/>
          <w:lang w:val="en-US"/>
        </w:rPr>
        <w:t>K</w:t>
      </w:r>
      <w:r w:rsidRPr="002021C9">
        <w:rPr>
          <w:sz w:val="28"/>
          <w:szCs w:val="28"/>
        </w:rPr>
        <w:t>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  <w:lang w:val="en-US"/>
        </w:rPr>
        <w:t>cochlearis</w:t>
      </w:r>
      <w:r w:rsidRPr="002021C9">
        <w:rPr>
          <w:sz w:val="28"/>
          <w:szCs w:val="28"/>
        </w:rPr>
        <w:t xml:space="preserve"> (21,3%, 11,8%),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  <w:lang w:val="en-US"/>
        </w:rPr>
        <w:t>Sc</w:t>
      </w:r>
      <w:r w:rsidRPr="002021C9">
        <w:rPr>
          <w:sz w:val="28"/>
          <w:szCs w:val="28"/>
        </w:rPr>
        <w:t xml:space="preserve">. </w:t>
      </w:r>
      <w:r w:rsidRPr="002021C9">
        <w:rPr>
          <w:sz w:val="28"/>
          <w:szCs w:val="28"/>
          <w:lang w:val="en-US"/>
        </w:rPr>
        <w:t>mucronata</w:t>
      </w:r>
      <w:r w:rsidRPr="002021C9">
        <w:rPr>
          <w:sz w:val="28"/>
          <w:szCs w:val="28"/>
        </w:rPr>
        <w:t xml:space="preserve"> </w:t>
      </w:r>
      <w:r w:rsidRPr="002021C9">
        <w:rPr>
          <w:iCs/>
          <w:sz w:val="28"/>
          <w:szCs w:val="28"/>
        </w:rPr>
        <w:t>(16,5% биомассы)</w:t>
      </w:r>
      <w:r w:rsidRPr="002021C9">
        <w:rPr>
          <w:sz w:val="28"/>
          <w:szCs w:val="28"/>
        </w:rPr>
        <w:t xml:space="preserve">, </w:t>
      </w:r>
      <w:r w:rsidRPr="002021C9">
        <w:rPr>
          <w:sz w:val="28"/>
          <w:szCs w:val="28"/>
          <w:lang w:val="en-US"/>
        </w:rPr>
        <w:t>Mc</w:t>
      </w:r>
      <w:r w:rsidRPr="002021C9">
        <w:rPr>
          <w:sz w:val="28"/>
          <w:szCs w:val="28"/>
        </w:rPr>
        <w:t xml:space="preserve">. </w:t>
      </w:r>
      <w:r w:rsidRPr="002021C9">
        <w:rPr>
          <w:sz w:val="28"/>
          <w:szCs w:val="28"/>
          <w:lang w:val="en-US"/>
        </w:rPr>
        <w:t>albidus</w:t>
      </w:r>
      <w:r w:rsidRPr="002021C9">
        <w:rPr>
          <w:sz w:val="28"/>
          <w:szCs w:val="28"/>
        </w:rPr>
        <w:t xml:space="preserve">. (10,3% биомассы), ниже города - </w:t>
      </w:r>
      <w:r w:rsidRPr="002021C9">
        <w:rPr>
          <w:sz w:val="28"/>
          <w:szCs w:val="28"/>
          <w:lang w:val="en-US"/>
        </w:rPr>
        <w:t>Br</w:t>
      </w:r>
      <w:r w:rsidRPr="002021C9">
        <w:rPr>
          <w:sz w:val="28"/>
          <w:szCs w:val="28"/>
        </w:rPr>
        <w:t>. с</w:t>
      </w:r>
      <w:r w:rsidRPr="002021C9">
        <w:rPr>
          <w:sz w:val="28"/>
          <w:szCs w:val="28"/>
          <w:lang w:val="en-US"/>
        </w:rPr>
        <w:t>alyciflorus</w:t>
      </w:r>
      <w:r w:rsidRPr="002021C9">
        <w:rPr>
          <w:sz w:val="28"/>
          <w:szCs w:val="28"/>
        </w:rPr>
        <w:t xml:space="preserve"> </w:t>
      </w:r>
      <w:r w:rsidRPr="002021C9">
        <w:rPr>
          <w:iCs/>
          <w:sz w:val="28"/>
          <w:szCs w:val="28"/>
        </w:rPr>
        <w:t>(46,6% плотности, 39,1% биомассы)</w:t>
      </w:r>
      <w:r w:rsidRPr="002021C9">
        <w:rPr>
          <w:sz w:val="28"/>
          <w:szCs w:val="28"/>
        </w:rPr>
        <w:t xml:space="preserve">, </w:t>
      </w:r>
      <w:r w:rsidRPr="002021C9">
        <w:rPr>
          <w:sz w:val="28"/>
          <w:szCs w:val="28"/>
          <w:lang w:val="en-US"/>
        </w:rPr>
        <w:t>Br</w:t>
      </w:r>
      <w:r w:rsidRPr="002021C9">
        <w:rPr>
          <w:sz w:val="28"/>
          <w:szCs w:val="28"/>
        </w:rPr>
        <w:t xml:space="preserve">. </w:t>
      </w:r>
      <w:r w:rsidRPr="002021C9">
        <w:rPr>
          <w:sz w:val="28"/>
          <w:szCs w:val="28"/>
          <w:lang w:val="en-US"/>
        </w:rPr>
        <w:t>diversicornis</w:t>
      </w:r>
      <w:r w:rsidRPr="002021C9">
        <w:rPr>
          <w:sz w:val="28"/>
          <w:szCs w:val="28"/>
        </w:rPr>
        <w:t xml:space="preserve"> (24,4%, 19,2%).</w:t>
      </w:r>
    </w:p>
    <w:p w:rsidR="00EB1CBB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21C9">
        <w:rPr>
          <w:sz w:val="28"/>
          <w:szCs w:val="28"/>
        </w:rPr>
        <w:t xml:space="preserve">Представляется необходимым отметить, что 40 лет назад [2] в летний период в приустьевом участке Сожа в зоопланктоне в большом количестве встречались такие же, как в настоящее время - </w:t>
      </w:r>
      <w:r w:rsidRPr="002021C9">
        <w:rPr>
          <w:iCs/>
          <w:sz w:val="28"/>
          <w:szCs w:val="28"/>
          <w:lang w:val="en-US"/>
        </w:rPr>
        <w:t>Diaphanosoma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iCs/>
          <w:sz w:val="28"/>
          <w:szCs w:val="28"/>
          <w:lang w:val="en-US"/>
        </w:rPr>
        <w:t>Bosminopsis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iCs/>
          <w:sz w:val="28"/>
          <w:szCs w:val="28"/>
          <w:lang w:val="en-US"/>
        </w:rPr>
        <w:t>Bosmina</w:t>
      </w:r>
      <w:r w:rsidRPr="002021C9">
        <w:rPr>
          <w:sz w:val="28"/>
          <w:szCs w:val="28"/>
        </w:rPr>
        <w:t xml:space="preserve">, но и другие таксоны - </w:t>
      </w:r>
      <w:r w:rsidRPr="002021C9">
        <w:rPr>
          <w:iCs/>
          <w:sz w:val="28"/>
          <w:szCs w:val="28"/>
          <w:lang w:val="en-US"/>
        </w:rPr>
        <w:t>Mn</w:t>
      </w:r>
      <w:r w:rsidRPr="002021C9">
        <w:rPr>
          <w:iCs/>
          <w:sz w:val="28"/>
          <w:szCs w:val="28"/>
        </w:rPr>
        <w:t xml:space="preserve">. </w:t>
      </w:r>
      <w:r w:rsidRPr="002021C9">
        <w:rPr>
          <w:iCs/>
          <w:sz w:val="28"/>
          <w:szCs w:val="28"/>
          <w:lang w:val="en-US"/>
        </w:rPr>
        <w:t>micrura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sz w:val="28"/>
          <w:szCs w:val="28"/>
        </w:rPr>
        <w:t xml:space="preserve">много сносилось зарослевых форм – </w:t>
      </w:r>
      <w:r w:rsidRPr="002021C9">
        <w:rPr>
          <w:iCs/>
          <w:sz w:val="28"/>
          <w:szCs w:val="28"/>
          <w:lang w:val="en-US"/>
        </w:rPr>
        <w:t>Sida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iCs/>
          <w:sz w:val="28"/>
          <w:szCs w:val="28"/>
          <w:lang w:val="en-US"/>
        </w:rPr>
        <w:t>Simocephalus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iCs/>
          <w:sz w:val="28"/>
          <w:szCs w:val="28"/>
          <w:lang w:val="en-US"/>
        </w:rPr>
        <w:t>Graptoleberis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sz w:val="28"/>
          <w:szCs w:val="28"/>
        </w:rPr>
        <w:t>а также были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iCs/>
          <w:sz w:val="28"/>
          <w:szCs w:val="28"/>
          <w:lang w:val="en-US"/>
        </w:rPr>
        <w:t>Ms</w:t>
      </w:r>
      <w:r w:rsidRPr="002021C9">
        <w:rPr>
          <w:iCs/>
          <w:sz w:val="28"/>
          <w:szCs w:val="28"/>
        </w:rPr>
        <w:t xml:space="preserve">. </w:t>
      </w:r>
      <w:r w:rsidRPr="002021C9">
        <w:rPr>
          <w:iCs/>
          <w:sz w:val="28"/>
          <w:szCs w:val="28"/>
          <w:lang w:val="en-US"/>
        </w:rPr>
        <w:t>leuckarti</w:t>
      </w:r>
      <w:r w:rsidRPr="002021C9">
        <w:rPr>
          <w:iCs/>
          <w:sz w:val="28"/>
          <w:szCs w:val="28"/>
        </w:rPr>
        <w:t xml:space="preserve">, </w:t>
      </w:r>
      <w:r w:rsidRPr="002021C9">
        <w:rPr>
          <w:iCs/>
          <w:sz w:val="28"/>
          <w:szCs w:val="28"/>
          <w:lang w:val="en-US"/>
        </w:rPr>
        <w:t>Mc</w:t>
      </w:r>
      <w:r w:rsidRPr="002021C9">
        <w:rPr>
          <w:iCs/>
          <w:sz w:val="28"/>
          <w:szCs w:val="28"/>
        </w:rPr>
        <w:t>. а</w:t>
      </w:r>
      <w:r w:rsidRPr="002021C9">
        <w:rPr>
          <w:iCs/>
          <w:sz w:val="28"/>
          <w:szCs w:val="28"/>
          <w:lang w:val="en-US"/>
        </w:rPr>
        <w:t>lbidus</w:t>
      </w:r>
      <w:r w:rsidRPr="002021C9">
        <w:rPr>
          <w:sz w:val="28"/>
          <w:szCs w:val="28"/>
        </w:rPr>
        <w:t>. Сож обогащал Днепр ветвистоусыми ракообразными. При проведении исследований в том же районе в 1986-87 гг. список видов зоопланктона пополнился и стал включать 22 вида коловраток и 27 - ракообразных. По результатам более детальных исследований в 1996 г. зоопланктон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р. Сож был представлен 169 видами и вариететами [9], в том числе и такими, которые продолжали встречаться в 2002-2003 гг. Что касается количественных характеристик, то особенно выраженное преобладание кладоцер в зоопланктоне Сожа отмечалось в августе 1959 г., при этом, биомасса зоопланктона составляла 41,8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мг/м3. Летом 1972 г., плотность зоопланктона р. Сож также в районе устья не превышала 2,4 тыс. экз./м3, биомасса – 3,9 мг/м3. Коловратки составляли около 10% общей плотности и 25% общей биомассы зоопланктона. Летом 1986-87 гг. общая плотность зоопланктона достигала 1033 тыс. экз./м3 (среднегодовые значения – 78,8</w:t>
      </w:r>
      <w:r w:rsidRPr="002021C9">
        <w:rPr>
          <w:sz w:val="28"/>
          <w:szCs w:val="28"/>
          <w:u w:val="single"/>
        </w:rPr>
        <w:t>+</w:t>
      </w:r>
      <w:r w:rsidRPr="002021C9">
        <w:rPr>
          <w:sz w:val="28"/>
          <w:szCs w:val="28"/>
        </w:rPr>
        <w:t>46,2 тыс. экз./м3), средняя биомасса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была 130</w:t>
      </w:r>
      <w:r w:rsidRPr="002021C9">
        <w:rPr>
          <w:sz w:val="28"/>
          <w:szCs w:val="28"/>
          <w:u w:val="single"/>
        </w:rPr>
        <w:t>+</w:t>
      </w:r>
      <w:r w:rsidRPr="002021C9">
        <w:rPr>
          <w:sz w:val="28"/>
          <w:szCs w:val="28"/>
        </w:rPr>
        <w:t>60 мг/м3, при максимальной – 1067 мг/м3 .</w:t>
      </w:r>
    </w:p>
    <w:p w:rsidR="00EB1CBB" w:rsidRPr="002021C9" w:rsidRDefault="00EB1CBB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7146" w:rsidRPr="002021C9" w:rsidRDefault="00EB1CBB" w:rsidP="00EB1CBB">
      <w:pPr>
        <w:pStyle w:val="1"/>
        <w:keepNext w:val="0"/>
        <w:suppressAutoHyphens/>
        <w:spacing w:before="0" w:line="360" w:lineRule="auto"/>
        <w:ind w:firstLine="709"/>
        <w:jc w:val="both"/>
        <w:rPr>
          <w:sz w:val="28"/>
          <w:szCs w:val="32"/>
        </w:rPr>
      </w:pPr>
      <w:bookmarkStart w:id="2" w:name="_Toc252545246"/>
      <w:r w:rsidRPr="002021C9">
        <w:rPr>
          <w:sz w:val="28"/>
          <w:szCs w:val="32"/>
        </w:rPr>
        <w:br w:type="page"/>
      </w:r>
      <w:r w:rsidR="00477146" w:rsidRPr="002021C9">
        <w:rPr>
          <w:sz w:val="28"/>
          <w:szCs w:val="32"/>
        </w:rPr>
        <w:t>Заключение</w:t>
      </w:r>
      <w:bookmarkEnd w:id="2"/>
    </w:p>
    <w:p w:rsidR="00EB1CBB" w:rsidRPr="002021C9" w:rsidRDefault="00EB1CBB" w:rsidP="00EB1CBB">
      <w:pPr>
        <w:suppressAutoHyphens/>
        <w:spacing w:line="360" w:lineRule="auto"/>
        <w:ind w:firstLine="709"/>
        <w:jc w:val="both"/>
        <w:rPr>
          <w:sz w:val="28"/>
        </w:rPr>
      </w:pPr>
    </w:p>
    <w:p w:rsidR="00EB1CBB" w:rsidRPr="002021C9" w:rsidRDefault="00715E8F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021C9">
        <w:rPr>
          <w:sz w:val="28"/>
          <w:szCs w:val="28"/>
        </w:rPr>
        <w:t xml:space="preserve">Сравнение данных по планктону Припяти и Сожа показывает, что имеются различия в структуре сообществ. </w:t>
      </w:r>
      <w:r w:rsidRPr="002021C9">
        <w:rPr>
          <w:iCs/>
          <w:sz w:val="28"/>
          <w:szCs w:val="28"/>
        </w:rPr>
        <w:t>Плотность зоопланктона в р. Сож менее высокая, удельный вклад коловраток в величины общей плотности не столь значительный,</w:t>
      </w:r>
      <w:r w:rsidR="00EB1CBB" w:rsidRPr="002021C9">
        <w:rPr>
          <w:iCs/>
          <w:sz w:val="28"/>
          <w:szCs w:val="28"/>
        </w:rPr>
        <w:t xml:space="preserve"> </w:t>
      </w:r>
      <w:r w:rsidRPr="002021C9">
        <w:rPr>
          <w:iCs/>
          <w:sz w:val="28"/>
          <w:szCs w:val="28"/>
        </w:rPr>
        <w:t>как в Припяти. Н</w:t>
      </w:r>
      <w:r w:rsidRPr="002021C9">
        <w:rPr>
          <w:sz w:val="28"/>
          <w:szCs w:val="28"/>
        </w:rPr>
        <w:t xml:space="preserve">аблюдается тенденция в изменении структуры сообществ, количественных характеристик. </w:t>
      </w:r>
      <w:r w:rsidRPr="002021C9">
        <w:rPr>
          <w:iCs/>
          <w:sz w:val="28"/>
          <w:szCs w:val="28"/>
        </w:rPr>
        <w:t xml:space="preserve">На исследуемом участке Припяти имеются признаки ухудшения гидробиологического режима. </w:t>
      </w:r>
      <w:r w:rsidRPr="002021C9">
        <w:rPr>
          <w:sz w:val="28"/>
          <w:szCs w:val="28"/>
        </w:rPr>
        <w:t>В Соже прослеживается изменение индикационных характеристик по мере увеличения антропической нагрузки на реку.</w:t>
      </w:r>
    </w:p>
    <w:p w:rsidR="00AF1A7D" w:rsidRPr="002021C9" w:rsidRDefault="00AF1A7D" w:rsidP="00EB1CBB">
      <w:pPr>
        <w:suppressAutoHyphens/>
        <w:spacing w:line="360" w:lineRule="auto"/>
        <w:ind w:firstLine="709"/>
        <w:jc w:val="both"/>
        <w:rPr>
          <w:sz w:val="28"/>
        </w:rPr>
      </w:pPr>
    </w:p>
    <w:p w:rsidR="00715E8F" w:rsidRPr="002021C9" w:rsidRDefault="00EB1CBB" w:rsidP="00EB1CBB">
      <w:pPr>
        <w:pStyle w:val="1"/>
        <w:keepNext w:val="0"/>
        <w:suppressAutoHyphens/>
        <w:spacing w:before="0" w:line="360" w:lineRule="auto"/>
        <w:ind w:firstLine="709"/>
        <w:jc w:val="both"/>
        <w:rPr>
          <w:sz w:val="28"/>
          <w:szCs w:val="32"/>
        </w:rPr>
      </w:pPr>
      <w:bookmarkStart w:id="3" w:name="_Toc252545247"/>
      <w:r w:rsidRPr="002021C9">
        <w:rPr>
          <w:sz w:val="28"/>
          <w:szCs w:val="32"/>
        </w:rPr>
        <w:br w:type="page"/>
      </w:r>
      <w:r w:rsidR="00715E8F" w:rsidRPr="002021C9">
        <w:rPr>
          <w:sz w:val="28"/>
          <w:szCs w:val="32"/>
        </w:rPr>
        <w:t>Литература</w:t>
      </w:r>
      <w:bookmarkEnd w:id="3"/>
    </w:p>
    <w:p w:rsidR="002215FB" w:rsidRPr="002021C9" w:rsidRDefault="002215FB" w:rsidP="00EB1C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5E8F" w:rsidRPr="002021C9" w:rsidRDefault="00715E8F" w:rsidP="00EB1CBB">
      <w:pPr>
        <w:pStyle w:val="23"/>
        <w:suppressAutoHyphens/>
        <w:overflowPunct/>
        <w:autoSpaceDE/>
        <w:autoSpaceDN/>
        <w:adjustRightInd/>
        <w:spacing w:line="360" w:lineRule="auto"/>
        <w:ind w:firstLine="0"/>
        <w:jc w:val="left"/>
        <w:textAlignment w:val="auto"/>
        <w:rPr>
          <w:sz w:val="28"/>
          <w:szCs w:val="28"/>
        </w:rPr>
      </w:pPr>
      <w:r w:rsidRPr="002021C9">
        <w:rPr>
          <w:sz w:val="28"/>
          <w:szCs w:val="28"/>
        </w:rPr>
        <w:t>1. Михеева Т.М.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Альгофлора Беларуси. Таксономический каталог. – Минск: БГУ, 1999. – 396 с.</w:t>
      </w:r>
    </w:p>
    <w:p w:rsidR="00715E8F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2. Рассашко И.Ф., Савицкий Б.П. Зоопланктон водоемов и водотоков Белорусского Полесья (банк данных за 1888-1985 гг.)/Деп. в ВИНИТИ 22.02.89, №1178-В89.– Гомель, 1989. – 125 с.</w:t>
      </w:r>
    </w:p>
    <w:p w:rsidR="00EB1CBB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3.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Труды комплексной экспедиции по изучению водоемов Полесья / Под ред. Г.Г. Винберга.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– Минск: БГУ, 1956. – С.</w:t>
      </w:r>
    </w:p>
    <w:p w:rsidR="00715E8F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4. Радзимовський Д.О., Пол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щук В.В. Планктон р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чк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 xml:space="preserve"> Прип,ять. – Ки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в, 1970. – 211 с.</w:t>
      </w:r>
    </w:p>
    <w:p w:rsidR="00715E8F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5. Галкоýская Г.А., Малаткоý Д.В., Зарубаý А.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., См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 xml:space="preserve">рнова 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. А. В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 xml:space="preserve">давы састаý 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 xml:space="preserve"> колькасць зоапланктону р. Прыпяць на ýчастку Лемяшэв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чы-Нароýля. – Весц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 xml:space="preserve"> АН БССР, сер. б</w:t>
      </w:r>
      <w:r w:rsidRPr="002021C9">
        <w:rPr>
          <w:sz w:val="28"/>
          <w:szCs w:val="28"/>
          <w:lang w:val="en-US"/>
        </w:rPr>
        <w:t>i</w:t>
      </w:r>
      <w:r w:rsidRPr="002021C9">
        <w:rPr>
          <w:sz w:val="28"/>
          <w:szCs w:val="28"/>
        </w:rPr>
        <w:t>ял. навук, 1985. - №3. – С. 92-97.</w:t>
      </w:r>
    </w:p>
    <w:p w:rsidR="00EB1CBB" w:rsidRPr="002021C9" w:rsidRDefault="00715E8F" w:rsidP="00EB1CBB">
      <w:pPr>
        <w:suppressAutoHyphens/>
        <w:spacing w:line="360" w:lineRule="auto"/>
        <w:rPr>
          <w:sz w:val="28"/>
          <w:szCs w:val="28"/>
          <w:lang w:val="en-US"/>
        </w:rPr>
      </w:pPr>
      <w:r w:rsidRPr="002021C9">
        <w:rPr>
          <w:sz w:val="28"/>
          <w:szCs w:val="28"/>
          <w:lang w:val="en-US"/>
        </w:rPr>
        <w:t>6. Galkovskaya G.A., Molotkov D.V. Species diversity and dominance in the planktonic rotifer community of</w:t>
      </w:r>
      <w:r w:rsidR="00EB1CBB" w:rsidRPr="002021C9">
        <w:rPr>
          <w:sz w:val="28"/>
          <w:szCs w:val="28"/>
          <w:lang w:val="en-US"/>
        </w:rPr>
        <w:t xml:space="preserve"> </w:t>
      </w:r>
      <w:r w:rsidRPr="002021C9">
        <w:rPr>
          <w:sz w:val="28"/>
          <w:szCs w:val="28"/>
          <w:lang w:val="en-US"/>
        </w:rPr>
        <w:t>the</w:t>
      </w:r>
      <w:r w:rsidR="00EB1CBB" w:rsidRPr="002021C9">
        <w:rPr>
          <w:sz w:val="28"/>
          <w:szCs w:val="28"/>
          <w:lang w:val="en-US"/>
        </w:rPr>
        <w:t xml:space="preserve"> </w:t>
      </w:r>
      <w:r w:rsidRPr="002021C9">
        <w:rPr>
          <w:sz w:val="28"/>
          <w:szCs w:val="28"/>
          <w:lang w:val="en-US"/>
        </w:rPr>
        <w:t>Pripyat River in the Chernobyl region (1988-1996) // Hydrobiologia. – 2001. – Vol. 446/447. -</w:t>
      </w:r>
      <w:r w:rsidR="00EB1CBB" w:rsidRPr="002021C9">
        <w:rPr>
          <w:sz w:val="28"/>
          <w:szCs w:val="28"/>
          <w:lang w:val="en-US"/>
        </w:rPr>
        <w:t xml:space="preserve"> </w:t>
      </w:r>
      <w:r w:rsidRPr="002021C9">
        <w:rPr>
          <w:sz w:val="28"/>
          <w:szCs w:val="28"/>
          <w:lang w:val="en-US"/>
        </w:rPr>
        <w:t>P. 179-185.</w:t>
      </w:r>
    </w:p>
    <w:p w:rsidR="00715E8F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7. Коловратки (Rotifera) в водных экосистемах Беларуси. Каталог / Г.А. Галковская и др. – Мн.: БГУ, 2001. – 184 с.</w:t>
      </w:r>
    </w:p>
    <w:p w:rsidR="00715E8F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8. Мониторинг, использование и управление водными ресурсами бассейна</w:t>
      </w:r>
      <w:r w:rsidR="00EB1CBB" w:rsidRPr="002021C9">
        <w:rPr>
          <w:sz w:val="28"/>
          <w:szCs w:val="28"/>
        </w:rPr>
        <w:t xml:space="preserve"> </w:t>
      </w:r>
      <w:r w:rsidRPr="002021C9">
        <w:rPr>
          <w:sz w:val="28"/>
          <w:szCs w:val="28"/>
        </w:rPr>
        <w:t>р. Припять / С.А. Афанасьев, Г.М. Тищиков. – Минск, 2003. – С. 191-209.</w:t>
      </w:r>
    </w:p>
    <w:p w:rsidR="00715E8F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9. Рассашко И.Ф., Ковалева О.В. Планктонные сообщества, использование показателей их структурной организации при биоиндикации (на примере реки Сож – крупного притока Днера). – Гомель, 2004. – 312 с.</w:t>
      </w:r>
    </w:p>
    <w:p w:rsidR="00EB1CBB" w:rsidRPr="002021C9" w:rsidRDefault="00715E8F" w:rsidP="00EB1CBB">
      <w:pPr>
        <w:suppressAutoHyphens/>
        <w:spacing w:line="360" w:lineRule="auto"/>
        <w:rPr>
          <w:sz w:val="28"/>
          <w:szCs w:val="28"/>
        </w:rPr>
      </w:pPr>
      <w:r w:rsidRPr="002021C9">
        <w:rPr>
          <w:sz w:val="28"/>
          <w:szCs w:val="28"/>
        </w:rPr>
        <w:t>10. Состояние природной среды Беларуси: Экологический бюллетень 2002 г. – Минск, 2003. – 248 с.</w:t>
      </w:r>
      <w:bookmarkStart w:id="4" w:name="_GoBack"/>
      <w:bookmarkEnd w:id="4"/>
    </w:p>
    <w:sectPr w:rsidR="00EB1CBB" w:rsidRPr="002021C9" w:rsidSect="00EB1CBB">
      <w:headerReference w:type="even" r:id="rId12"/>
      <w:footerReference w:type="first" r:id="rId13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0E" w:rsidRDefault="00B6360E">
      <w:r>
        <w:separator/>
      </w:r>
    </w:p>
  </w:endnote>
  <w:endnote w:type="continuationSeparator" w:id="0">
    <w:p w:rsidR="00B6360E" w:rsidRDefault="00B6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146" w:rsidRDefault="00EB1CBB">
    <w:pPr>
      <w:pStyle w:val="ac"/>
      <w:jc w:val="right"/>
    </w:pPr>
    <w:r>
      <w:rPr>
        <w:noProof/>
      </w:rPr>
      <w:t>1</w:t>
    </w:r>
  </w:p>
  <w:p w:rsidR="00477146" w:rsidRDefault="004771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0E" w:rsidRDefault="00B6360E">
      <w:r>
        <w:separator/>
      </w:r>
    </w:p>
  </w:footnote>
  <w:footnote w:type="continuationSeparator" w:id="0">
    <w:p w:rsidR="00B6360E" w:rsidRDefault="00B6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7D" w:rsidRDefault="00AF1A7D" w:rsidP="00477146">
    <w:pPr>
      <w:pStyle w:val="ae"/>
      <w:pBdr>
        <w:bottom w:val="single" w:sz="4" w:space="0" w:color="auto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AED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2E8"/>
    <w:rsid w:val="00142C49"/>
    <w:rsid w:val="001B3835"/>
    <w:rsid w:val="001C520B"/>
    <w:rsid w:val="002021C9"/>
    <w:rsid w:val="002146E2"/>
    <w:rsid w:val="002215FB"/>
    <w:rsid w:val="0027386A"/>
    <w:rsid w:val="00282746"/>
    <w:rsid w:val="002C099F"/>
    <w:rsid w:val="00307052"/>
    <w:rsid w:val="00477146"/>
    <w:rsid w:val="0048606A"/>
    <w:rsid w:val="004C10B9"/>
    <w:rsid w:val="00502ED8"/>
    <w:rsid w:val="00547CA7"/>
    <w:rsid w:val="006A4821"/>
    <w:rsid w:val="00715E8F"/>
    <w:rsid w:val="007C3219"/>
    <w:rsid w:val="008F289C"/>
    <w:rsid w:val="00910E5F"/>
    <w:rsid w:val="00A37B32"/>
    <w:rsid w:val="00AD57C1"/>
    <w:rsid w:val="00AF1A7D"/>
    <w:rsid w:val="00B6360E"/>
    <w:rsid w:val="00BA4C68"/>
    <w:rsid w:val="00C632E8"/>
    <w:rsid w:val="00CA25D9"/>
    <w:rsid w:val="00DB19C8"/>
    <w:rsid w:val="00EA6C62"/>
    <w:rsid w:val="00E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ECA69A6-1B4D-4C23-8236-CF7C45B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0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ind w:firstLine="90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i/>
      <w:iCs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0"/>
      <w:outlineLvl w:val="3"/>
    </w:pPr>
    <w:rPr>
      <w:i/>
      <w:iCs/>
      <w:color w:val="0000FF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Bullet"/>
    <w:basedOn w:val="a"/>
    <w:autoRedefine/>
    <w:uiPriority w:val="99"/>
    <w:rsid w:val="00DB19C8"/>
    <w:pPr>
      <w:jc w:val="center"/>
    </w:pPr>
    <w:rPr>
      <w:b/>
      <w:sz w:val="30"/>
      <w:szCs w:val="30"/>
    </w:rPr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pPr>
      <w:ind w:firstLine="90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/>
      <w:ind w:left="1080"/>
    </w:pPr>
    <w:rPr>
      <w:rFonts w:ascii="Arial" w:hAnsi="Arial" w:cs="Arial"/>
      <w:b/>
      <w:bCs/>
      <w:lang w:val="en-US"/>
    </w:rPr>
  </w:style>
  <w:style w:type="paragraph" w:styleId="33">
    <w:name w:val="Body Text Indent 3"/>
    <w:basedOn w:val="a"/>
    <w:link w:val="34"/>
    <w:uiPriority w:val="99"/>
    <w:pPr>
      <w:ind w:firstLine="900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DB19C8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2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AF1A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F1A7D"/>
    <w:rPr>
      <w:rFonts w:cs="Times New Roman"/>
    </w:rPr>
  </w:style>
  <w:style w:type="paragraph" w:styleId="ac">
    <w:name w:val="footer"/>
    <w:basedOn w:val="a"/>
    <w:link w:val="ad"/>
    <w:uiPriority w:val="99"/>
    <w:rsid w:val="00AF1A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77146"/>
    <w:rPr>
      <w:rFonts w:cs="Times New Roman"/>
      <w:sz w:val="24"/>
      <w:szCs w:val="24"/>
    </w:rPr>
  </w:style>
  <w:style w:type="paragraph" w:styleId="ae">
    <w:name w:val="Subtitle"/>
    <w:basedOn w:val="a"/>
    <w:link w:val="af"/>
    <w:uiPriority w:val="11"/>
    <w:qFormat/>
    <w:rsid w:val="00AF1A7D"/>
    <w:pPr>
      <w:jc w:val="center"/>
    </w:pPr>
    <w:rPr>
      <w:sz w:val="28"/>
      <w:szCs w:val="20"/>
      <w:lang w:val="be-BY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47714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77146"/>
  </w:style>
  <w:style w:type="paragraph" w:styleId="25">
    <w:name w:val="toc 2"/>
    <w:basedOn w:val="a"/>
    <w:next w:val="a"/>
    <w:autoRedefine/>
    <w:uiPriority w:val="39"/>
    <w:unhideWhenUsed/>
    <w:rsid w:val="00477146"/>
    <w:pPr>
      <w:ind w:left="240"/>
    </w:pPr>
  </w:style>
  <w:style w:type="table" w:styleId="af1">
    <w:name w:val="Table Grid"/>
    <w:basedOn w:val="a1"/>
    <w:uiPriority w:val="59"/>
    <w:rsid w:val="00EB1C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DCFD-82BC-46DB-84E1-E76A1140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574</vt:lpstr>
    </vt:vector>
  </TitlesOfParts>
  <Company>Home</Company>
  <LinksUpToDate>false</LinksUpToDate>
  <CharactersWithSpaces>29769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574</dc:title>
  <dc:subject/>
  <dc:creator>User</dc:creator>
  <cp:keywords/>
  <dc:description/>
  <cp:lastModifiedBy>admin</cp:lastModifiedBy>
  <cp:revision>2</cp:revision>
  <dcterms:created xsi:type="dcterms:W3CDTF">2014-03-02T17:23:00Z</dcterms:created>
  <dcterms:modified xsi:type="dcterms:W3CDTF">2014-03-02T17:23:00Z</dcterms:modified>
</cp:coreProperties>
</file>