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таможенная служба</w:t>
      </w:r>
    </w:p>
    <w:p w:rsidR="00F92278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Государствен</w:t>
      </w:r>
      <w:r w:rsidR="00F92278">
        <w:rPr>
          <w:sz w:val="28"/>
          <w:szCs w:val="28"/>
        </w:rPr>
        <w:t xml:space="preserve">ное образовательное учреждение </w:t>
      </w:r>
      <w:r w:rsidRPr="00F92278">
        <w:rPr>
          <w:sz w:val="28"/>
          <w:szCs w:val="28"/>
        </w:rPr>
        <w:t xml:space="preserve">высшего </w:t>
      </w:r>
      <w:r w:rsidR="00F92278">
        <w:rPr>
          <w:sz w:val="28"/>
          <w:szCs w:val="28"/>
        </w:rPr>
        <w:t>профессионального образования</w:t>
      </w:r>
    </w:p>
    <w:p w:rsidR="00F92278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«</w:t>
      </w:r>
      <w:r w:rsidR="00F92278">
        <w:rPr>
          <w:sz w:val="28"/>
          <w:szCs w:val="28"/>
        </w:rPr>
        <w:t>Российская таможенная академия»</w:t>
      </w:r>
    </w:p>
    <w:p w:rsidR="00B61F94" w:rsidRPr="00F92278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Владивостокский филиал</w:t>
      </w:r>
    </w:p>
    <w:p w:rsidR="00B61F94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Кафедра экономики таможенного дела</w:t>
      </w: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P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B61F94" w:rsidRPr="00F92278" w:rsidRDefault="00B61F94" w:rsidP="00F9227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F92278">
        <w:rPr>
          <w:b/>
          <w:bCs/>
          <w:caps/>
          <w:sz w:val="28"/>
          <w:szCs w:val="28"/>
        </w:rPr>
        <w:t>Курсовая работа</w:t>
      </w:r>
    </w:p>
    <w:p w:rsidR="00F92278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По дисциплине «Таможенная статистика»</w:t>
      </w:r>
    </w:p>
    <w:p w:rsidR="00B61F94" w:rsidRDefault="00B61F94" w:rsidP="00F92278">
      <w:pPr>
        <w:spacing w:line="360" w:lineRule="auto"/>
        <w:jc w:val="center"/>
        <w:rPr>
          <w:sz w:val="28"/>
          <w:szCs w:val="28"/>
        </w:rPr>
      </w:pPr>
      <w:r w:rsidRPr="00F92278">
        <w:rPr>
          <w:sz w:val="28"/>
          <w:szCs w:val="28"/>
        </w:rPr>
        <w:t>на тему: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«Статистичес</w:t>
      </w:r>
      <w:r w:rsidR="00F92278">
        <w:rPr>
          <w:sz w:val="28"/>
          <w:szCs w:val="28"/>
        </w:rPr>
        <w:t xml:space="preserve">кий анализ таможенных платежей </w:t>
      </w:r>
      <w:r w:rsidRPr="00F92278">
        <w:rPr>
          <w:sz w:val="28"/>
          <w:szCs w:val="28"/>
        </w:rPr>
        <w:t xml:space="preserve">на примере </w:t>
      </w:r>
      <w:r w:rsidR="008B717F" w:rsidRPr="00F92278">
        <w:rPr>
          <w:sz w:val="28"/>
          <w:szCs w:val="28"/>
        </w:rPr>
        <w:t>Дальневосточного таможенного управления</w:t>
      </w:r>
      <w:r w:rsidRPr="00F92278">
        <w:rPr>
          <w:sz w:val="28"/>
          <w:szCs w:val="28"/>
        </w:rPr>
        <w:t>»</w:t>
      </w: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 xml:space="preserve">Студента </w:t>
      </w:r>
    </w:p>
    <w:p w:rsidR="00F92278" w:rsidRDefault="00F92278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Ч</w:t>
      </w:r>
      <w:r w:rsidR="0070224A">
        <w:rPr>
          <w:sz w:val="28"/>
          <w:szCs w:val="28"/>
        </w:rPr>
        <w:t>ерний Н.</w:t>
      </w:r>
      <w:r w:rsidRPr="00F92278">
        <w:rPr>
          <w:sz w:val="28"/>
          <w:szCs w:val="28"/>
        </w:rPr>
        <w:t>Л</w:t>
      </w:r>
      <w:r w:rsidR="0070224A">
        <w:rPr>
          <w:sz w:val="28"/>
          <w:szCs w:val="28"/>
        </w:rPr>
        <w:t>.</w:t>
      </w:r>
    </w:p>
    <w:p w:rsidR="00F92278" w:rsidRDefault="00F92278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группа 251</w:t>
      </w:r>
      <w:r w:rsidRPr="00F92278">
        <w:rPr>
          <w:vanish/>
          <w:sz w:val="28"/>
          <w:szCs w:val="28"/>
        </w:rPr>
        <w:t>я</w:t>
      </w:r>
    </w:p>
    <w:p w:rsidR="00F92278" w:rsidRDefault="00F92278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факультета</w:t>
      </w:r>
    </w:p>
    <w:p w:rsidR="00F92278" w:rsidRDefault="00B61F94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Руководитель:</w:t>
      </w:r>
    </w:p>
    <w:p w:rsidR="00B61F94" w:rsidRDefault="00B61F94" w:rsidP="00F92278">
      <w:pPr>
        <w:spacing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Поштакова Г.А.</w:t>
      </w:r>
      <w:r w:rsidR="00F92278">
        <w:rPr>
          <w:sz w:val="28"/>
          <w:szCs w:val="28"/>
        </w:rPr>
        <w:t xml:space="preserve"> </w:t>
      </w:r>
    </w:p>
    <w:p w:rsidR="00F92278" w:rsidRDefault="00F92278" w:rsidP="0070224A">
      <w:pPr>
        <w:spacing w:line="360" w:lineRule="auto"/>
        <w:jc w:val="center"/>
        <w:rPr>
          <w:sz w:val="28"/>
          <w:szCs w:val="28"/>
        </w:rPr>
      </w:pPr>
    </w:p>
    <w:p w:rsidR="00F92278" w:rsidRPr="00F92278" w:rsidRDefault="00F92278" w:rsidP="0070224A">
      <w:pPr>
        <w:spacing w:line="360" w:lineRule="auto"/>
        <w:jc w:val="center"/>
        <w:rPr>
          <w:sz w:val="28"/>
          <w:szCs w:val="28"/>
        </w:rPr>
      </w:pPr>
    </w:p>
    <w:p w:rsidR="00F92278" w:rsidRDefault="00F92278" w:rsidP="00F922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Владивосток </w:t>
      </w:r>
      <w:r w:rsidR="00B61F94" w:rsidRPr="00F92278">
        <w:rPr>
          <w:sz w:val="28"/>
          <w:szCs w:val="28"/>
        </w:rPr>
        <w:t>2010</w:t>
      </w:r>
    </w:p>
    <w:p w:rsidR="00421786" w:rsidRPr="00F92278" w:rsidRDefault="00F92278" w:rsidP="00F92278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0" w:name="_Toc278534805"/>
      <w:r w:rsidR="00421786" w:rsidRPr="00F92278">
        <w:rPr>
          <w:b/>
          <w:bCs/>
          <w:sz w:val="28"/>
          <w:szCs w:val="28"/>
        </w:rPr>
        <w:lastRenderedPageBreak/>
        <w:t>Содержание</w:t>
      </w:r>
    </w:p>
    <w:p w:rsidR="00F92278" w:rsidRPr="00F92278" w:rsidRDefault="00F92278" w:rsidP="00F92278">
      <w:pPr>
        <w:spacing w:line="360" w:lineRule="auto"/>
        <w:rPr>
          <w:b/>
          <w:bCs/>
          <w:sz w:val="28"/>
          <w:szCs w:val="28"/>
        </w:rPr>
      </w:pP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Статистический учет таможенных платежей</w:t>
      </w: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в спе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циальной таможенной статистике</w:t>
      </w: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Предмет и задачи спе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циальной таможенной статистики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Таможенные платежи: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 виды и способы классификации</w:t>
      </w: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татистика таможенных платежей</w:t>
      </w:r>
    </w:p>
    <w:p w:rsidR="00421786" w:rsidRPr="00F92278" w:rsidRDefault="00421786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9227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Исследование таможе</w:t>
      </w:r>
      <w:r w:rsidR="00F92278">
        <w:rPr>
          <w:rFonts w:ascii="Times New Roman" w:hAnsi="Times New Roman" w:cs="Times New Roman"/>
          <w:b w:val="0"/>
          <w:bCs w:val="0"/>
          <w:sz w:val="28"/>
          <w:szCs w:val="28"/>
        </w:rPr>
        <w:t>нных платежей на примере ДВТУ</w:t>
      </w:r>
    </w:p>
    <w:p w:rsidR="00421786" w:rsidRPr="00F92278" w:rsidRDefault="00421786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2.1 Общая характеристика объемов таможенных платежей, перечисле</w:t>
      </w:r>
      <w:r w:rsidR="00F92278">
        <w:rPr>
          <w:rFonts w:ascii="Times New Roman" w:hAnsi="Times New Roman" w:cs="Times New Roman"/>
          <w:b w:val="0"/>
          <w:bCs w:val="0"/>
          <w:sz w:val="28"/>
          <w:szCs w:val="28"/>
        </w:rPr>
        <w:t>нных в период 2005 – 2009 гг.</w:t>
      </w:r>
    </w:p>
    <w:p w:rsidR="00421786" w:rsidRPr="00F92278" w:rsidRDefault="00421786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2.2 Статистический анализ таможенных платежей в период 2005 – 2009 гг.</w:t>
      </w:r>
    </w:p>
    <w:p w:rsidR="00421786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Исследование тенденции и пост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роение прогноза сумм таможенных </w:t>
      </w:r>
      <w:r w:rsidR="00421786"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платежей, перечисленных в федеральный бюджет, методом аналитического выравнивания</w:t>
      </w:r>
    </w:p>
    <w:p w:rsidR="00421786" w:rsidRPr="00F92278" w:rsidRDefault="00421786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</w:p>
    <w:p w:rsidR="00421786" w:rsidRPr="00F92278" w:rsidRDefault="00421786" w:rsidP="00F92278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2278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используемой литературы</w:t>
      </w:r>
    </w:p>
    <w:p w:rsidR="00F92278" w:rsidRPr="0070224A" w:rsidRDefault="00F92278" w:rsidP="00F92278">
      <w:pPr>
        <w:rPr>
          <w:sz w:val="28"/>
          <w:szCs w:val="28"/>
        </w:rPr>
      </w:pPr>
    </w:p>
    <w:p w:rsidR="00D64430" w:rsidRPr="00F92278" w:rsidRDefault="00F92278" w:rsidP="00F92278">
      <w:pPr>
        <w:jc w:val="center"/>
        <w:rPr>
          <w:b/>
          <w:bCs/>
          <w:sz w:val="28"/>
          <w:szCs w:val="28"/>
        </w:rPr>
      </w:pPr>
      <w:r w:rsidRPr="0070224A">
        <w:rPr>
          <w:sz w:val="28"/>
          <w:szCs w:val="28"/>
        </w:rPr>
        <w:br w:type="page"/>
      </w:r>
      <w:r w:rsidR="00D64430" w:rsidRPr="00F92278">
        <w:rPr>
          <w:b/>
          <w:bCs/>
          <w:sz w:val="28"/>
          <w:szCs w:val="28"/>
        </w:rPr>
        <w:lastRenderedPageBreak/>
        <w:t>Введение</w:t>
      </w:r>
      <w:bookmarkEnd w:id="0"/>
    </w:p>
    <w:p w:rsidR="00D64430" w:rsidRPr="00F92278" w:rsidRDefault="00D64430" w:rsidP="0070224A">
      <w:pPr>
        <w:spacing w:line="360" w:lineRule="auto"/>
        <w:jc w:val="both"/>
        <w:rPr>
          <w:sz w:val="28"/>
          <w:szCs w:val="28"/>
        </w:rPr>
      </w:pP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Как известно, основными источниками пополнения доходной части федерального бюджета в Российской Федерации на сегодняшний день являются налоговые доходы бюджета. В период с 1995 года и по сегодняшний день на их долю приходится до 50% доходной части. Не удивительно, что налоговая система России на протяжении последних семи лет остается одной из самых популярных в политических кругах, обсуждаемых в научной среде, и отменно разработанной с теоретической и практической сторон. В то же время нельзя забывать, что налоговые доходы федерального бюджета состоят не только из федеральных налогов и сборов, а включают в себя еще таможенные пошлины, таможенные сборы, акцизы и НДС.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Объектом исследования работы являются таможенные платежи, перечисляемые в Федеральный бюджет Российской Федерации Дальневосточным таможенным управлением.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Целями курсовой работы являются систематизация и закрепление теоретических знаний по методологии статистики таможенной деятельности; приобретение навыков самостоятельного проведения расчетов, анализа, прогнозирования и поиска резервов по изучаемой теме.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Основные задачи курсовой работы: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изучение методологии статистического учета;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построение системы статистических и аналитических показателей по изучаемой теме;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правильный выбор статистических методов для проведения расчетов, прогнозирования или поиска резервов;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анализ полученных результатов и формирование аргументированных выводов.</w:t>
      </w:r>
    </w:p>
    <w:p w:rsidR="00D64430" w:rsidRPr="00F92278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первой главе работы на основе нормативно-правовой базы будут рассмотрены следующие вопросы: современная структура таможенных </w:t>
      </w:r>
      <w:r w:rsidRPr="00F92278">
        <w:rPr>
          <w:sz w:val="28"/>
          <w:szCs w:val="28"/>
        </w:rPr>
        <w:lastRenderedPageBreak/>
        <w:t xml:space="preserve">платежей, их основные виды, характеристики, </w:t>
      </w:r>
      <w:r w:rsidR="00E54E99" w:rsidRPr="00F92278">
        <w:rPr>
          <w:sz w:val="28"/>
          <w:szCs w:val="28"/>
        </w:rPr>
        <w:t>способы классификации</w:t>
      </w:r>
      <w:r w:rsidRPr="00F92278">
        <w:rPr>
          <w:sz w:val="28"/>
          <w:szCs w:val="28"/>
        </w:rPr>
        <w:t>. Вторая глава содержит в себе общую характеристику объемов таможенных платежей, перечисленных Дальневосточным таможенным управлением в разрезе по таможням в период за 2005 - 2009 год. Далее будет произведен анализ таможенных платежей, полученных ДВТУ за период 2005-2009 гг., и факторов, определяющих их величину. И, наконец, в 3 главе будет проведено исследование тенденции и построение прогноза сумм таможенных платежей, взимаемых ДВТУ в 2010 году методом аналитического выравнивания по прямой.</w:t>
      </w:r>
    </w:p>
    <w:p w:rsidR="00D64430" w:rsidRDefault="00D6443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Методологической базой для написания работы послужили различные источники: нормативно-правовая база РФ, учебные пособия, материалы конференций, данные отдела статистики ДВТУ, периодические издания – журналы, статистические сборники, страницы Internet.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D002EC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8534806"/>
      <w:r w:rsidRPr="00F9227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6624A" w:rsidRPr="00F92278">
        <w:rPr>
          <w:rFonts w:ascii="Times New Roman" w:hAnsi="Times New Roman" w:cs="Times New Roman"/>
          <w:sz w:val="28"/>
          <w:szCs w:val="28"/>
        </w:rPr>
        <w:t>Статистич</w:t>
      </w:r>
      <w:r>
        <w:rPr>
          <w:rFonts w:ascii="Times New Roman" w:hAnsi="Times New Roman" w:cs="Times New Roman"/>
          <w:sz w:val="28"/>
          <w:szCs w:val="28"/>
        </w:rPr>
        <w:t xml:space="preserve">еский учет таможенных платежей  </w:t>
      </w:r>
      <w:r w:rsidR="0006624A" w:rsidRPr="00F92278">
        <w:rPr>
          <w:rFonts w:ascii="Times New Roman" w:hAnsi="Times New Roman" w:cs="Times New Roman"/>
          <w:sz w:val="28"/>
          <w:szCs w:val="28"/>
        </w:rPr>
        <w:t>в специальной таможенной статистике</w:t>
      </w:r>
      <w:bookmarkEnd w:id="1"/>
    </w:p>
    <w:p w:rsidR="00F92278" w:rsidRDefault="00F92278" w:rsidP="0070224A">
      <w:pPr>
        <w:pStyle w:val="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</w:p>
    <w:p w:rsidR="00BC1257" w:rsidRP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F92278">
        <w:rPr>
          <w:rFonts w:ascii="Times New Roman" w:hAnsi="Times New Roman" w:cs="Times New Roman"/>
          <w:i w:val="0"/>
          <w:iCs w:val="0"/>
        </w:rPr>
        <w:t>1.1</w:t>
      </w:r>
      <w:r w:rsidR="00DD270B" w:rsidRPr="00F92278">
        <w:rPr>
          <w:rFonts w:ascii="Times New Roman" w:hAnsi="Times New Roman" w:cs="Times New Roman"/>
          <w:i w:val="0"/>
          <w:iCs w:val="0"/>
        </w:rPr>
        <w:t xml:space="preserve"> </w:t>
      </w:r>
      <w:bookmarkStart w:id="2" w:name="_Toc278534807"/>
      <w:r w:rsidR="00BC1257" w:rsidRPr="00F92278">
        <w:rPr>
          <w:rFonts w:ascii="Times New Roman" w:hAnsi="Times New Roman" w:cs="Times New Roman"/>
          <w:i w:val="0"/>
          <w:iCs w:val="0"/>
        </w:rPr>
        <w:t>Предмет и задачи с</w:t>
      </w:r>
      <w:r w:rsidR="00E76FC3" w:rsidRPr="00F92278">
        <w:rPr>
          <w:rFonts w:ascii="Times New Roman" w:hAnsi="Times New Roman" w:cs="Times New Roman"/>
          <w:i w:val="0"/>
          <w:iCs w:val="0"/>
        </w:rPr>
        <w:t>пециальной таможенной статистики</w:t>
      </w:r>
      <w:bookmarkEnd w:id="2"/>
    </w:p>
    <w:p w:rsidR="00F92278" w:rsidRDefault="00F92278" w:rsidP="00F922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1131" w:rsidRPr="00F92278" w:rsidRDefault="00E76FC3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</w:t>
      </w:r>
      <w:r w:rsidR="00DD270B" w:rsidRPr="00F92278">
        <w:rPr>
          <w:sz w:val="28"/>
          <w:szCs w:val="28"/>
        </w:rPr>
        <w:t>соответствии со ст. 48</w:t>
      </w:r>
      <w:r w:rsidRPr="00F92278">
        <w:rPr>
          <w:sz w:val="28"/>
          <w:szCs w:val="28"/>
        </w:rPr>
        <w:t xml:space="preserve"> Таможенного кодекса </w:t>
      </w:r>
      <w:r w:rsidR="00DD270B" w:rsidRPr="00F92278">
        <w:rPr>
          <w:sz w:val="28"/>
          <w:szCs w:val="28"/>
        </w:rPr>
        <w:t>Таможенного</w:t>
      </w:r>
      <w:r w:rsidR="00201131" w:rsidRPr="00F92278">
        <w:rPr>
          <w:sz w:val="28"/>
          <w:szCs w:val="28"/>
        </w:rPr>
        <w:t xml:space="preserve"> с</w:t>
      </w:r>
      <w:r w:rsidR="00DD270B" w:rsidRPr="00F92278">
        <w:rPr>
          <w:sz w:val="28"/>
          <w:szCs w:val="28"/>
        </w:rPr>
        <w:t>оюза</w:t>
      </w:r>
      <w:r w:rsidRPr="00F92278">
        <w:rPr>
          <w:sz w:val="28"/>
          <w:szCs w:val="28"/>
        </w:rPr>
        <w:t xml:space="preserve"> таможенными органами ведется специальная</w:t>
      </w:r>
      <w:r w:rsidR="00CD7627" w:rsidRPr="00F92278">
        <w:rPr>
          <w:sz w:val="28"/>
          <w:szCs w:val="28"/>
        </w:rPr>
        <w:t xml:space="preserve"> таможенная статистика. </w:t>
      </w:r>
      <w:r w:rsidR="00201131" w:rsidRPr="00F92278">
        <w:rPr>
          <w:sz w:val="28"/>
          <w:szCs w:val="28"/>
        </w:rPr>
        <w:t>Специальная таможенная статистика представляет собой совокупность систематизированных сведений по различным направлениям деятельности таможенных органов Российской Федерации (далее - таможенные органы), предназначенных для оптимизации их деятельности, не связанных с ведением таможенной статистики внешней торговли Российской Федерации, а также взаимной торговли Российской Федерации и других государств - членов Таможенного союза.</w:t>
      </w:r>
    </w:p>
    <w:p w:rsidR="00E76FC3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Данные с</w:t>
      </w:r>
      <w:r w:rsidR="00E76FC3" w:rsidRPr="00F92278">
        <w:rPr>
          <w:sz w:val="28"/>
          <w:szCs w:val="28"/>
        </w:rPr>
        <w:t>пециальной таможенной статистики</w:t>
      </w:r>
      <w:r w:rsidRPr="00F92278">
        <w:rPr>
          <w:sz w:val="28"/>
          <w:szCs w:val="28"/>
        </w:rPr>
        <w:t xml:space="preserve"> используются исключительно в таможенных целях для обеспечения решения задач, возложенных на таможенные органы. Порядок ведения специальной таможенной статистики устанавливается ФТС России.</w:t>
      </w:r>
    </w:p>
    <w:p w:rsidR="00201131" w:rsidRPr="00F92278" w:rsidRDefault="00201131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Предметом специальной таможенной статистики является наблюдение и изучение деятельности таможенных органов, а также выражение этой деятельности в фактических данных в виде статистического или бухгалтерского учета.</w:t>
      </w:r>
      <w:r w:rsidRPr="00F92278">
        <w:rPr>
          <w:rStyle w:val="af0"/>
          <w:sz w:val="28"/>
          <w:szCs w:val="28"/>
        </w:rPr>
        <w:footnoteReference w:id="1"/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Показатели специальной таможенной статистики – это фактические данные, полученные в результате статистического или бухгалтерского учета в сфере таможенного дела. Они могут быть составной частью системы показателей статистики внешней торговли или статистики национальной экономики.</w:t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Например:</w:t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lastRenderedPageBreak/>
        <w:t>- ввоз и вывоз свободно конвертируемой валюты российскими гражданами при пересечении таможенной граница РФ (часть платежного баланса России, который входит в систему показателей национальной экономики);</w:t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таможенные платежи, перечисленные в федеральный бюджет (также элемент системы показателей национальной экономики).</w:t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Однако итоги декларирования – показатели статистики декларирования – входят только в систему показателей специальной таможенной статистики, имеют специфический смысл и для национальной экономики интереса не представляют.</w:t>
      </w:r>
    </w:p>
    <w:p w:rsidR="00CD7627" w:rsidRPr="00F92278" w:rsidRDefault="00CD762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Критериями отбора показателей форм отчетности являются возможность проведения с их помощью качественного анализа и обоснованность выводов, которые можно сделать на основе такого анализа.</w:t>
      </w:r>
    </w:p>
    <w:p w:rsidR="00A664F5" w:rsidRPr="00F92278" w:rsidRDefault="00A664F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специальной таможенной статистике методология в целостном и законченном виде пока не существует, поскольку постоянно изменяются как сами формы отчетности, так и методические указания и рекомендации, прилагаемые к этим формам</w:t>
      </w:r>
      <w:r w:rsidR="00486B7F" w:rsidRPr="00F92278">
        <w:rPr>
          <w:rStyle w:val="af0"/>
          <w:sz w:val="28"/>
          <w:szCs w:val="28"/>
        </w:rPr>
        <w:footnoteReference w:id="2"/>
      </w:r>
      <w:r w:rsidRPr="00F92278">
        <w:rPr>
          <w:sz w:val="28"/>
          <w:szCs w:val="28"/>
        </w:rPr>
        <w:t xml:space="preserve">. </w:t>
      </w:r>
    </w:p>
    <w:p w:rsidR="00A664F5" w:rsidRPr="00F92278" w:rsidRDefault="00A664F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для оперативного информирования руководства о результатах деятельнос</w:t>
      </w:r>
      <w:r w:rsidR="00434C8F" w:rsidRPr="00F92278">
        <w:rPr>
          <w:sz w:val="28"/>
          <w:szCs w:val="28"/>
        </w:rPr>
        <w:t>ти таможенной службы действует п</w:t>
      </w:r>
      <w:r w:rsidR="00486B7F" w:rsidRPr="00F92278">
        <w:rPr>
          <w:sz w:val="28"/>
          <w:szCs w:val="28"/>
        </w:rPr>
        <w:t xml:space="preserve">риказ ФТС России от </w:t>
      </w:r>
      <w:r w:rsidR="00C742DD" w:rsidRPr="00F92278">
        <w:rPr>
          <w:sz w:val="28"/>
          <w:szCs w:val="28"/>
        </w:rPr>
        <w:t>28.12.2009</w:t>
      </w:r>
      <w:r w:rsidR="00AA6C50" w:rsidRPr="00F92278">
        <w:rPr>
          <w:sz w:val="28"/>
          <w:szCs w:val="28"/>
        </w:rPr>
        <w:t xml:space="preserve"> № </w:t>
      </w:r>
      <w:r w:rsidR="00C742DD" w:rsidRPr="00F92278">
        <w:rPr>
          <w:sz w:val="28"/>
          <w:szCs w:val="28"/>
        </w:rPr>
        <w:t>2407</w:t>
      </w:r>
      <w:r w:rsidRPr="00F92278">
        <w:rPr>
          <w:sz w:val="28"/>
          <w:szCs w:val="28"/>
        </w:rPr>
        <w:t xml:space="preserve"> «Об отчетности таможенных органов по основным направлениям деятельности перед </w:t>
      </w:r>
      <w:r w:rsidR="00AA6C50" w:rsidRPr="00F92278">
        <w:rPr>
          <w:sz w:val="28"/>
          <w:szCs w:val="28"/>
        </w:rPr>
        <w:t>ФТС России в 20</w:t>
      </w:r>
      <w:r w:rsidR="00C742DD" w:rsidRPr="00F92278">
        <w:rPr>
          <w:sz w:val="28"/>
          <w:szCs w:val="28"/>
        </w:rPr>
        <w:t>10</w:t>
      </w:r>
      <w:r w:rsidR="00434C8F" w:rsidRPr="00F92278">
        <w:rPr>
          <w:sz w:val="28"/>
          <w:szCs w:val="28"/>
        </w:rPr>
        <w:t xml:space="preserve"> году». Такой п</w:t>
      </w:r>
      <w:r w:rsidRPr="00F92278">
        <w:rPr>
          <w:sz w:val="28"/>
          <w:szCs w:val="28"/>
        </w:rPr>
        <w:t>риказ издается каждый год.</w:t>
      </w:r>
    </w:p>
    <w:p w:rsidR="00A664F5" w:rsidRPr="00F92278" w:rsidRDefault="00A664F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Нормативными актами ФТС России формирование достоверной исходной статистической информации возложено на таможенные посты и таможни. Оттуда вся имеющаяся информация направляется в вышестоящие таможенные органы как в виде первичных документов, так и в виде установленных форм отчетности. Поэтому методика формирования специальной статистической отчетности должна соответствовать нормам и правилам заполнения грузовых таможенных деклараций, таможенных </w:t>
      </w:r>
      <w:r w:rsidRPr="00F92278">
        <w:rPr>
          <w:sz w:val="28"/>
          <w:szCs w:val="28"/>
        </w:rPr>
        <w:lastRenderedPageBreak/>
        <w:t>приходных ордеров, транзитных деклараций и иных документов, используемых в качестве источников первичной информации.</w:t>
      </w:r>
    </w:p>
    <w:p w:rsidR="00A664F5" w:rsidRPr="00F92278" w:rsidRDefault="0063073A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Главная задача специальной таможенной статистики – это организация глубокого и всестороннего анализа конкретных направлений деятельности таможенных органов для наиболее эффективного использования инструментов таможенного контроля и регулирования ВЭД на таможенной территории РФ, а также для ускорения внешнеторгового оборота страны и увеличения платежей, перечисляемых в федеральный бюджет.</w:t>
      </w:r>
    </w:p>
    <w:p w:rsidR="0063073A" w:rsidRPr="00F92278" w:rsidRDefault="0063073A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Объекты </w:t>
      </w:r>
      <w:r w:rsidR="00A0468B" w:rsidRPr="00F92278">
        <w:rPr>
          <w:sz w:val="28"/>
          <w:szCs w:val="28"/>
        </w:rPr>
        <w:t>учета</w:t>
      </w:r>
      <w:r w:rsidRPr="00F92278">
        <w:rPr>
          <w:sz w:val="28"/>
          <w:szCs w:val="28"/>
        </w:rPr>
        <w:t xml:space="preserve"> специальной таможенной статистики совпадают с основными направлениями деятельности таможенных органов. К ним относятся: 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взимание таможенных платежей;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контроль таможенной стоимости;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валютный контроль;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система управления рисками;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таможенные процедуры;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оперативно-розыскная деятельность;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борьба с преступлениями и административными правонарушениями в таможенной сфере;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профессиональная подготовка должностных лиц;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технические средства таможенного контроля;</w:t>
      </w:r>
    </w:p>
    <w:p w:rsidR="00A0468B" w:rsidRPr="00F92278" w:rsidRDefault="00A0468B" w:rsidP="00F92278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другие направления деятельности.</w:t>
      </w:r>
      <w:r w:rsidRPr="00F92278">
        <w:rPr>
          <w:rStyle w:val="af0"/>
          <w:sz w:val="28"/>
          <w:szCs w:val="28"/>
        </w:rPr>
        <w:footnoteReference w:id="3"/>
      </w:r>
    </w:p>
    <w:p w:rsidR="0063073A" w:rsidRPr="00F92278" w:rsidRDefault="0063073A" w:rsidP="00F92278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Классификация статистических форм отчетности по направлениям деятельности достаточно условна, так как многие отчеты носят комплексный характер и содержат показатели по нескольким направлениям.</w:t>
      </w:r>
    </w:p>
    <w:p w:rsidR="0063073A" w:rsidRPr="00F92278" w:rsidRDefault="0063073A" w:rsidP="00F9227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 срокам статистические формы отчетности подразделяются:</w:t>
      </w:r>
    </w:p>
    <w:p w:rsidR="0063073A" w:rsidRPr="00F92278" w:rsidRDefault="0063073A" w:rsidP="00F9227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декадные;</w:t>
      </w:r>
    </w:p>
    <w:p w:rsidR="0063073A" w:rsidRPr="00F92278" w:rsidRDefault="0063073A" w:rsidP="00F9227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ежемесячные;</w:t>
      </w:r>
    </w:p>
    <w:p w:rsidR="0063073A" w:rsidRPr="00F92278" w:rsidRDefault="0063073A" w:rsidP="00F92278">
      <w:pPr>
        <w:numPr>
          <w:ilvl w:val="0"/>
          <w:numId w:val="3"/>
        </w:numPr>
        <w:tabs>
          <w:tab w:val="clear" w:pos="8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lastRenderedPageBreak/>
        <w:t>квартальные;</w:t>
      </w:r>
    </w:p>
    <w:p w:rsidR="0063073A" w:rsidRPr="00F92278" w:rsidRDefault="0063073A" w:rsidP="00F92278">
      <w:pPr>
        <w:numPr>
          <w:ilvl w:val="0"/>
          <w:numId w:val="3"/>
        </w:numPr>
        <w:tabs>
          <w:tab w:val="clear" w:pos="8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полугодовые;</w:t>
      </w:r>
    </w:p>
    <w:p w:rsidR="00CD7627" w:rsidRPr="00F92278" w:rsidRDefault="0063073A" w:rsidP="00F92278">
      <w:pPr>
        <w:numPr>
          <w:ilvl w:val="0"/>
          <w:numId w:val="3"/>
        </w:numPr>
        <w:tabs>
          <w:tab w:val="clear" w:pos="8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годовые.</w:t>
      </w:r>
    </w:p>
    <w:p w:rsidR="00A91DED" w:rsidRPr="00F92278" w:rsidRDefault="00A91DED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Основные направления ведомственной статистической отчетности таможенной службы России определяются практически ежегодно соответствующим нормативным актом. По мере развития таможенного дела происходят изменения и в специальной таможенной статистике. При этом совершенствуются формы отчетности, методы сбора, передачи и обработки информации, вводятся новые отчеты и упраздняются отчеты, утратившие свою актуальность, изменяются сроки отчетности.</w:t>
      </w:r>
      <w:r w:rsidRPr="00F92278">
        <w:rPr>
          <w:rStyle w:val="af0"/>
          <w:color w:val="000000"/>
          <w:sz w:val="28"/>
          <w:szCs w:val="28"/>
        </w:rPr>
        <w:footnoteReference w:id="4"/>
      </w:r>
    </w:p>
    <w:p w:rsid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3" w:name="_Toc278534808"/>
    </w:p>
    <w:p w:rsidR="00BC1257" w:rsidRP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1.2 </w:t>
      </w:r>
      <w:r w:rsidR="00E358D5" w:rsidRPr="00F92278">
        <w:rPr>
          <w:rFonts w:ascii="Times New Roman" w:hAnsi="Times New Roman" w:cs="Times New Roman"/>
          <w:i w:val="0"/>
          <w:iCs w:val="0"/>
        </w:rPr>
        <w:t>Таможенные платежи: их виды и способы классификации</w:t>
      </w:r>
      <w:bookmarkEnd w:id="3"/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C1257" w:rsidRPr="00F92278" w:rsidRDefault="00BC125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соответствии со ст. </w:t>
      </w:r>
      <w:r w:rsidR="00882245" w:rsidRPr="00F92278">
        <w:rPr>
          <w:sz w:val="28"/>
          <w:szCs w:val="28"/>
        </w:rPr>
        <w:t xml:space="preserve">70 </w:t>
      </w:r>
      <w:r w:rsidRPr="00F92278">
        <w:rPr>
          <w:sz w:val="28"/>
          <w:szCs w:val="28"/>
        </w:rPr>
        <w:t xml:space="preserve">Таможенного кодекса </w:t>
      </w:r>
      <w:r w:rsidR="00882245" w:rsidRPr="00F92278">
        <w:rPr>
          <w:sz w:val="28"/>
          <w:szCs w:val="28"/>
        </w:rPr>
        <w:t>Таможенного союза</w:t>
      </w:r>
      <w:r w:rsidRPr="00F92278">
        <w:rPr>
          <w:sz w:val="28"/>
          <w:szCs w:val="28"/>
        </w:rPr>
        <w:t xml:space="preserve"> к </w:t>
      </w:r>
      <w:r w:rsidR="002C54D4" w:rsidRPr="00F92278">
        <w:rPr>
          <w:sz w:val="28"/>
          <w:szCs w:val="28"/>
        </w:rPr>
        <w:t>таможенным платежам</w:t>
      </w:r>
      <w:r w:rsidR="00882245" w:rsidRPr="00F92278">
        <w:rPr>
          <w:sz w:val="28"/>
          <w:szCs w:val="28"/>
        </w:rPr>
        <w:t xml:space="preserve"> относя</w:t>
      </w:r>
      <w:r w:rsidRPr="00F92278">
        <w:rPr>
          <w:sz w:val="28"/>
          <w:szCs w:val="28"/>
        </w:rPr>
        <w:t>тся:</w:t>
      </w:r>
    </w:p>
    <w:p w:rsidR="00882245" w:rsidRPr="00F92278" w:rsidRDefault="0088224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1) ввозная таможенная пошлина;</w:t>
      </w:r>
    </w:p>
    <w:p w:rsidR="00882245" w:rsidRPr="00F92278" w:rsidRDefault="0088224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2) вывозная таможенная пошлина;</w:t>
      </w:r>
    </w:p>
    <w:p w:rsidR="00882245" w:rsidRPr="00F92278" w:rsidRDefault="0088224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3) налог на добавленную стоимость, взимаемый при ввозе товаров на таможенную территорию таможенного союза;</w:t>
      </w:r>
    </w:p>
    <w:p w:rsidR="00882245" w:rsidRPr="00F92278" w:rsidRDefault="0088224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4) акциз (акцизы), взимаемый (взимаемые) при ввозе товаров на таможенную территорию таможенного союза;</w:t>
      </w:r>
    </w:p>
    <w:p w:rsidR="00882245" w:rsidRPr="00F92278" w:rsidRDefault="0088224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5) таможенные сборы.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Таможенная пошлина</w:t>
      </w:r>
    </w:p>
    <w:p w:rsidR="00443BB3" w:rsidRPr="00F92278" w:rsidRDefault="00443BB3" w:rsidP="00F9227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78">
        <w:rPr>
          <w:rFonts w:ascii="Times New Roman" w:hAnsi="Times New Roman" w:cs="Times New Roman"/>
          <w:sz w:val="28"/>
          <w:szCs w:val="28"/>
          <w:lang w:eastAsia="ar-SA"/>
        </w:rPr>
        <w:t>Таможенная пошлина –</w:t>
      </w:r>
      <w:r w:rsidR="001065F3" w:rsidRPr="00F92278">
        <w:rPr>
          <w:rFonts w:ascii="Times New Roman" w:hAnsi="Times New Roman" w:cs="Times New Roman"/>
          <w:sz w:val="28"/>
          <w:szCs w:val="28"/>
        </w:rPr>
        <w:t xml:space="preserve"> обязательный платеж в федеральный бюджет, взимаемый таможенными органами при ввозе товаров на таможенную территорию Российской Федерации или вывозе товаров с этой территории, а также в иных случаях, установленных таможенным законодательством Российской Федерации, в целях таможенно-тарифного регулирования внешнеторговой деятельности в экономических интересах Российской </w:t>
      </w:r>
      <w:r w:rsidR="001065F3" w:rsidRPr="00F9227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="00F92278" w:rsidRPr="00F92278">
        <w:rPr>
          <w:rFonts w:ascii="Times New Roman" w:hAnsi="Times New Roman" w:cs="Times New Roman"/>
          <w:sz w:val="28"/>
          <w:szCs w:val="28"/>
        </w:rPr>
        <w:t xml:space="preserve"> </w:t>
      </w:r>
      <w:r w:rsidRPr="00F92278">
        <w:rPr>
          <w:rFonts w:ascii="Times New Roman" w:hAnsi="Times New Roman" w:cs="Times New Roman"/>
          <w:sz w:val="28"/>
          <w:szCs w:val="28"/>
          <w:lang w:eastAsia="ar-SA"/>
        </w:rPr>
        <w:t xml:space="preserve">ТК </w:t>
      </w:r>
      <w:r w:rsidR="00BB41EE" w:rsidRPr="00F92278">
        <w:rPr>
          <w:rFonts w:ascii="Times New Roman" w:hAnsi="Times New Roman" w:cs="Times New Roman"/>
          <w:sz w:val="28"/>
          <w:szCs w:val="28"/>
          <w:lang w:eastAsia="ar-SA"/>
        </w:rPr>
        <w:t>ТС</w:t>
      </w:r>
      <w:r w:rsidRPr="00F92278">
        <w:rPr>
          <w:rFonts w:ascii="Times New Roman" w:hAnsi="Times New Roman" w:cs="Times New Roman"/>
          <w:sz w:val="28"/>
          <w:szCs w:val="28"/>
          <w:lang w:eastAsia="ar-SA"/>
        </w:rPr>
        <w:t xml:space="preserve"> выделяет самостоятельные группы таможенных пошлин: ввозные и вывозные. Однако Закон РФ «О таможенном тарифе» подразумевает под понятием «пошлина» не только ввозную и вывозную таможенные пошлины, но и иные виды пошлин, взимаемых таможенными органами</w:t>
      </w:r>
      <w:r w:rsidRPr="00F92278">
        <w:rPr>
          <w:lang w:eastAsia="ar-SA"/>
        </w:rPr>
        <w:t xml:space="preserve">: </w:t>
      </w:r>
      <w:r w:rsidRPr="00F92278">
        <w:rPr>
          <w:rFonts w:ascii="Times New Roman" w:hAnsi="Times New Roman" w:cs="Times New Roman"/>
          <w:sz w:val="28"/>
          <w:szCs w:val="28"/>
          <w:lang w:eastAsia="ar-SA"/>
        </w:rPr>
        <w:t>сезонные, специальные, антидемпинговые, компенсационные.</w:t>
      </w:r>
    </w:p>
    <w:p w:rsidR="00443BB3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В рамках таможенного законодательства, законодательства РФ о государственном регулировании внешнеторговой деятельности, законодательства РФ о мерах по защите экономических интересов РФ при осуществлении внешней торговли проводится следующая классификация таможенных пошлин (риc</w:t>
      </w:r>
      <w:r w:rsidR="00777124" w:rsidRPr="00F92278">
        <w:rPr>
          <w:sz w:val="28"/>
          <w:szCs w:val="28"/>
          <w:lang w:eastAsia="ar-SA"/>
        </w:rPr>
        <w:t>. 1</w:t>
      </w:r>
      <w:r w:rsidR="00D012B6" w:rsidRPr="00F92278">
        <w:rPr>
          <w:sz w:val="28"/>
          <w:szCs w:val="28"/>
          <w:lang w:eastAsia="ar-SA"/>
        </w:rPr>
        <w:t>.1</w:t>
      </w:r>
      <w:r w:rsidR="00777124" w:rsidRPr="00F92278">
        <w:rPr>
          <w:sz w:val="28"/>
          <w:szCs w:val="28"/>
          <w:lang w:eastAsia="ar-SA"/>
        </w:rPr>
        <w:t>,</w:t>
      </w:r>
      <w:r w:rsidR="00D012B6" w:rsidRPr="00F92278">
        <w:rPr>
          <w:sz w:val="28"/>
          <w:szCs w:val="28"/>
          <w:lang w:eastAsia="ar-SA"/>
        </w:rPr>
        <w:t xml:space="preserve"> 1.</w:t>
      </w:r>
      <w:r w:rsidR="00777124" w:rsidRPr="00F92278">
        <w:rPr>
          <w:sz w:val="28"/>
          <w:szCs w:val="28"/>
          <w:lang w:eastAsia="ar-SA"/>
        </w:rPr>
        <w:t xml:space="preserve">2, </w:t>
      </w:r>
      <w:r w:rsidR="00D012B6" w:rsidRPr="00F92278">
        <w:rPr>
          <w:sz w:val="28"/>
          <w:szCs w:val="28"/>
          <w:lang w:eastAsia="ar-SA"/>
        </w:rPr>
        <w:t>1.</w:t>
      </w:r>
      <w:r w:rsidR="00777124" w:rsidRPr="00F92278">
        <w:rPr>
          <w:sz w:val="28"/>
          <w:szCs w:val="28"/>
          <w:lang w:eastAsia="ar-SA"/>
        </w:rPr>
        <w:t>3).</w:t>
      </w:r>
    </w:p>
    <w:p w:rsidR="00F92278" w:rsidRDefault="00F92278" w:rsidP="0070224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F92278" w:rsidRPr="00F92278" w:rsidRDefault="004C14D7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noProof/>
        </w:rPr>
        <w:pict>
          <v:group id="_x0000_s1026" style="position:absolute;left:0;text-align:left;margin-left:18pt;margin-top:13.6pt;width:423pt;height:125.75pt;z-index:251656704" coordorigin="1395,9573" coordsize="9720,268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05;top:9899;width:523;height:0;flip:x" o:connectortype="straight" strokeweight=".26mm">
              <v:stroke joinstyle="miter"/>
            </v:shape>
            <v:shape id="_x0000_s1028" type="#_x0000_t32" style="position:absolute;left:1401;top:9902;width:9;height:1986" o:connectortype="straight" strokeweight=".26mm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73;top:10651;width:8528;height:707;v-text-anchor:middle" fillcolor="silver" strokeweight=".26mm">
              <v:fill color2="#3f3f3f"/>
              <v:textbox style="mso-next-textbox:#_x0000_s1029;mso-rotate-with-shape:t">
                <w:txbxContent>
                  <w:p w:rsidR="0070224A" w:rsidRDefault="0070224A" w:rsidP="00443BB3">
                    <w:pPr>
                      <w:ind w:firstLine="540"/>
                    </w:pPr>
                    <w:r>
                      <w:t>Ввозная таможенная пошлина – уплачивается при ввозе товаров и транспортных средств на таможенную территорию РФ</w:t>
                    </w:r>
                  </w:p>
                </w:txbxContent>
              </v:textbox>
            </v:shape>
            <v:shape id="_x0000_s1030" type="#_x0000_t202" style="position:absolute;left:2476;top:11552;width:8528;height:707;v-text-anchor:middle" fillcolor="silver" strokeweight=".26mm">
              <v:fill color2="#3f3f3f"/>
              <v:textbox style="mso-next-textbox:#_x0000_s1030;mso-rotate-with-shape:t">
                <w:txbxContent>
                  <w:p w:rsidR="0070224A" w:rsidRDefault="0070224A" w:rsidP="00443BB3">
                    <w:pPr>
                      <w:ind w:firstLine="540"/>
                    </w:pPr>
                    <w:r>
                      <w:t>Вывозная таможенная пошлина - уплачивается при вывозе товаров и транспортных средств с таможенной территории РФ</w:t>
                    </w:r>
                  </w:p>
                </w:txbxContent>
              </v:textbox>
            </v:shape>
            <v:shape id="_x0000_s1031" type="#_x0000_t32" style="position:absolute;left:1395;top:11189;width:1108;height:1" o:connectortype="straight" strokeweight=".26mm">
              <v:stroke endarrow="block" joinstyle="miter"/>
            </v:shape>
            <v:shape id="_x0000_s1032" type="#_x0000_t32" style="position:absolute;left:1395;top:11910;width:1108;height:1" o:connectortype="straight" strokeweight=".26mm">
              <v:stroke endarrow="block" joinstyle="miter"/>
            </v:shape>
            <v:group id="_x0000_s1033" style="position:absolute;left:1938;top:9573;width:9177;height:716;mso-wrap-distance-left:0;mso-wrap-distance-right:0" coordorigin="546,180" coordsize="9176,716">
              <o:lock v:ext="edit" text="t"/>
              <v:roundrect id="_x0000_s1034" style="position:absolute;left:546;top:180;width:9176;height:716;v-text-anchor:middle" arcsize="10923f" strokeweight=".26mm">
                <v:fill color2="black"/>
                <v:stroke joinstyle="miter"/>
              </v:roundrect>
              <v:shape id="_x0000_s1035" type="#_x0000_t202" style="position:absolute;left:579;top:213;width:9106;height:646;v-text-anchor:middle" filled="f" stroked="f">
                <v:stroke joinstyle="round"/>
                <v:textbox style="mso-next-textbox:#_x0000_s1035;mso-rotate-with-shape:t">
                  <w:txbxContent>
                    <w:p w:rsidR="0070224A" w:rsidRDefault="0070224A" w:rsidP="00443BB3">
                      <w:pPr>
                        <w:ind w:firstLine="540"/>
                      </w:pPr>
                      <w:r>
                        <w:t>В зависимости от направления перемещения товаров и транспортных средств (характера внешнеторговой операции) выделяются:</w:t>
                      </w:r>
                    </w:p>
                    <w:p w:rsidR="0070224A" w:rsidRDefault="0070224A" w:rsidP="00443BB3">
                      <w:pPr>
                        <w:ind w:firstLine="540"/>
                      </w:pPr>
                    </w:p>
                  </w:txbxContent>
                </v:textbox>
              </v:shape>
            </v:group>
          </v:group>
        </w:pic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Рис. 1.</w:t>
      </w:r>
      <w:r w:rsidR="00D012B6" w:rsidRPr="00F92278">
        <w:rPr>
          <w:sz w:val="28"/>
          <w:szCs w:val="28"/>
          <w:lang w:eastAsia="ar-SA"/>
        </w:rPr>
        <w:t>1.</w:t>
      </w:r>
      <w:r w:rsidR="00F92278">
        <w:rPr>
          <w:sz w:val="28"/>
          <w:szCs w:val="28"/>
          <w:lang w:eastAsia="ar-SA"/>
        </w:rPr>
        <w:t xml:space="preserve"> </w:t>
      </w:r>
      <w:r w:rsidRPr="00F92278">
        <w:rPr>
          <w:sz w:val="28"/>
          <w:szCs w:val="28"/>
          <w:lang w:eastAsia="ar-SA"/>
        </w:rPr>
        <w:t>Классификация таможенных пошлин в зависимости от направления перемещения товаров и транспортных средств</w:t>
      </w:r>
    </w:p>
    <w:p w:rsidR="00F92278" w:rsidRDefault="00F92278" w:rsidP="00F9227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F92278" w:rsidRPr="00F92278" w:rsidRDefault="004C14D7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noProof/>
        </w:rPr>
        <w:pict>
          <v:group id="_x0000_s1036" style="position:absolute;left:0;text-align:left;margin-left:27pt;margin-top:3.05pt;width:423pt;height:163pt;z-index:251657728;mso-wrap-distance-left:0;mso-wrap-distance-right:0" coordorigin="160,22" coordsize="9562,3876">
            <o:lock v:ext="edit" text="t"/>
            <v:shape id="_x0000_s1037" type="#_x0000_t32" style="position:absolute;left:160;top:152;width:517;height:1;flip:x" o:connectortype="straight" strokeweight=".26mm">
              <v:stroke joinstyle="miter"/>
            </v:shape>
            <v:shape id="_x0000_s1038" type="#_x0000_t32" style="position:absolute;left:170;top:153;width:14;height:3169" o:connectortype="straight" strokeweight=".26mm">
              <v:stroke joinstyle="miter"/>
            </v:shape>
            <v:shape id="_x0000_s1039" type="#_x0000_t202" style="position:absolute;left:1264;top:797;width:8385;height:983;v-text-anchor:middle" fillcolor="silver" strokeweight=".26mm">
              <v:fill color2="#3f3f3f"/>
              <v:textbox style="mso-next-textbox:#_x0000_s1039;mso-rotate-with-shape:t">
                <w:txbxContent>
                  <w:p w:rsidR="0070224A" w:rsidRDefault="0070224A" w:rsidP="00443BB3">
                    <w:pPr>
                      <w:ind w:firstLine="540"/>
                    </w:pPr>
                    <w:r>
                      <w:t>Адвалорная таможенная пошлина – начисляется  в процентном отношении к таможенной стоимости товаров, облагаемых таможенной пошлиной</w:t>
                    </w:r>
                  </w:p>
                </w:txbxContent>
              </v:textbox>
            </v:shape>
            <v:shape id="_x0000_s1040" type="#_x0000_t202" style="position:absolute;left:1264;top:2065;width:8385;height:707;v-text-anchor:middle" fillcolor="silver" strokeweight=".26mm">
              <v:fill color2="#3f3f3f"/>
              <v:textbox style="mso-next-textbox:#_x0000_s1040;mso-rotate-with-shape:t">
                <w:txbxContent>
                  <w:p w:rsidR="0070224A" w:rsidRDefault="0070224A" w:rsidP="00443BB3">
                    <w:pPr>
                      <w:ind w:firstLine="540"/>
                    </w:pPr>
                    <w:r>
                      <w:t>Специфическая таможенная пошлина – начисляются в строго установленном размере за единицу облагаемых товаров</w:t>
                    </w:r>
                  </w:p>
                </w:txbxContent>
              </v:textbox>
            </v:shape>
            <v:shape id="_x0000_s1041" type="#_x0000_t202" style="position:absolute;left:1264;top:3145;width:8385;height:753;v-text-anchor:middle" fillcolor="silver" strokeweight=".26mm">
              <v:fill color2="#3f3f3f"/>
              <v:textbox style="mso-next-textbox:#_x0000_s1041;mso-rotate-with-shape:t">
                <w:txbxContent>
                  <w:p w:rsidR="0070224A" w:rsidRPr="00BC223F" w:rsidRDefault="0070224A" w:rsidP="00443BB3">
                    <w:pPr>
                      <w:ind w:firstLine="540"/>
                    </w:pPr>
                    <w:r>
                      <w:t xml:space="preserve">Смешанная (комбинированная) таможенная пошлина – сочетает в себе признаки адвалорных и специфических </w:t>
                    </w:r>
                    <w:r w:rsidRPr="00BC223F">
                      <w:t>таможенных пошлин</w:t>
                    </w:r>
                  </w:p>
                </w:txbxContent>
              </v:textbox>
            </v:shape>
            <v:shape id="_x0000_s1042" type="#_x0000_t32" style="position:absolute;left:186;top:1514;width:1090;height:0" o:connectortype="straight" strokeweight=".26mm">
              <v:stroke endarrow="block" joinstyle="miter"/>
            </v:shape>
            <v:shape id="_x0000_s1043" type="#_x0000_t32" style="position:absolute;left:186;top:2423;width:1090;height:1" o:connectortype="straight" strokeweight=".26mm">
              <v:stroke endarrow="block" joinstyle="miter"/>
            </v:shape>
            <v:shape id="_x0000_s1044" type="#_x0000_t32" style="position:absolute;left:186;top:3323;width:1090;height:1" o:connectortype="straight" strokeweight=".26mm">
              <v:stroke endarrow="block" joinstyle="miter"/>
            </v:shape>
            <v:group id="_x0000_s1045" style="position:absolute;left:726;top:22;width:8996;height:461;mso-wrap-distance-left:0;mso-wrap-distance-right:0" coordorigin="726,22" coordsize="8996,461">
              <o:lock v:ext="edit" text="t"/>
              <v:roundrect id="_x0000_s1046" style="position:absolute;left:726;top:22;width:8996;height:461;v-text-anchor:middle" arcsize="10923f" strokeweight=".26mm">
                <v:fill color2="black"/>
                <v:stroke joinstyle="miter"/>
              </v:roundrect>
              <v:shape id="_x0000_s1047" type="#_x0000_t202" style="position:absolute;left:746;top:42;width:8952;height:417;v-text-anchor:middle" filled="f" stroked="f">
                <v:stroke joinstyle="round"/>
                <v:textbox style="mso-next-textbox:#_x0000_s1047;mso-rotate-with-shape:t">
                  <w:txbxContent>
                    <w:p w:rsidR="0070224A" w:rsidRDefault="0070224A" w:rsidP="00443BB3">
                      <w:r>
                        <w:t>По способу взимания (по видам ставок) таможенные пошлины делят:</w:t>
                      </w:r>
                    </w:p>
                  </w:txbxContent>
                </v:textbox>
              </v:shape>
            </v:group>
          </v:group>
        </w:pict>
      </w:r>
    </w:p>
    <w:p w:rsidR="00777124" w:rsidRPr="00F92278" w:rsidRDefault="00777124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77124" w:rsidRPr="00F92278" w:rsidRDefault="00777124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77124" w:rsidRPr="00F92278" w:rsidRDefault="00777124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77124" w:rsidRPr="00F92278" w:rsidRDefault="00777124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77124" w:rsidRDefault="00777124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F92278" w:rsidRDefault="00F92278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 xml:space="preserve">Рис. </w:t>
      </w:r>
      <w:r w:rsidR="00D012B6" w:rsidRPr="00F92278">
        <w:rPr>
          <w:sz w:val="28"/>
          <w:szCs w:val="28"/>
          <w:lang w:eastAsia="ar-SA"/>
        </w:rPr>
        <w:t>1.</w:t>
      </w:r>
      <w:r w:rsidRPr="00F92278">
        <w:rPr>
          <w:sz w:val="28"/>
          <w:szCs w:val="28"/>
          <w:lang w:eastAsia="ar-SA"/>
        </w:rPr>
        <w:t xml:space="preserve">2. Классификация таможенных пошлин в зависимости от </w:t>
      </w:r>
      <w:r w:rsidRPr="00F92278">
        <w:rPr>
          <w:sz w:val="28"/>
          <w:szCs w:val="28"/>
          <w:lang w:eastAsia="ar-SA"/>
        </w:rPr>
        <w:br/>
        <w:t>способа взимания</w:t>
      </w:r>
    </w:p>
    <w:p w:rsidR="00DF4B1E" w:rsidRPr="00F92278" w:rsidRDefault="00F92278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DF4B1E" w:rsidRPr="00F92278" w:rsidRDefault="004C14D7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noProof/>
        </w:rPr>
        <w:pict>
          <v:group id="_x0000_s1048" style="position:absolute;left:0;text-align:left;margin-left:27pt;margin-top:-24.15pt;width:414pt;height:129.15pt;z-index:251658752" coordorigin="1542,11337" coordsize="9570,2390">
            <v:shape id="_x0000_s1049" type="#_x0000_t202" style="position:absolute;left:2837;top:12385;width:2716;height:436;mso-wrap-distance-left:9.05pt;mso-wrap-distance-right:9.05pt" fillcolor="silver" strokeweight=".5pt">
              <v:fill color2="#3f3f3f"/>
              <v:textbox style="mso-next-textbox:#_x0000_s1049" inset="7.45pt,3.85pt,7.45pt,3.85pt">
                <w:txbxContent>
                  <w:p w:rsidR="0070224A" w:rsidRDefault="0070224A" w:rsidP="00443BB3">
                    <w:r>
                      <w:t xml:space="preserve">Базовые </w:t>
                    </w:r>
                  </w:p>
                </w:txbxContent>
              </v:textbox>
            </v:shape>
            <v:shape id="_x0000_s1050" type="#_x0000_t202" style="position:absolute;left:6947;top:13075;width:3076;height:436;mso-wrap-distance-left:9.05pt;mso-wrap-distance-right:9.05pt" fillcolor="silver" strokeweight=".5pt">
              <v:fill color2="#3f3f3f"/>
              <v:textbox style="mso-next-textbox:#_x0000_s1050" inset="7.45pt,3.85pt,7.45pt,3.85pt">
                <w:txbxContent>
                  <w:p w:rsidR="0070224A" w:rsidRDefault="0070224A" w:rsidP="00443BB3">
                    <w:r>
                      <w:t xml:space="preserve">Карательные </w:t>
                    </w:r>
                  </w:p>
                </w:txbxContent>
              </v:textbox>
            </v:shape>
            <v:shape id="_x0000_s1051" type="#_x0000_t202" style="position:absolute;left:6947;top:12370;width:3076;height:436;mso-wrap-distance-left:9.05pt;mso-wrap-distance-right:9.05pt" fillcolor="silver" strokeweight=".5pt">
              <v:fill color2="#3f3f3f"/>
              <v:textbox style="mso-next-textbox:#_x0000_s1051" inset="7.45pt,3.85pt,7.45pt,3.85pt">
                <w:txbxContent>
                  <w:p w:rsidR="0070224A" w:rsidRDefault="0070224A" w:rsidP="00443BB3">
                    <w:r>
                      <w:t xml:space="preserve">Максимальные </w:t>
                    </w:r>
                  </w:p>
                </w:txbxContent>
              </v:textbox>
            </v:shape>
            <v:shape id="_x0000_s1052" type="#_x0000_t202" style="position:absolute;left:2837;top:13015;width:2716;height:712;mso-wrap-distance-left:9.05pt;mso-wrap-distance-right:9.05pt" fillcolor="silver" strokeweight=".5pt">
              <v:fill color2="#3f3f3f"/>
              <v:textbox style="mso-next-textbox:#_x0000_s1052" inset="7.45pt,3.85pt,7.45pt,3.85pt">
                <w:txbxContent>
                  <w:p w:rsidR="0070224A" w:rsidRDefault="0070224A" w:rsidP="00443BB3">
                    <w:pPr>
                      <w:jc w:val="center"/>
                    </w:pPr>
                    <w:r>
                      <w:t>Льготные (преференциальные)</w:t>
                    </w:r>
                  </w:p>
                </w:txbxContent>
              </v:textbox>
            </v:shape>
            <v:group id="_x0000_s1053" style="position:absolute;left:1542;top:11337;width:9570;height:1980;mso-wrap-distance-left:0;mso-wrap-distance-right:0" coordorigin="150,241" coordsize="9569,1979">
              <o:lock v:ext="edit" text="t"/>
              <v:shape id="_x0000_s1054" type="#_x0000_t32" style="position:absolute;left:179;top:420;width:483;height:1;flip:x" o:connectortype="straight" strokeweight=".26mm">
                <v:stroke joinstyle="miter"/>
              </v:shape>
              <v:shape id="_x0000_s1055" type="#_x0000_t32" style="position:absolute;left:179;top:421;width:1;height:1800" o:connectortype="straight" strokeweight=".26mm">
                <v:stroke joinstyle="miter"/>
              </v:shape>
              <v:shape id="_x0000_s1056" type="#_x0000_t32" style="position:absolute;left:150;top:1491;width:1290;height:10" o:connectortype="straight" strokeweight=".26mm">
                <v:stroke endarrow="block" joinstyle="miter"/>
              </v:shape>
              <v:shape id="_x0000_s1057" type="#_x0000_t32" style="position:absolute;left:179;top:2220;width:1259;height:1" o:connectortype="straight" strokeweight=".26mm">
                <v:stroke endarrow="block" joinstyle="miter"/>
              </v:shape>
              <v:shape id="_x0000_s1058" type="#_x0000_t32" style="position:absolute;left:8639;top:1500;width:1080;height:1;flip:x" o:connectortype="straight" strokeweight=".26mm">
                <v:stroke endarrow="block" joinstyle="miter"/>
              </v:shape>
              <v:shape id="_x0000_s1059" type="#_x0000_t32" style="position:absolute;left:8639;top:2220;width:1080;height:1;flip:x" o:connectortype="straight" strokeweight=".26mm">
                <v:stroke endarrow="block" joinstyle="miter"/>
              </v:shape>
              <v:group id="_x0000_s1060" style="position:absolute;left:540;top:241;width:8816;height:762;mso-wrap-distance-left:0;mso-wrap-distance-right:0" coordorigin="540,241" coordsize="8816,762">
                <o:lock v:ext="edit" text="t"/>
                <v:roundrect id="_x0000_s1061" style="position:absolute;left:540;top:241;width:8816;height:762;v-text-anchor:middle" arcsize="10923f" strokeweight=".26mm">
                  <v:fill color2="black"/>
                  <v:stroke joinstyle="miter"/>
                </v:roundrect>
                <v:shape id="_x0000_s1062" type="#_x0000_t202" style="position:absolute;left:576;top:275;width:8742;height:693;v-text-anchor:middle" filled="f" stroked="f">
                  <v:stroke joinstyle="round"/>
                  <v:textbox style="mso-next-textbox:#_x0000_s1062;mso-rotate-with-shape:t">
                    <w:txbxContent>
                      <w:p w:rsidR="0070224A" w:rsidRDefault="0070224A" w:rsidP="00443BB3">
                        <w:pPr>
                          <w:ind w:firstLine="540"/>
                        </w:pPr>
                        <w:r>
                          <w:t>В зависимости от страны происхождения товаров, ввозимых на таможенную территорию РФ, выделяют следующие виды:</w:t>
                        </w:r>
                      </w:p>
                    </w:txbxContent>
                  </v:textbox>
                </v:shape>
              </v:group>
              <v:line id="_x0000_s1063" style="position:absolute" from="9720,421" to="9720,2219" strokeweight=".26mm">
                <v:stroke joinstyle="miter"/>
              </v:line>
              <v:line id="_x0000_s1064" style="position:absolute" from="9360,421" to="9718,421" strokeweight=".26mm">
                <v:stroke joinstyle="miter"/>
              </v:line>
            </v:group>
          </v:group>
        </w:pict>
      </w:r>
    </w:p>
    <w:p w:rsidR="00420BAA" w:rsidRPr="00F92278" w:rsidRDefault="00420BAA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20BAA" w:rsidRPr="00F92278" w:rsidRDefault="00420BAA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20BAA" w:rsidRPr="00F92278" w:rsidRDefault="00420BAA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F92278" w:rsidRDefault="00F92278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 xml:space="preserve">Рис. </w:t>
      </w:r>
      <w:r w:rsidR="00D012B6" w:rsidRPr="00F92278">
        <w:rPr>
          <w:sz w:val="28"/>
          <w:szCs w:val="28"/>
          <w:lang w:eastAsia="ar-SA"/>
        </w:rPr>
        <w:t>1.</w:t>
      </w:r>
      <w:r w:rsidRPr="00F92278">
        <w:rPr>
          <w:sz w:val="28"/>
          <w:szCs w:val="28"/>
          <w:lang w:eastAsia="ar-SA"/>
        </w:rPr>
        <w:t>3. Классификация таможенных пошлин в зависимости</w:t>
      </w:r>
      <w:r w:rsidRPr="00F92278">
        <w:rPr>
          <w:sz w:val="28"/>
          <w:szCs w:val="28"/>
          <w:lang w:eastAsia="ar-SA"/>
        </w:rPr>
        <w:br/>
        <w:t xml:space="preserve"> от страны происхождения товаров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A03644" w:rsidRPr="00F92278" w:rsidRDefault="00A03644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Плательщиками таможенных пошлин, налогов являются декларант или иные лица, на которых в соответствии с ТК ТС, международными договорами государств - членов таможенного союза и (или) законодательством государств - членов таможенного союза возложена обязанность по уплате таможенных пошлин, налогов.</w:t>
      </w:r>
      <w:r w:rsidRPr="00F92278">
        <w:rPr>
          <w:rStyle w:val="af0"/>
          <w:sz w:val="28"/>
          <w:szCs w:val="28"/>
        </w:rPr>
        <w:footnoteReference w:id="5"/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F92278">
        <w:rPr>
          <w:kern w:val="1"/>
          <w:sz w:val="28"/>
          <w:szCs w:val="28"/>
          <w:lang w:eastAsia="ar-SA"/>
        </w:rPr>
        <w:t>Акциз</w:t>
      </w:r>
    </w:p>
    <w:p w:rsidR="00443BB3" w:rsidRPr="00F92278" w:rsidRDefault="00443BB3" w:rsidP="00F9227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К таможенным платежам относится также акциз – косвенный налог, применяемый к товарам повышенного спроса, включаемый в цену товара и уплачиваемый при ввозе, производстве и реализации товара.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 xml:space="preserve">Налогоплательщиками акциза являются организации, индивидуальные предприниматели, если они совершают операции, подлежащие налогообложению в соответствии с гл. 22 НК РФ. А также лица, признаваемые налогоплательщиками в связи с перемещением товаров через таможенную границу РФ, согласно ТК </w:t>
      </w:r>
      <w:r w:rsidR="00A03644" w:rsidRPr="00F92278">
        <w:rPr>
          <w:sz w:val="28"/>
          <w:szCs w:val="28"/>
          <w:lang w:eastAsia="ar-SA"/>
        </w:rPr>
        <w:t>ТС</w:t>
      </w:r>
      <w:r w:rsidRPr="00F92278">
        <w:rPr>
          <w:sz w:val="28"/>
          <w:szCs w:val="28"/>
          <w:lang w:eastAsia="ar-SA"/>
        </w:rPr>
        <w:t>, то есть, те же лица, что и лица ответственные за уплату таможенных пошлин. Объектом налогообложения для данного вида налога, соответственно, является перемещение товаров через таможенную границу Российской Федерации.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 xml:space="preserve">В налоговую базу для обложения акцизами включаются в соответствии со ст. 191 НК РФ объем подакцизных товаров в натуральном выражении. </w:t>
      </w:r>
      <w:r w:rsidRPr="00F92278">
        <w:rPr>
          <w:sz w:val="28"/>
          <w:szCs w:val="28"/>
          <w:lang w:eastAsia="ar-SA"/>
        </w:rPr>
        <w:lastRenderedPageBreak/>
        <w:t>Налогообложение подакцизных товаров осуществляется по налоговым ставкам, у</w:t>
      </w:r>
      <w:r w:rsidR="00AD2C88" w:rsidRPr="00F92278">
        <w:rPr>
          <w:sz w:val="28"/>
          <w:szCs w:val="28"/>
          <w:lang w:eastAsia="ar-SA"/>
        </w:rPr>
        <w:t>становленным в ст. 193 НК РФ</w:t>
      </w:r>
      <w:r w:rsidRPr="00F92278">
        <w:rPr>
          <w:sz w:val="28"/>
          <w:szCs w:val="28"/>
          <w:lang w:eastAsia="ar-SA"/>
        </w:rPr>
        <w:t>.</w:t>
      </w:r>
      <w:r w:rsidR="00475C65" w:rsidRPr="00F92278">
        <w:rPr>
          <w:rStyle w:val="af0"/>
          <w:sz w:val="28"/>
          <w:szCs w:val="28"/>
          <w:lang w:eastAsia="ar-SA"/>
        </w:rPr>
        <w:footnoteReference w:id="6"/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Ставки акцизов являются едиными и не подлежат изменению в зависимости от лиц, перемещающих товары через таможенную границу, видов сделок, страны происхождения товаров.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F92278">
        <w:rPr>
          <w:kern w:val="1"/>
          <w:sz w:val="28"/>
          <w:szCs w:val="28"/>
          <w:lang w:eastAsia="ar-SA"/>
        </w:rPr>
        <w:t>Налог на добавленную стоимость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 xml:space="preserve">Налог на добавленную стоимость (НДС) как говорилось выше, наряду с таможенной пошлиной, акцизом относится к таможенным платежам. Уплачивается в соответствии с НК РФ. Лицами ответственными за уплату являются те же лица, что и лица ответственные за уплату таможенных пошлин. Объект налогообложения - перемещение товаров через таможенную границу Российской Федерации. При исчислении величины НДС, подлежащего уплате, в качестве основы используется суммарная величина, включающая три стоимостных элемента: таможенную стоимость товара (ТС); таможенную пошлину (ТП), рассчитанную с помощью либо адвалорной, либо специфической, либо смешанной (комбинированной) ставок; величину акциза (А). Регулирование НДС осуществляется в соответствии с положениями гл.21 НК РФ, а в соответствии с НК РФ и ТК </w:t>
      </w:r>
      <w:r w:rsidR="00475C65" w:rsidRPr="00F92278">
        <w:rPr>
          <w:sz w:val="28"/>
          <w:szCs w:val="28"/>
          <w:lang w:eastAsia="ar-SA"/>
        </w:rPr>
        <w:t>ТС</w:t>
      </w:r>
      <w:r w:rsidRPr="00F92278">
        <w:rPr>
          <w:sz w:val="28"/>
          <w:szCs w:val="28"/>
          <w:lang w:eastAsia="ar-SA"/>
        </w:rPr>
        <w:t>, взимание НДС осуществляют таможенные органы.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При обложении НДС товаров, перемещаемых через таможенную границу РФ, действуют три вида ставок: нулевая, 10 % и 18 % (ст. 164 НК РФ)</w:t>
      </w:r>
      <w:r w:rsidR="00475C65" w:rsidRPr="00F92278">
        <w:rPr>
          <w:sz w:val="28"/>
          <w:szCs w:val="28"/>
          <w:lang w:eastAsia="ar-SA"/>
        </w:rPr>
        <w:t>.</w:t>
      </w:r>
      <w:r w:rsidR="00F92278">
        <w:rPr>
          <w:kern w:val="1"/>
          <w:sz w:val="28"/>
          <w:szCs w:val="28"/>
          <w:lang w:eastAsia="ar-SA"/>
        </w:rPr>
        <w:t xml:space="preserve"> </w:t>
      </w:r>
      <w:r w:rsidRPr="00F92278">
        <w:rPr>
          <w:sz w:val="28"/>
          <w:szCs w:val="28"/>
          <w:lang w:eastAsia="ar-SA"/>
        </w:rPr>
        <w:t>НДС на импортируемые товары выполняет две функции: во-первых, регулирование внешнеэкономической деятельности с целью создания равных условий для конкуренции отечественных и импортных товаров на внутреннем рынке; во-вторых, фискальную, - пополнение доходной части федерального бюджета.</w:t>
      </w:r>
    </w:p>
    <w:p w:rsidR="00443BB3" w:rsidRPr="00F92278" w:rsidRDefault="00443BB3" w:rsidP="00F92278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92278">
        <w:rPr>
          <w:sz w:val="28"/>
          <w:szCs w:val="28"/>
          <w:lang w:eastAsia="ar-SA"/>
        </w:rPr>
        <w:t>Таможенный сбор</w:t>
      </w:r>
    </w:p>
    <w:p w:rsidR="00475C65" w:rsidRPr="00F92278" w:rsidRDefault="00475C6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Таможенными сборами являются обязательные платежи, взимаемые таможенными органами за совершение ими действий, связанных с выпуском товаров, таможенным сопровождением товаров, а также за совершение иных действий, установленных настоящим </w:t>
      </w:r>
      <w:r w:rsidR="00BB41EE" w:rsidRPr="00F92278">
        <w:rPr>
          <w:sz w:val="28"/>
          <w:szCs w:val="28"/>
        </w:rPr>
        <w:t>ТК</w:t>
      </w:r>
      <w:r w:rsidRPr="00F92278">
        <w:rPr>
          <w:sz w:val="28"/>
          <w:szCs w:val="28"/>
        </w:rPr>
        <w:t xml:space="preserve"> и (или) законодательством государств - членов таможенного союза.</w:t>
      </w:r>
      <w:r w:rsidR="00BB41EE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Виды и ставки таможенных сборов устанавливаются законодательством государств - членов таможенного союза.</w:t>
      </w:r>
    </w:p>
    <w:p w:rsidR="00475C65" w:rsidRPr="00F92278" w:rsidRDefault="00475C65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 Плательщики таможенных сборов, сроки уплаты таможенных сборов, порядок их исчисления, уплаты, возврата (зачета) и взыскания, а также случаи, когда таможенные сборы не подлежат уплате, определяются настоящим </w:t>
      </w:r>
      <w:r w:rsidR="00BB41EE" w:rsidRPr="00F92278">
        <w:rPr>
          <w:sz w:val="28"/>
          <w:szCs w:val="28"/>
        </w:rPr>
        <w:t xml:space="preserve">ТК ТС </w:t>
      </w:r>
      <w:r w:rsidRPr="00F92278">
        <w:rPr>
          <w:sz w:val="28"/>
          <w:szCs w:val="28"/>
        </w:rPr>
        <w:t>и (или) законодательством государств - членов таможенного союза.</w:t>
      </w:r>
      <w:r w:rsidR="00BB41EE" w:rsidRPr="00F92278">
        <w:rPr>
          <w:rStyle w:val="af0"/>
          <w:sz w:val="28"/>
          <w:szCs w:val="28"/>
        </w:rPr>
        <w:footnoteReference w:id="7"/>
      </w:r>
    </w:p>
    <w:p w:rsidR="00BB41EE" w:rsidRPr="00F92278" w:rsidRDefault="00BB41EE" w:rsidP="00F9227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78">
        <w:rPr>
          <w:rFonts w:ascii="Times New Roman" w:hAnsi="Times New Roman" w:cs="Times New Roman"/>
          <w:sz w:val="28"/>
          <w:szCs w:val="28"/>
        </w:rPr>
        <w:t>Следовательно, понятие таможенных платежей объединяет различные по своей природе и назначению налоги и сборы. В связи с этим возникает необходимость их классификации (см. таблицу 1.1).</w:t>
      </w:r>
    </w:p>
    <w:p w:rsidR="00F92278" w:rsidRDefault="00F92278" w:rsidP="0070224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1EE" w:rsidRPr="00F92278" w:rsidRDefault="00BB41EE" w:rsidP="00F9227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78">
        <w:rPr>
          <w:rFonts w:ascii="Times New Roman" w:hAnsi="Times New Roman" w:cs="Times New Roman"/>
          <w:sz w:val="28"/>
          <w:szCs w:val="28"/>
        </w:rPr>
        <w:t>Таблица 1.1</w:t>
      </w:r>
      <w:r w:rsidR="00F92278">
        <w:rPr>
          <w:rFonts w:ascii="Times New Roman" w:hAnsi="Times New Roman" w:cs="Times New Roman"/>
          <w:sz w:val="28"/>
          <w:szCs w:val="28"/>
        </w:rPr>
        <w:t xml:space="preserve"> </w:t>
      </w:r>
      <w:r w:rsidRPr="00F92278">
        <w:rPr>
          <w:rFonts w:ascii="Times New Roman" w:hAnsi="Times New Roman" w:cs="Times New Roman"/>
          <w:sz w:val="28"/>
          <w:szCs w:val="28"/>
        </w:rPr>
        <w:t>Классификация таможенных платежей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042"/>
        <w:gridCol w:w="2520"/>
        <w:gridCol w:w="1980"/>
      </w:tblGrid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Критерий классификации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Таможенные пошлины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НДС и Акцизы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Таможенные сборы</w:t>
            </w:r>
          </w:p>
        </w:tc>
      </w:tr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по функциональному назначению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регулирующая, защитная и фискальная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предоставляет иностранным товарам равный налоговый режим с отечественными товарами на внутреннем рынке страны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оплаты услуг, оказываемых таможенными органами</w:t>
            </w:r>
          </w:p>
        </w:tc>
      </w:tr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по месту в системе налогов и сборов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налоговый характер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налоговый характер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неналоговый характер</w:t>
            </w:r>
          </w:p>
        </w:tc>
      </w:tr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по факту перемещения через таможенную границу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непосредственно связанные с перемещением через таможенную границу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непосредственно связанные с перемещением через таможенную границу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непосредственно не связанные с перемещением через таможенную границу</w:t>
            </w:r>
          </w:p>
        </w:tc>
      </w:tr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по способу установления и регламентации применения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определяются таможенным законодательством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определяются таможенным и налоговым законодательством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определяются таможенным</w:t>
            </w:r>
          </w:p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законодательством</w:t>
            </w:r>
          </w:p>
        </w:tc>
      </w:tr>
      <w:tr w:rsidR="00BB41EE" w:rsidRPr="00CB59AB" w:rsidTr="00CB59AB">
        <w:tc>
          <w:tcPr>
            <w:tcW w:w="1918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по виду ставок</w:t>
            </w:r>
          </w:p>
        </w:tc>
        <w:tc>
          <w:tcPr>
            <w:tcW w:w="2042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определяется в процентном отношении от определенной базы исчисления (как правило, таможенной стоимости)</w:t>
            </w:r>
          </w:p>
        </w:tc>
        <w:tc>
          <w:tcPr>
            <w:tcW w:w="252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определяется в процентном отношении от определенной базы исчисления (как правило, таможенной стоимости)</w:t>
            </w:r>
          </w:p>
        </w:tc>
        <w:tc>
          <w:tcPr>
            <w:tcW w:w="1980" w:type="dxa"/>
            <w:shd w:val="clear" w:color="auto" w:fill="auto"/>
          </w:tcPr>
          <w:p w:rsidR="00BB41EE" w:rsidRPr="00CB59AB" w:rsidRDefault="00BB41EE" w:rsidP="00CB59AB">
            <w:pPr>
              <w:spacing w:line="360" w:lineRule="auto"/>
              <w:rPr>
                <w:sz w:val="20"/>
                <w:szCs w:val="20"/>
              </w:rPr>
            </w:pPr>
            <w:r w:rsidRPr="00CB59AB">
              <w:rPr>
                <w:sz w:val="20"/>
                <w:szCs w:val="20"/>
              </w:rPr>
              <w:t>определяется в абсолютных суммах</w:t>
            </w:r>
          </w:p>
        </w:tc>
      </w:tr>
    </w:tbl>
    <w:p w:rsidR="00F92278" w:rsidRDefault="00F92278" w:rsidP="0070224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E1" w:rsidRPr="00F92278" w:rsidRDefault="00BB41EE" w:rsidP="00F9227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78">
        <w:rPr>
          <w:rFonts w:ascii="Times New Roman" w:hAnsi="Times New Roman" w:cs="Times New Roman"/>
          <w:sz w:val="28"/>
          <w:szCs w:val="28"/>
        </w:rPr>
        <w:t>Таким образом, таможенные платежи — федеральные налоги и сборы, взимаемые таможенными органами при пересечении товарами таможенной границы РФ и при оказании участникам ВЭД таможенных услуг, имеющих назначение формировать доходы федерального бюджета, регулировать ввоз и вывоз товаров через таможенную границу РФ, компенсировать затраты таможенных органов на оказание таможенных услуг.</w:t>
      </w:r>
    </w:p>
    <w:p w:rsid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4" w:name="_Toc278534809"/>
    </w:p>
    <w:p w:rsidR="002C54D4" w:rsidRP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1.3 </w:t>
      </w:r>
      <w:r w:rsidR="002C54D4" w:rsidRPr="00F92278">
        <w:rPr>
          <w:rFonts w:ascii="Times New Roman" w:hAnsi="Times New Roman" w:cs="Times New Roman"/>
          <w:i w:val="0"/>
          <w:iCs w:val="0"/>
        </w:rPr>
        <w:t>Статистика таможенных платежей</w:t>
      </w:r>
      <w:bookmarkEnd w:id="4"/>
    </w:p>
    <w:p w:rsidR="00223607" w:rsidRPr="00F92278" w:rsidRDefault="00223607" w:rsidP="0070224A">
      <w:pPr>
        <w:spacing w:line="360" w:lineRule="auto"/>
        <w:jc w:val="both"/>
        <w:rPr>
          <w:sz w:val="28"/>
          <w:szCs w:val="28"/>
        </w:rPr>
      </w:pP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Назначение статистики таможенных платежей: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контроль за перечислением таможенных платежей в федеральный бюджет;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- выявление резервов по увеличению перечисляемых платежей.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соответствии со ст. 70 ТК ТС к объектам статистики таможенных платежей относится: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1) ввозная таможенная пошлина;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2) вывозная таможенная пошлина;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3) налог на добавленную стоимость, взимаемый при ввозе товаров на таможенную территорию таможенного союза;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4) акциз (акцизы), взимаемый (взимаемые) при ввозе товаров на таможенную территорию таможенного союза;</w:t>
      </w:r>
    </w:p>
    <w:p w:rsidR="00223607" w:rsidRPr="00F92278" w:rsidRDefault="0022360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5) таможенные сборы.</w:t>
      </w:r>
      <w:r w:rsidR="00A91DED" w:rsidRPr="00F92278">
        <w:rPr>
          <w:rStyle w:val="af0"/>
          <w:sz w:val="28"/>
          <w:szCs w:val="28"/>
        </w:rPr>
        <w:footnoteReference w:id="8"/>
      </w:r>
    </w:p>
    <w:p w:rsidR="00AA6C50" w:rsidRPr="00F92278" w:rsidRDefault="00AA6C5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Таможенные платежи взимаются, если они установлены в соответствии с законодательством Российской Федерации.</w:t>
      </w:r>
    </w:p>
    <w:p w:rsidR="00AA6C50" w:rsidRPr="00F92278" w:rsidRDefault="00AA6C50" w:rsidP="00F92278">
      <w:pPr>
        <w:pStyle w:val="u"/>
        <w:spacing w:before="0" w:after="0"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 xml:space="preserve">Для того, чтобы товар, перемещаемый через таможенную границу, был выпущен в свободное обращение, участнику внешнеэкономической деятельности следует осуществить уплату таможенных платежей. </w:t>
      </w:r>
    </w:p>
    <w:p w:rsidR="00AA6C50" w:rsidRPr="00F92278" w:rsidRDefault="00AA6C50" w:rsidP="00F92278">
      <w:pPr>
        <w:pStyle w:val="u"/>
        <w:widowControl w:val="0"/>
        <w:spacing w:before="0" w:after="0"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 xml:space="preserve">Участник ВЭД (декларант, таможенный брокер) самостоятельно рассчитывает сумму, необходимую для уплаты таможенных платежей, исчисляемую в соответствии с таможенной стоимостью товаров посредством выбранного метода определения таможенной стоимости, который прописан в законе «О таможенном тарифе» и (или) их количеством. </w:t>
      </w:r>
    </w:p>
    <w:p w:rsidR="00AA6C50" w:rsidRPr="00F92278" w:rsidRDefault="00AA6C50" w:rsidP="00F92278">
      <w:pPr>
        <w:pStyle w:val="u"/>
        <w:spacing w:before="0" w:after="0" w:line="360" w:lineRule="auto"/>
        <w:rPr>
          <w:sz w:val="28"/>
          <w:szCs w:val="28"/>
        </w:rPr>
      </w:pPr>
      <w:r w:rsidRPr="00F92278">
        <w:rPr>
          <w:sz w:val="28"/>
          <w:szCs w:val="28"/>
        </w:rPr>
        <w:t>Затем данная сумма указывается в грузовой таможенной декларации (далее ГТД) в графе № 47 «Исчисление платежей», где указываются виды платежа, основа начисления, ставки и итоговая сумма по каждому платежу, которая впоследствии суммируется и подлежит уплате. Исчисление сумм подлежащих уплате таможенных пошлин, налогов производится в валюте РФ. С данной ГТД участник ВЭД обращается в таможенный орган и заявляет таможенную стоимость при декларировании товаров. Заявляемая декларантом таможенная стоимость товаров и представляемые ими сведения, относящиеся к ее определению, должны быть основаны на достоверной и документально подтвержденной информации.</w:t>
      </w:r>
    </w:p>
    <w:p w:rsidR="00AA6C50" w:rsidRPr="00F92278" w:rsidRDefault="00AA6C5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 После того, как таможенным органом определена точная сумма начисленных и подлежащих к уплате денежных средств, участник ВЭД производит их оплату в наличной или безналичной форме расчета в банке либо в любой другой кредитной организации в кассу или на счет таможенного органа, открытый для этих целей в соответствии с законодательством РФ, после чего получает платежное поручение, с которым приходит в таможенный орган.</w:t>
      </w:r>
      <w:r w:rsidR="00166F3D" w:rsidRPr="00F92278">
        <w:rPr>
          <w:rStyle w:val="af0"/>
          <w:sz w:val="28"/>
          <w:szCs w:val="28"/>
        </w:rPr>
        <w:footnoteReference w:id="9"/>
      </w:r>
      <w:r w:rsidRPr="00F92278">
        <w:rPr>
          <w:sz w:val="28"/>
          <w:szCs w:val="28"/>
        </w:rPr>
        <w:t xml:space="preserve"> </w:t>
      </w:r>
    </w:p>
    <w:p w:rsidR="00AA6C50" w:rsidRPr="00F92278" w:rsidRDefault="00AA6C50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Сбор и формирование данных специальной таможенной статистики осуществляется на основании сведений, содержащихся в </w:t>
      </w:r>
      <w:r w:rsidR="0001416E" w:rsidRPr="00F92278">
        <w:rPr>
          <w:sz w:val="28"/>
          <w:szCs w:val="28"/>
        </w:rPr>
        <w:t>ГТД, ТПО и иных платежных документах</w:t>
      </w:r>
      <w:r w:rsidR="00166F3D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Формирование данных осуществляется в соответствии с правовыми актами, устанавливающими формы, разработка которых осуществляется структурными подразделениями ФТС России в целях информирования руководства ФТС России и других федеральных органов исполнительной власти о результатах деятельности ФТС России.</w:t>
      </w:r>
    </w:p>
    <w:p w:rsidR="00AA6C50" w:rsidRPr="00F92278" w:rsidRDefault="00AA6C50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Для подготовки форм используется формуляр-образец статистической отчетности, устанавливающий определенные требования к их оформлению</w:t>
      </w:r>
      <w:r w:rsidR="00166F3D" w:rsidRPr="00F92278">
        <w:rPr>
          <w:sz w:val="28"/>
          <w:szCs w:val="28"/>
        </w:rPr>
        <w:t>.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Основные требования, предъявляемые к внешнему виду форм:</w:t>
      </w:r>
    </w:p>
    <w:p w:rsidR="00AA6C50" w:rsidRPr="00F92278" w:rsidRDefault="00AA6C50" w:rsidP="00F92278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указывать наименование формы и период, за который (или дата, на которую) представляется статистическая информация;</w:t>
      </w:r>
    </w:p>
    <w:p w:rsidR="00AA6C50" w:rsidRPr="00F92278" w:rsidRDefault="00AA6C50" w:rsidP="00F92278">
      <w:pPr>
        <w:numPr>
          <w:ilvl w:val="0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включать в свой состав:</w:t>
      </w:r>
    </w:p>
    <w:p w:rsidR="00AA6C50" w:rsidRPr="00F92278" w:rsidRDefault="00AA6C50" w:rsidP="00F92278">
      <w:pPr>
        <w:numPr>
          <w:ilvl w:val="1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номер формы,</w:t>
      </w:r>
    </w:p>
    <w:p w:rsidR="00AA6C50" w:rsidRPr="00F92278" w:rsidRDefault="00AA6C50" w:rsidP="00F92278">
      <w:pPr>
        <w:numPr>
          <w:ilvl w:val="1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реквизиты адресной части (кто, кому и в какие сроки представляет форму) и периодичности представления информации,</w:t>
      </w:r>
    </w:p>
    <w:p w:rsidR="00AA6C50" w:rsidRPr="00F92278" w:rsidRDefault="00AA6C50" w:rsidP="00F92278">
      <w:pPr>
        <w:numPr>
          <w:ilvl w:val="1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содержательную часть в виде таблицы, которая может состоять из разделов и подразделов,</w:t>
      </w:r>
    </w:p>
    <w:p w:rsidR="00AA6C50" w:rsidRPr="00F92278" w:rsidRDefault="00AA6C50" w:rsidP="00F92278">
      <w:pPr>
        <w:numPr>
          <w:ilvl w:val="1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указания по заполнению формы, где описываются особенности формирования статистических показателей и представления данных, в том числе ссылки на правовые акты, которыми установлен порядок ее заполнения,</w:t>
      </w:r>
    </w:p>
    <w:p w:rsidR="00AA6C50" w:rsidRPr="00F92278" w:rsidRDefault="00AA6C50" w:rsidP="00F92278">
      <w:pPr>
        <w:numPr>
          <w:ilvl w:val="1"/>
          <w:numId w:val="2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фамилию и инициалы должностного лица, ответственного за составление формы, номер его контактного телефона.</w:t>
      </w:r>
    </w:p>
    <w:p w:rsidR="00237332" w:rsidRPr="00F92278" w:rsidRDefault="00AA6C50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Реквизиты форм могут содержать секретную или служебную информацию ограниченного распространения, перечень которой определяется законодательством Российской Федерации.</w:t>
      </w:r>
    </w:p>
    <w:p w:rsidR="00AA6C50" w:rsidRPr="00F92278" w:rsidRDefault="00AA6C50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Таможенные органы представляют данные специальной таможенной статистики в структурные подразделения ФТС России в сроки, утвержденные правовым актом, устанавливающим формы. Указанные сведения направляются как с использованием факсимильной, почтовой связи (бумажные и магнитные носители информации), так и электронным способом с использованием информационных систем, информационных технологий, средств их обеспечения и программных технических средств защиты информации.</w:t>
      </w:r>
    </w:p>
    <w:p w:rsidR="00AA6C50" w:rsidRPr="00F92278" w:rsidRDefault="00AA6C50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Структурные подразделения ФТС России формируют сводные данные специальной таможенной статистики и представляют их руководству ФТС России, другим структурным подразделениям ФТС России, а также иным федеральным органам исполнительной власти в целях исполнения единовременных (разовых) запросов либо в порядке, установленном законодательством Российской Федерации.</w:t>
      </w:r>
      <w:r w:rsidR="00237332" w:rsidRPr="00F92278">
        <w:rPr>
          <w:rStyle w:val="af0"/>
          <w:sz w:val="28"/>
          <w:szCs w:val="28"/>
        </w:rPr>
        <w:footnoteReference w:id="10"/>
      </w:r>
    </w:p>
    <w:p w:rsidR="002C0C33" w:rsidRPr="00F92278" w:rsidRDefault="002C0C33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Рассмотрим некоторые формы отчетности статистики таможенных платежей</w:t>
      </w:r>
      <w:r w:rsidR="003E1944" w:rsidRPr="00F92278">
        <w:rPr>
          <w:sz w:val="28"/>
          <w:szCs w:val="28"/>
        </w:rPr>
        <w:t>.</w:t>
      </w:r>
    </w:p>
    <w:p w:rsidR="003E1944" w:rsidRPr="00F92278" w:rsidRDefault="00B3394C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Форма № 11 – долг «Сведения о задолженности участников ВЭД»</w:t>
      </w:r>
      <w:r w:rsidR="00F92278">
        <w:rPr>
          <w:i/>
          <w:iCs/>
          <w:sz w:val="28"/>
          <w:szCs w:val="28"/>
        </w:rPr>
        <w:t>.</w:t>
      </w:r>
    </w:p>
    <w:p w:rsidR="009F40AC" w:rsidRPr="00F92278" w:rsidRDefault="009F40AC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 xml:space="preserve"> В статистической форме отчетности №11- ДОЛГ «Задолженность участников ВЭД» (далее - форма 11 - ДОЛГ) таможенными органами ведется учет информации о задолженности по уплате таможенных пошлин, налогов, сборов и по пеням, возникшей в связи с неисполнением обязанности уплачивать такие платежи и пени по товарам, перемещаемым через таможенную границу Российской Федерации, а также о текущем состоянии такой задолженности на последнее число отчетного месяца.</w:t>
      </w:r>
    </w:p>
    <w:p w:rsidR="00B3394C" w:rsidRPr="00F92278" w:rsidRDefault="009F40AC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78">
        <w:rPr>
          <w:color w:val="000000"/>
          <w:sz w:val="28"/>
          <w:szCs w:val="28"/>
        </w:rPr>
        <w:t>Форму 11 - ДОЛГ заполняют ежемесячно, по состоянию на последнее число отчетного месяца. Таможни представляют информацию в вышестоящее региональное таможенное управление до 5 числа месяца, следующего за отчетным. Региональные таможенные управления производят обобщение представленной информации по региону и формируют региональную форму отчетности с разбивкой по таможням. Региональные таможенные управления и таможни, непосредственно подчиненные ФТС России, представляют информацию по форме в Главное управление федеральных таможенных доходов и тарифного регулирования ФТС России до 10 числа месяца, следующего за отчетным. Данные представляются в электронном (dbf-формате) и бумажном виде. Региональные таможенные управления и таможни, непосредственно подчиненные ФТС России, направляют данные в элек</w:t>
      </w:r>
      <w:r w:rsidR="003F06E8" w:rsidRPr="00F92278">
        <w:rPr>
          <w:color w:val="000000"/>
          <w:sz w:val="28"/>
          <w:szCs w:val="28"/>
        </w:rPr>
        <w:t xml:space="preserve">тронном виде в ГНИВЦ ФТС России. </w:t>
      </w:r>
    </w:p>
    <w:p w:rsidR="003F06E8" w:rsidRPr="00F92278" w:rsidRDefault="003F06E8" w:rsidP="00F9227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78">
        <w:rPr>
          <w:i/>
          <w:iCs/>
          <w:color w:val="000000"/>
          <w:sz w:val="28"/>
          <w:szCs w:val="28"/>
        </w:rPr>
        <w:t>Форма № 24 – БГ «Сведения о принятых и продленных банковских гарантиях и банковских гарантиях, по которым обязательства гарантов прекращены до истечения срока действия банковских гарантий за период с____по____200__г.»</w:t>
      </w:r>
    </w:p>
    <w:p w:rsidR="003F06E8" w:rsidRPr="00F92278" w:rsidRDefault="003F06E8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Форма № 24-БГ является ежедекадной формой статистической отчетности. В отчет включаются банковские гарантии, принятые таможенным органом</w:t>
      </w:r>
      <w:r w:rsidR="00F92278">
        <w:rPr>
          <w:color w:val="000000"/>
          <w:sz w:val="28"/>
          <w:szCs w:val="28"/>
        </w:rPr>
        <w:t xml:space="preserve"> </w:t>
      </w:r>
      <w:r w:rsidRPr="00F92278">
        <w:rPr>
          <w:color w:val="000000"/>
          <w:sz w:val="28"/>
          <w:szCs w:val="28"/>
        </w:rPr>
        <w:t xml:space="preserve">с </w:t>
      </w:r>
      <w:r w:rsidR="00E16709" w:rsidRPr="00F92278">
        <w:rPr>
          <w:color w:val="000000"/>
          <w:sz w:val="28"/>
          <w:szCs w:val="28"/>
        </w:rPr>
        <w:t>1</w:t>
      </w:r>
      <w:r w:rsidRPr="00F92278">
        <w:rPr>
          <w:color w:val="000000"/>
          <w:sz w:val="28"/>
          <w:szCs w:val="28"/>
        </w:rPr>
        <w:t xml:space="preserve"> </w:t>
      </w:r>
      <w:r w:rsidR="00E16709" w:rsidRPr="00F92278">
        <w:rPr>
          <w:color w:val="000000"/>
          <w:sz w:val="28"/>
          <w:szCs w:val="28"/>
        </w:rPr>
        <w:t>по 10 число (1 декада), с 11</w:t>
      </w:r>
      <w:r w:rsidRPr="00F92278">
        <w:rPr>
          <w:color w:val="000000"/>
          <w:sz w:val="28"/>
          <w:szCs w:val="28"/>
        </w:rPr>
        <w:t xml:space="preserve"> по 20 число {2 декада), с 21 по 31 число (3 декада) каждого месяца. Таможни не позднее 3-го, 13-го и 23-го числа каждого месяца направляют в вышестоящие региональные таможенные управл</w:t>
      </w:r>
      <w:r w:rsidR="00E16709" w:rsidRPr="00F92278">
        <w:rPr>
          <w:color w:val="000000"/>
          <w:sz w:val="28"/>
          <w:szCs w:val="28"/>
        </w:rPr>
        <w:t>ения отчеты в электронном виде и</w:t>
      </w:r>
      <w:r w:rsidRPr="00F92278">
        <w:rPr>
          <w:color w:val="000000"/>
          <w:sz w:val="28"/>
          <w:szCs w:val="28"/>
        </w:rPr>
        <w:t xml:space="preserve"> бумажном носителе по установленной форме. Региональные таможенные управления производят обобщение предоставленной информации по региону и формируют региональную форму отчетности с разбивкой по таможням.</w:t>
      </w:r>
    </w:p>
    <w:p w:rsidR="003F06E8" w:rsidRPr="00F92278" w:rsidRDefault="003F06E8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Региональные таможенные управления и таможни, непосредственно подчиненные ФТС России, не позднее 5-го, 15-го и 25-го числа каждого месяца направляют в ФТС России (Главное управление федеральных таможенных доходов и тарифного регулирования) сводные отчеты по установленной форме в электронном виде и на бумажном носителе.</w:t>
      </w:r>
    </w:p>
    <w:p w:rsidR="003F06E8" w:rsidRPr="00F92278" w:rsidRDefault="003F06E8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Электронные файлы в формате Microsoft Excel направляются в отдел учета и контроля за применением обеспечения уплаты таможенных платежей ГУФТДиТР.</w:t>
      </w:r>
      <w:r w:rsidR="00F921B7" w:rsidRPr="00F92278">
        <w:rPr>
          <w:rStyle w:val="af0"/>
          <w:color w:val="000000"/>
          <w:sz w:val="28"/>
          <w:szCs w:val="28"/>
        </w:rPr>
        <w:footnoteReference w:id="11"/>
      </w:r>
    </w:p>
    <w:p w:rsidR="00803893" w:rsidRPr="00F92278" w:rsidRDefault="00887A44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78">
        <w:rPr>
          <w:color w:val="000000"/>
          <w:sz w:val="28"/>
          <w:szCs w:val="28"/>
        </w:rPr>
        <w:t>Таким образом, п</w:t>
      </w:r>
      <w:r w:rsidR="00803893" w:rsidRPr="00F92278">
        <w:rPr>
          <w:color w:val="000000"/>
          <w:sz w:val="28"/>
          <w:szCs w:val="28"/>
        </w:rPr>
        <w:t xml:space="preserve">омимо </w:t>
      </w:r>
      <w:r w:rsidR="007C0121" w:rsidRPr="00F92278">
        <w:rPr>
          <w:color w:val="000000"/>
          <w:sz w:val="28"/>
          <w:szCs w:val="28"/>
        </w:rPr>
        <w:t>статистики внешней торговли</w:t>
      </w:r>
      <w:r w:rsidR="00803893" w:rsidRPr="00F92278">
        <w:rPr>
          <w:color w:val="000000"/>
          <w:sz w:val="28"/>
          <w:szCs w:val="28"/>
        </w:rPr>
        <w:t xml:space="preserve"> таможенная </w:t>
      </w:r>
      <w:r w:rsidRPr="00F92278">
        <w:rPr>
          <w:color w:val="000000"/>
          <w:sz w:val="28"/>
          <w:szCs w:val="28"/>
        </w:rPr>
        <w:t>служба России уста</w:t>
      </w:r>
      <w:r w:rsidR="00803893" w:rsidRPr="00F92278">
        <w:rPr>
          <w:color w:val="000000"/>
          <w:sz w:val="28"/>
          <w:szCs w:val="28"/>
        </w:rPr>
        <w:t xml:space="preserve">навливает порядок формирования и ведет </w:t>
      </w:r>
      <w:r w:rsidR="007C0121" w:rsidRPr="00F92278">
        <w:rPr>
          <w:color w:val="000000"/>
          <w:sz w:val="28"/>
          <w:szCs w:val="28"/>
        </w:rPr>
        <w:t>специальную таможенную статистику</w:t>
      </w:r>
      <w:r w:rsidR="00803893" w:rsidRPr="00F92278">
        <w:rPr>
          <w:color w:val="000000"/>
          <w:sz w:val="28"/>
          <w:szCs w:val="28"/>
        </w:rPr>
        <w:t>, данные которой используются исключительно в таможенных целях для обеспечения решения задач, возложенных на таможенные органы.</w:t>
      </w:r>
    </w:p>
    <w:p w:rsidR="00803893" w:rsidRPr="00F92278" w:rsidRDefault="00803893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Формирование достоверной исходной ст</w:t>
      </w:r>
      <w:r w:rsidR="00887A44" w:rsidRPr="00F92278">
        <w:rPr>
          <w:color w:val="000000"/>
          <w:sz w:val="28"/>
          <w:szCs w:val="28"/>
        </w:rPr>
        <w:t>атистической информации возло</w:t>
      </w:r>
      <w:r w:rsidRPr="00F92278">
        <w:rPr>
          <w:color w:val="000000"/>
          <w:sz w:val="28"/>
          <w:szCs w:val="28"/>
        </w:rPr>
        <w:t>жено на таможенные посты (таможни). Оттуда вся имеющаяся информация направляется в вышестоящие таможенные</w:t>
      </w:r>
      <w:r w:rsidR="00887A44" w:rsidRPr="00F92278">
        <w:rPr>
          <w:color w:val="000000"/>
          <w:sz w:val="28"/>
          <w:szCs w:val="28"/>
        </w:rPr>
        <w:t xml:space="preserve"> органы как в виде первичных до</w:t>
      </w:r>
      <w:r w:rsidRPr="00F92278">
        <w:rPr>
          <w:color w:val="000000"/>
          <w:sz w:val="28"/>
          <w:szCs w:val="28"/>
        </w:rPr>
        <w:t>кументов (ГТД, ТПО, ТД и пр.), так и в виде установленных форм отчетности.</w:t>
      </w:r>
    </w:p>
    <w:p w:rsidR="00803893" w:rsidRPr="00F92278" w:rsidRDefault="00803893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color w:val="000000"/>
          <w:sz w:val="28"/>
          <w:szCs w:val="28"/>
        </w:rPr>
        <w:t>Предметом специальной таможенной с</w:t>
      </w:r>
      <w:r w:rsidR="00887A44" w:rsidRPr="00F92278">
        <w:rPr>
          <w:color w:val="000000"/>
          <w:sz w:val="28"/>
          <w:szCs w:val="28"/>
        </w:rPr>
        <w:t>татистики является изучение дея</w:t>
      </w:r>
      <w:r w:rsidRPr="00F92278">
        <w:rPr>
          <w:color w:val="000000"/>
          <w:sz w:val="28"/>
          <w:szCs w:val="28"/>
        </w:rPr>
        <w:t>тельности таможенных органов, выраженной статистическими показателями. Показатели специальной таможенной статистики - это фактические данные, полученные в результате статистического или бухгалтерского учета в сфере таможенного дела.</w:t>
      </w:r>
    </w:p>
    <w:p w:rsidR="00803893" w:rsidRPr="00F92278" w:rsidRDefault="00803893" w:rsidP="00F922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278">
        <w:rPr>
          <w:color w:val="000000"/>
          <w:sz w:val="28"/>
          <w:szCs w:val="28"/>
        </w:rPr>
        <w:t>По срокам статистические формы отчетности могут быть декадными, ежемесячными, квартальными, полугодовыми, годовыми.</w:t>
      </w:r>
    </w:p>
    <w:p w:rsidR="00223607" w:rsidRDefault="00887A44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Объекты учета специальной таможенной статистики совпадают с основными направлениями деятельности таможенных органов: взимание таможенных платежей; контроль таможенной стоимости; валютный контроль</w:t>
      </w:r>
      <w:r w:rsidR="00F92278">
        <w:rPr>
          <w:sz w:val="28"/>
          <w:szCs w:val="28"/>
        </w:rPr>
        <w:t xml:space="preserve"> и др.</w:t>
      </w:r>
    </w:p>
    <w:p w:rsidR="00745DA1" w:rsidRPr="00745DA1" w:rsidRDefault="00745DA1" w:rsidP="00745DA1">
      <w:pPr>
        <w:spacing w:line="360" w:lineRule="auto"/>
        <w:jc w:val="both"/>
        <w:rPr>
          <w:color w:val="FFFFFF"/>
          <w:sz w:val="28"/>
          <w:szCs w:val="28"/>
        </w:rPr>
      </w:pPr>
      <w:r w:rsidRPr="00745DA1">
        <w:rPr>
          <w:color w:val="FFFFFF"/>
          <w:sz w:val="28"/>
          <w:szCs w:val="28"/>
        </w:rPr>
        <w:t xml:space="preserve">статистика прогноз таможня платеж 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45665949"/>
      <w:bookmarkStart w:id="6" w:name="_Toc278534810"/>
      <w:r w:rsidR="00642EEC" w:rsidRPr="00F922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EEC" w:rsidRPr="00F92278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B64BE7" w:rsidRPr="00F92278">
        <w:rPr>
          <w:rFonts w:ascii="Times New Roman" w:hAnsi="Times New Roman" w:cs="Times New Roman"/>
          <w:sz w:val="28"/>
          <w:szCs w:val="28"/>
        </w:rPr>
        <w:t xml:space="preserve">таможенных платежей на примере </w:t>
      </w:r>
      <w:bookmarkEnd w:id="5"/>
      <w:r w:rsidR="0022353F" w:rsidRPr="00F92278">
        <w:rPr>
          <w:rFonts w:ascii="Times New Roman" w:hAnsi="Times New Roman" w:cs="Times New Roman"/>
          <w:sz w:val="28"/>
          <w:szCs w:val="28"/>
        </w:rPr>
        <w:t>ДВТУ</w:t>
      </w:r>
      <w:bookmarkEnd w:id="6"/>
    </w:p>
    <w:p w:rsidR="00F92278" w:rsidRDefault="00F92278" w:rsidP="0070224A">
      <w:pPr>
        <w:pStyle w:val="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  <w:bookmarkStart w:id="7" w:name="_Toc278534811"/>
    </w:p>
    <w:p w:rsidR="00B64BE7" w:rsidRPr="00F92278" w:rsidRDefault="003026F8" w:rsidP="00F92278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F92278">
        <w:rPr>
          <w:rFonts w:ascii="Times New Roman" w:hAnsi="Times New Roman" w:cs="Times New Roman"/>
          <w:i w:val="0"/>
          <w:iCs w:val="0"/>
        </w:rPr>
        <w:t xml:space="preserve">2.1 </w:t>
      </w:r>
      <w:r w:rsidR="0022353F" w:rsidRPr="00F92278">
        <w:rPr>
          <w:rFonts w:ascii="Times New Roman" w:hAnsi="Times New Roman" w:cs="Times New Roman"/>
          <w:i w:val="0"/>
          <w:iCs w:val="0"/>
        </w:rPr>
        <w:t>Общая характеристи</w:t>
      </w:r>
      <w:r w:rsidR="00F92278">
        <w:rPr>
          <w:rFonts w:ascii="Times New Roman" w:hAnsi="Times New Roman" w:cs="Times New Roman"/>
          <w:i w:val="0"/>
          <w:iCs w:val="0"/>
        </w:rPr>
        <w:t xml:space="preserve">ка объемов таможенных платежей, </w:t>
      </w:r>
      <w:r w:rsidR="0022353F" w:rsidRPr="00F92278">
        <w:rPr>
          <w:rFonts w:ascii="Times New Roman" w:hAnsi="Times New Roman" w:cs="Times New Roman"/>
          <w:i w:val="0"/>
          <w:iCs w:val="0"/>
        </w:rPr>
        <w:t xml:space="preserve">перечисленных </w:t>
      </w:r>
      <w:r w:rsidR="00642EEC" w:rsidRPr="00F92278">
        <w:rPr>
          <w:rFonts w:ascii="Times New Roman" w:hAnsi="Times New Roman" w:cs="Times New Roman"/>
          <w:i w:val="0"/>
          <w:iCs w:val="0"/>
        </w:rPr>
        <w:t>в период 2005 – 2009 гг.</w:t>
      </w:r>
      <w:bookmarkEnd w:id="7"/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1A4BC6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Одной из составляющих доходной части федерального бюджета являются таможенные платежи. По оценкам специалистов таможенные платежи составляют более </w:t>
      </w:r>
      <w:r w:rsidR="0022353F" w:rsidRPr="00F92278">
        <w:rPr>
          <w:sz w:val="28"/>
          <w:szCs w:val="28"/>
        </w:rPr>
        <w:t>50</w:t>
      </w:r>
      <w:r w:rsidRPr="00F92278">
        <w:rPr>
          <w:sz w:val="28"/>
          <w:szCs w:val="28"/>
        </w:rPr>
        <w:t xml:space="preserve">% доходной части федерального бюджета. </w:t>
      </w:r>
      <w:r w:rsidR="00642EEC" w:rsidRPr="00F92278">
        <w:rPr>
          <w:sz w:val="28"/>
          <w:szCs w:val="28"/>
        </w:rPr>
        <w:t xml:space="preserve">Поступления таможенных платежей в федеральный бюджет </w:t>
      </w:r>
      <w:r w:rsidR="00C24004" w:rsidRPr="00F92278">
        <w:rPr>
          <w:sz w:val="28"/>
          <w:szCs w:val="28"/>
        </w:rPr>
        <w:t>в 2009 году составило 115 821,11 тыс. руб.</w:t>
      </w:r>
      <w:r w:rsidR="001A4BC6" w:rsidRPr="00F92278">
        <w:rPr>
          <w:sz w:val="28"/>
          <w:szCs w:val="28"/>
        </w:rPr>
        <w:t xml:space="preserve"> </w:t>
      </w:r>
      <w:r w:rsidR="003D62D6" w:rsidRPr="00F92278">
        <w:rPr>
          <w:sz w:val="28"/>
          <w:szCs w:val="28"/>
        </w:rPr>
        <w:t xml:space="preserve">Проанализировав сведения таблицы 2.1, видим, что в 2006 году наблюдается увеличение сумм </w:t>
      </w:r>
      <w:r w:rsidR="001A4BC6" w:rsidRPr="00F92278">
        <w:rPr>
          <w:sz w:val="28"/>
          <w:szCs w:val="28"/>
        </w:rPr>
        <w:t>таможенных платежей, перечисленных</w:t>
      </w:r>
      <w:r w:rsidR="00F92278">
        <w:rPr>
          <w:sz w:val="28"/>
          <w:szCs w:val="28"/>
        </w:rPr>
        <w:t xml:space="preserve"> </w:t>
      </w:r>
      <w:r w:rsidR="001A4BC6" w:rsidRPr="00F92278">
        <w:rPr>
          <w:sz w:val="28"/>
          <w:szCs w:val="28"/>
        </w:rPr>
        <w:t>в федеральный бюджет на 28</w:t>
      </w:r>
      <w:r w:rsidR="003D62D6" w:rsidRPr="00F92278">
        <w:rPr>
          <w:sz w:val="28"/>
          <w:szCs w:val="28"/>
        </w:rPr>
        <w:t>% по сравнению с 2005 годом. Такая же тенденция продолжается в 2007 году (+22%) и в 2008 году (+</w:t>
      </w:r>
      <w:r w:rsidR="001A4BC6" w:rsidRPr="00F92278">
        <w:rPr>
          <w:sz w:val="28"/>
          <w:szCs w:val="28"/>
        </w:rPr>
        <w:t>27</w:t>
      </w:r>
      <w:r w:rsidR="003D62D6" w:rsidRPr="00F92278">
        <w:rPr>
          <w:sz w:val="28"/>
          <w:szCs w:val="28"/>
        </w:rPr>
        <w:t xml:space="preserve">%). Однако в 2009 году отмечается резкий спад данного показателя на </w:t>
      </w:r>
      <w:r w:rsidR="001A4BC6" w:rsidRPr="00F92278">
        <w:rPr>
          <w:sz w:val="28"/>
          <w:szCs w:val="28"/>
        </w:rPr>
        <w:t>56</w:t>
      </w:r>
      <w:r w:rsidR="003D62D6" w:rsidRPr="00F92278">
        <w:rPr>
          <w:sz w:val="28"/>
          <w:szCs w:val="28"/>
        </w:rPr>
        <w:t xml:space="preserve"> %.</w:t>
      </w:r>
    </w:p>
    <w:p w:rsidR="00D012B6" w:rsidRPr="00F92278" w:rsidRDefault="003D62D6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Сведения о </w:t>
      </w:r>
      <w:r w:rsidR="004A59ED" w:rsidRPr="00F92278">
        <w:rPr>
          <w:sz w:val="28"/>
          <w:szCs w:val="28"/>
        </w:rPr>
        <w:t>таможенны</w:t>
      </w:r>
      <w:r w:rsidRPr="00F92278">
        <w:rPr>
          <w:sz w:val="28"/>
          <w:szCs w:val="28"/>
        </w:rPr>
        <w:t>х</w:t>
      </w:r>
      <w:r w:rsidR="004A59ED" w:rsidRPr="00F92278">
        <w:rPr>
          <w:sz w:val="28"/>
          <w:szCs w:val="28"/>
        </w:rPr>
        <w:t xml:space="preserve"> платеж</w:t>
      </w:r>
      <w:r w:rsidRPr="00F92278">
        <w:rPr>
          <w:sz w:val="28"/>
          <w:szCs w:val="28"/>
        </w:rPr>
        <w:t>ах</w:t>
      </w:r>
      <w:r w:rsidR="004A59ED" w:rsidRPr="00F92278">
        <w:rPr>
          <w:sz w:val="28"/>
          <w:szCs w:val="28"/>
        </w:rPr>
        <w:t>, перечисленных в федеральный бюджет</w:t>
      </w:r>
      <w:r w:rsidR="00F92278">
        <w:rPr>
          <w:sz w:val="28"/>
          <w:szCs w:val="28"/>
        </w:rPr>
        <w:t xml:space="preserve"> </w:t>
      </w:r>
      <w:r w:rsidR="001A4BC6" w:rsidRPr="00F92278">
        <w:rPr>
          <w:sz w:val="28"/>
          <w:szCs w:val="28"/>
        </w:rPr>
        <w:t xml:space="preserve">по данным ДВТУ </w:t>
      </w:r>
      <w:r w:rsidR="004A59ED" w:rsidRPr="00F92278">
        <w:rPr>
          <w:sz w:val="28"/>
          <w:szCs w:val="28"/>
        </w:rPr>
        <w:t>в 2005-2009 годах</w:t>
      </w:r>
      <w:r w:rsidR="00F92278">
        <w:rPr>
          <w:sz w:val="28"/>
          <w:szCs w:val="28"/>
        </w:rPr>
        <w:t xml:space="preserve"> </w:t>
      </w:r>
      <w:r w:rsidR="004A59ED" w:rsidRPr="00F92278">
        <w:rPr>
          <w:sz w:val="28"/>
          <w:szCs w:val="28"/>
        </w:rPr>
        <w:t>представлены</w:t>
      </w:r>
      <w:r w:rsidR="00F92278">
        <w:rPr>
          <w:sz w:val="28"/>
          <w:szCs w:val="28"/>
        </w:rPr>
        <w:t xml:space="preserve"> </w:t>
      </w:r>
      <w:r w:rsidR="00DF0BEB" w:rsidRPr="00F92278">
        <w:rPr>
          <w:sz w:val="28"/>
          <w:szCs w:val="28"/>
        </w:rPr>
        <w:t>в таблице 2.1</w:t>
      </w:r>
      <w:r w:rsidR="00D012B6" w:rsidRPr="00F92278">
        <w:rPr>
          <w:sz w:val="28"/>
          <w:szCs w:val="28"/>
        </w:rPr>
        <w:t xml:space="preserve">. 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D012B6" w:rsidRPr="00F92278" w:rsidRDefault="00D012B6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Таблица 2.1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Сведения о таможенных платежах (тыс. руб.), перечисленных в федеральный бюджет</w:t>
      </w:r>
      <w:r w:rsidR="004A59ED" w:rsidRPr="00F92278">
        <w:rPr>
          <w:sz w:val="28"/>
          <w:szCs w:val="28"/>
        </w:rPr>
        <w:t xml:space="preserve"> по данным ДВТУ в</w:t>
      </w:r>
      <w:r w:rsidRPr="00F92278">
        <w:rPr>
          <w:sz w:val="28"/>
          <w:szCs w:val="28"/>
        </w:rPr>
        <w:t xml:space="preserve"> период 2005-2009 гг.</w:t>
      </w:r>
    </w:p>
    <w:tbl>
      <w:tblPr>
        <w:tblW w:w="8100" w:type="dxa"/>
        <w:tblInd w:w="355" w:type="dxa"/>
        <w:tblLook w:val="0000" w:firstRow="0" w:lastRow="0" w:firstColumn="0" w:lastColumn="0" w:noHBand="0" w:noVBand="0"/>
      </w:tblPr>
      <w:tblGrid>
        <w:gridCol w:w="1975"/>
        <w:gridCol w:w="1085"/>
        <w:gridCol w:w="1260"/>
        <w:gridCol w:w="1260"/>
        <w:gridCol w:w="1260"/>
        <w:gridCol w:w="1260"/>
      </w:tblGrid>
      <w:tr w:rsidR="00D012B6" w:rsidRPr="00F92278">
        <w:trPr>
          <w:trHeight w:val="778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ИТОГО ДВТУ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Сведения о таможенных платежах, перечисленных в федеральный бюджет</w:t>
            </w:r>
            <w:r w:rsidR="00F92278" w:rsidRPr="00F92278">
              <w:rPr>
                <w:sz w:val="20"/>
                <w:szCs w:val="20"/>
              </w:rPr>
              <w:t xml:space="preserve"> </w:t>
            </w:r>
            <w:r w:rsidRPr="00F92278">
              <w:rPr>
                <w:sz w:val="20"/>
                <w:szCs w:val="20"/>
              </w:rPr>
              <w:t xml:space="preserve">за период 2005-2009 г.г. </w:t>
            </w:r>
          </w:p>
        </w:tc>
      </w:tr>
      <w:tr w:rsidR="00D012B6" w:rsidRPr="00F92278">
        <w:trPr>
          <w:trHeight w:val="972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F92278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12B6" w:rsidRPr="00F92278">
              <w:rPr>
                <w:sz w:val="20"/>
                <w:szCs w:val="20"/>
              </w:rPr>
              <w:t>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F92278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12B6" w:rsidRPr="00F92278">
              <w:rPr>
                <w:sz w:val="20"/>
                <w:szCs w:val="20"/>
              </w:rPr>
              <w:t>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F92278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12B6" w:rsidRPr="00F92278">
              <w:rPr>
                <w:sz w:val="20"/>
                <w:szCs w:val="20"/>
              </w:rPr>
              <w:t>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F92278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12B6" w:rsidRPr="00F92278">
              <w:rPr>
                <w:sz w:val="20"/>
                <w:szCs w:val="20"/>
              </w:rPr>
              <w:t>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F92278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12B6" w:rsidRPr="00F92278">
              <w:rPr>
                <w:sz w:val="20"/>
                <w:szCs w:val="20"/>
              </w:rPr>
              <w:t>009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Всего в бюджет (тыс. руб.)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74 473,79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102 767,50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131 226,83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180 763,15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115 821,11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 т.ч.: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 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вывозная пошлина (тыс. руб.)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24 780,31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32 291,00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35 306,73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55 558,37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47 330,29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ввозная пошлина (тыс. руб.)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20 876,42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26 695,99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34 322,08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44 337,22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25 278,61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НДС (тыс. руб.)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24 467,66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32 322,25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44 923,97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60 674,64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35 623,42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 xml:space="preserve">Акциз при ввозе(тыс. руб.)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1 071,63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1 080,19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1 721,38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2 568,45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256,86</w:t>
            </w:r>
          </w:p>
        </w:tc>
      </w:tr>
      <w:tr w:rsidR="00D012B6" w:rsidRPr="00F92278">
        <w:trPr>
          <w:trHeight w:val="27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Таможенные сборы (тыс. руб.)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3 277,78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1 139,06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1 329,97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1 425,49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2B6" w:rsidRPr="00F92278" w:rsidRDefault="00D012B6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1 011,65</w:t>
            </w:r>
          </w:p>
        </w:tc>
      </w:tr>
    </w:tbl>
    <w:p w:rsidR="001A4BC6" w:rsidRPr="00F92278" w:rsidRDefault="001A4BC6" w:rsidP="0070224A">
      <w:pPr>
        <w:spacing w:line="360" w:lineRule="auto"/>
        <w:jc w:val="both"/>
        <w:rPr>
          <w:sz w:val="28"/>
          <w:szCs w:val="28"/>
        </w:rPr>
      </w:pPr>
    </w:p>
    <w:p w:rsidR="00D012B6" w:rsidRPr="00F92278" w:rsidRDefault="00D012B6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таблице 2.1 представлена </w:t>
      </w:r>
      <w:r w:rsidR="001A4BC6" w:rsidRPr="00F92278">
        <w:rPr>
          <w:sz w:val="28"/>
          <w:szCs w:val="28"/>
        </w:rPr>
        <w:t>сведения</w:t>
      </w:r>
      <w:r w:rsidR="004A59ED" w:rsidRPr="00F92278">
        <w:rPr>
          <w:sz w:val="28"/>
          <w:szCs w:val="28"/>
        </w:rPr>
        <w:t xml:space="preserve"> таможенны</w:t>
      </w:r>
      <w:r w:rsidR="001A4BC6" w:rsidRPr="00F92278">
        <w:rPr>
          <w:sz w:val="28"/>
          <w:szCs w:val="28"/>
        </w:rPr>
        <w:t>х</w:t>
      </w:r>
      <w:r w:rsidR="004A59ED" w:rsidRPr="00F92278">
        <w:rPr>
          <w:sz w:val="28"/>
          <w:szCs w:val="28"/>
        </w:rPr>
        <w:t xml:space="preserve"> платежа</w:t>
      </w:r>
      <w:r w:rsidR="001A4BC6" w:rsidRPr="00F92278">
        <w:rPr>
          <w:sz w:val="28"/>
          <w:szCs w:val="28"/>
        </w:rPr>
        <w:t>х</w:t>
      </w:r>
      <w:r w:rsidRPr="00F92278">
        <w:rPr>
          <w:sz w:val="28"/>
          <w:szCs w:val="28"/>
        </w:rPr>
        <w:t>, переч</w:t>
      </w:r>
      <w:r w:rsidR="004A59ED" w:rsidRPr="00F92278">
        <w:rPr>
          <w:sz w:val="28"/>
          <w:szCs w:val="28"/>
        </w:rPr>
        <w:t>исленных в федеральный бюджет в</w:t>
      </w:r>
      <w:r w:rsidRPr="00F92278">
        <w:rPr>
          <w:sz w:val="28"/>
          <w:szCs w:val="28"/>
        </w:rPr>
        <w:t xml:space="preserve"> 2005-2009 года</w:t>
      </w:r>
      <w:r w:rsidR="004A59ED" w:rsidRPr="00F92278">
        <w:rPr>
          <w:sz w:val="28"/>
          <w:szCs w:val="28"/>
        </w:rPr>
        <w:t>х</w:t>
      </w:r>
      <w:r w:rsidRPr="00F92278">
        <w:rPr>
          <w:sz w:val="28"/>
          <w:szCs w:val="28"/>
        </w:rPr>
        <w:t xml:space="preserve">. </w:t>
      </w:r>
    </w:p>
    <w:p w:rsidR="00D012B6" w:rsidRDefault="00D012B6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На рис.2.1. приведена динамика уплаты таможенных платежей по видам. Наглядно можно увидеть, что с 2005 года по 2008 год наблюдается увеличение поступления платежей в федеральны</w:t>
      </w:r>
      <w:r w:rsidR="004A59ED" w:rsidRPr="00F92278">
        <w:rPr>
          <w:sz w:val="28"/>
          <w:szCs w:val="28"/>
        </w:rPr>
        <w:t>й бюджет на 23 460,80 тыс. руб.</w:t>
      </w:r>
      <w:r w:rsidRPr="00F92278">
        <w:rPr>
          <w:sz w:val="28"/>
          <w:szCs w:val="28"/>
        </w:rPr>
        <w:t xml:space="preserve"> В 2009 году происходит резкий спад уплаты </w:t>
      </w:r>
      <w:r w:rsidR="004A59ED" w:rsidRPr="00F92278">
        <w:rPr>
          <w:sz w:val="28"/>
          <w:szCs w:val="28"/>
        </w:rPr>
        <w:t>таможенных платежей</w:t>
      </w:r>
      <w:r w:rsidRPr="00F92278">
        <w:rPr>
          <w:sz w:val="28"/>
          <w:szCs w:val="28"/>
        </w:rPr>
        <w:t xml:space="preserve">. 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F92278" w:rsidRDefault="004C14D7" w:rsidP="00F922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42.25pt">
            <v:imagedata r:id="rId7" o:title=""/>
          </v:shape>
        </w:pict>
      </w:r>
    </w:p>
    <w:p w:rsidR="00D012B6" w:rsidRPr="00F92278" w:rsidRDefault="00D012B6" w:rsidP="00F92278">
      <w:pPr>
        <w:spacing w:line="360" w:lineRule="auto"/>
        <w:ind w:firstLine="720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Рис.2.1. Динамика </w:t>
      </w:r>
      <w:r w:rsidR="004A59ED" w:rsidRPr="00F92278">
        <w:rPr>
          <w:sz w:val="28"/>
          <w:szCs w:val="28"/>
        </w:rPr>
        <w:t>перечисления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платежей в федеральный бюджет </w:t>
      </w:r>
      <w:r w:rsidR="00F92278">
        <w:rPr>
          <w:sz w:val="28"/>
          <w:szCs w:val="28"/>
        </w:rPr>
        <w:t xml:space="preserve">по </w:t>
      </w:r>
      <w:r w:rsidR="004A59ED" w:rsidRPr="00F92278">
        <w:rPr>
          <w:sz w:val="28"/>
          <w:szCs w:val="28"/>
        </w:rPr>
        <w:t>данным ДВТУ за</w:t>
      </w:r>
      <w:r w:rsidRPr="00F92278">
        <w:rPr>
          <w:sz w:val="28"/>
          <w:szCs w:val="28"/>
        </w:rPr>
        <w:t xml:space="preserve"> 2005-2009 г.г.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DF0BEB" w:rsidRPr="00F92278" w:rsidRDefault="00DF0BEB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Можно сделать вывод, что перечисление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таможенных платежей в федеральный бюджет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резко снизилось из-за сложившейся ситуации в Дальневосточном федеральном округе в 2009 году. Адвалорная ставка импортных пошлин на новые автомобили была повышена с 25 до 30 процентов от таможенной стоимости. Специфическая составляющая пошлины в евро за 1 куб. см. увеличена в зависимости от объема двигателя. </w:t>
      </w:r>
    </w:p>
    <w:p w:rsidR="00DF0BEB" w:rsidRPr="00F92278" w:rsidRDefault="00DF0BEB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При этом подержанные автомобили, эксплуатирующиеся не более 5 лет, облагаются также по повышенным ставкам: вместо прежних 25 процентов - 30-35 процентов от таможенной стоимости при одновременном росте специфической ставки пошлины. Больше всего это оказало влияние на Приморский край. Из-за этого во Владивостокской таможне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оформлялось меньше автотранспортных средств, что значительно снизило суммы уплаты таможенных платежей. </w:t>
      </w:r>
    </w:p>
    <w:p w:rsidR="00F92278" w:rsidRDefault="00F92278" w:rsidP="00F92278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8" w:name="_Toc278534812"/>
    </w:p>
    <w:p w:rsidR="003B0FC9" w:rsidRPr="00F92278" w:rsidRDefault="003B0FC9" w:rsidP="00F92278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F92278">
        <w:rPr>
          <w:rFonts w:ascii="Times New Roman" w:hAnsi="Times New Roman" w:cs="Times New Roman"/>
          <w:i w:val="0"/>
          <w:iCs w:val="0"/>
        </w:rPr>
        <w:t>2.2 Статистический анализ т</w:t>
      </w:r>
      <w:r w:rsidR="0030615C" w:rsidRPr="00F92278">
        <w:rPr>
          <w:rFonts w:ascii="Times New Roman" w:hAnsi="Times New Roman" w:cs="Times New Roman"/>
          <w:i w:val="0"/>
          <w:iCs w:val="0"/>
        </w:rPr>
        <w:t>аможенных платежей в период 2005</w:t>
      </w:r>
      <w:r w:rsidRPr="00F92278">
        <w:rPr>
          <w:rFonts w:ascii="Times New Roman" w:hAnsi="Times New Roman" w:cs="Times New Roman"/>
          <w:i w:val="0"/>
          <w:iCs w:val="0"/>
        </w:rPr>
        <w:t xml:space="preserve"> – 200</w:t>
      </w:r>
      <w:r w:rsidR="00915386" w:rsidRPr="00F92278">
        <w:rPr>
          <w:rFonts w:ascii="Times New Roman" w:hAnsi="Times New Roman" w:cs="Times New Roman"/>
          <w:i w:val="0"/>
          <w:iCs w:val="0"/>
        </w:rPr>
        <w:t>9</w:t>
      </w:r>
      <w:r w:rsidRPr="00F92278">
        <w:rPr>
          <w:rFonts w:ascii="Times New Roman" w:hAnsi="Times New Roman" w:cs="Times New Roman"/>
          <w:i w:val="0"/>
          <w:iCs w:val="0"/>
        </w:rPr>
        <w:t xml:space="preserve"> гг.</w:t>
      </w:r>
      <w:bookmarkEnd w:id="8"/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Таможенные платежи определяются как сумма ввозной и вывозной таможенной пошлины, НДС, акциза, сборов за таможенное оформление и прочих поступлений. Динамику таможенных платежей </w:t>
      </w:r>
      <w:r w:rsidR="008F49F4" w:rsidRPr="00F92278">
        <w:rPr>
          <w:sz w:val="28"/>
          <w:szCs w:val="28"/>
        </w:rPr>
        <w:t>ДВТУ</w:t>
      </w:r>
      <w:r w:rsidRPr="00F92278">
        <w:rPr>
          <w:sz w:val="28"/>
          <w:szCs w:val="28"/>
        </w:rPr>
        <w:t xml:space="preserve"> по их видам по кварталам </w:t>
      </w:r>
      <w:r w:rsidR="00915386" w:rsidRPr="00F92278">
        <w:rPr>
          <w:sz w:val="28"/>
          <w:szCs w:val="28"/>
        </w:rPr>
        <w:t>за 2005-2009</w:t>
      </w:r>
      <w:r w:rsidR="008F49F4" w:rsidRPr="00F92278">
        <w:rPr>
          <w:sz w:val="28"/>
          <w:szCs w:val="28"/>
        </w:rPr>
        <w:t xml:space="preserve"> гг. </w:t>
      </w:r>
      <w:r w:rsidRPr="00F92278">
        <w:rPr>
          <w:sz w:val="28"/>
          <w:szCs w:val="28"/>
        </w:rPr>
        <w:t xml:space="preserve">можно наблюдать в таблице </w:t>
      </w:r>
      <w:r w:rsidR="00DF0BEB" w:rsidRPr="00F92278">
        <w:rPr>
          <w:sz w:val="28"/>
          <w:szCs w:val="28"/>
        </w:rPr>
        <w:t>2.2</w:t>
      </w:r>
      <w:r w:rsidR="0030615C" w:rsidRPr="00F92278">
        <w:rPr>
          <w:sz w:val="28"/>
          <w:szCs w:val="28"/>
        </w:rPr>
        <w:t>.</w:t>
      </w:r>
      <w:r w:rsidR="00F92278">
        <w:rPr>
          <w:sz w:val="28"/>
          <w:szCs w:val="28"/>
        </w:rPr>
        <w:t xml:space="preserve"> 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30615C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Таблица </w:t>
      </w:r>
      <w:r w:rsidR="00DF0BEB" w:rsidRPr="00F92278">
        <w:rPr>
          <w:sz w:val="28"/>
          <w:szCs w:val="28"/>
        </w:rPr>
        <w:t>2.2</w:t>
      </w:r>
      <w:r w:rsidR="00F92278">
        <w:rPr>
          <w:sz w:val="28"/>
          <w:szCs w:val="28"/>
        </w:rPr>
        <w:t xml:space="preserve"> </w:t>
      </w:r>
      <w:r w:rsidR="007D71A9" w:rsidRPr="00F92278">
        <w:rPr>
          <w:sz w:val="28"/>
          <w:szCs w:val="28"/>
        </w:rPr>
        <w:t>Перечисление</w:t>
      </w:r>
      <w:r w:rsidR="00B64BE7" w:rsidRPr="00F92278">
        <w:rPr>
          <w:sz w:val="28"/>
          <w:szCs w:val="28"/>
        </w:rPr>
        <w:t xml:space="preserve"> платежей </w:t>
      </w:r>
      <w:r w:rsidR="00AB5624" w:rsidRPr="00F92278">
        <w:rPr>
          <w:sz w:val="28"/>
          <w:szCs w:val="28"/>
        </w:rPr>
        <w:t xml:space="preserve">таможнями </w:t>
      </w:r>
      <w:r w:rsidR="00DF4657" w:rsidRPr="00F92278">
        <w:rPr>
          <w:sz w:val="28"/>
          <w:szCs w:val="28"/>
        </w:rPr>
        <w:t>ДВТУ</w:t>
      </w:r>
      <w:r w:rsidR="00B64BE7" w:rsidRPr="00F92278">
        <w:rPr>
          <w:sz w:val="28"/>
          <w:szCs w:val="28"/>
        </w:rPr>
        <w:t xml:space="preserve"> </w:t>
      </w:r>
      <w:r w:rsidR="007D71A9" w:rsidRPr="00F92278">
        <w:rPr>
          <w:sz w:val="28"/>
          <w:szCs w:val="28"/>
        </w:rPr>
        <w:t>в</w:t>
      </w:r>
      <w:r w:rsidR="00DF4657" w:rsidRPr="00F92278">
        <w:rPr>
          <w:sz w:val="28"/>
          <w:szCs w:val="28"/>
        </w:rPr>
        <w:t xml:space="preserve"> </w:t>
      </w:r>
      <w:r w:rsidR="00CA18FF" w:rsidRPr="00F92278">
        <w:rPr>
          <w:sz w:val="28"/>
          <w:szCs w:val="28"/>
        </w:rPr>
        <w:br/>
      </w:r>
      <w:r w:rsidR="007D71A9" w:rsidRPr="00F92278">
        <w:rPr>
          <w:sz w:val="28"/>
          <w:szCs w:val="28"/>
        </w:rPr>
        <w:t>2005-2009</w:t>
      </w:r>
      <w:r w:rsidR="001C6BB3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гг. по видам платежей, млн. руб.</w:t>
      </w:r>
    </w:p>
    <w:tbl>
      <w:tblPr>
        <w:tblW w:w="882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1080"/>
        <w:gridCol w:w="900"/>
        <w:gridCol w:w="1980"/>
        <w:gridCol w:w="1260"/>
      </w:tblGrid>
      <w:tr w:rsidR="00EA0977" w:rsidRPr="00F92278">
        <w:trPr>
          <w:trHeight w:val="6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Период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Вывозная пошлина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Ввозная пошлина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НДС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Акциз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Таможенные сборы и иные платежи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Итого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3777,91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3810,34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4384,07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174,38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524,87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12671,57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2005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5393,63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4782,46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5598,09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281,09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762,12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16817,39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2005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5879,69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5958,52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7028,03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308,01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953,68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20127,93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2005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9729,08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6325,1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7457,47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308,15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1037,11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24856,91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За 2005 год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24780,31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20876,42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24467,66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1071,63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3277,78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74473,79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7182,1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5584,91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6864,59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239,2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1280,91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21151,71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2006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8918,55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6194,31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7382,65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251,38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2190,58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24937,47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2006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8569,66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7858,1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8971,08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302,85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2835,94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28537,63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2006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7623,6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7057,43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9102,95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286,6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4069,66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28140,24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За 2006 год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32293,91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26694,75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32321,27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1080,03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10377,09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102767,05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6181,11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5541,62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7423,81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311,91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2263,419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21721,87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2007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6917,82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8095,38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10300,5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475,88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3380,76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29170,34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2007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9830,76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10496,29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13946,31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462,16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3874,02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38609,54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2007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12377,06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10188,78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13253,35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471,42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5434,47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41725,08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За 2007 год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35306,751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34322,07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44923,97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1721,37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14952,669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131226,83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10431,79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9033,07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11978,23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517,88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3574,33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35535,3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2008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14211,65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11025,51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15152,81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724,88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4588,19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45703,04</w:t>
            </w:r>
          </w:p>
        </w:tc>
      </w:tr>
      <w:tr w:rsidR="00EA0977" w:rsidRPr="00F92278">
        <w:trPr>
          <w:trHeight w:val="326"/>
        </w:trPr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2008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18660,42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12109,87</w:t>
            </w:r>
          </w:p>
        </w:tc>
        <w:tc>
          <w:tcPr>
            <w:tcW w:w="10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16472,62</w:t>
            </w:r>
          </w:p>
        </w:tc>
        <w:tc>
          <w:tcPr>
            <w:tcW w:w="90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746,28</w:t>
            </w:r>
          </w:p>
        </w:tc>
        <w:tc>
          <w:tcPr>
            <w:tcW w:w="1980" w:type="dxa"/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4201,42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52190,61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2008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12254,49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12168,75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17070,94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579,42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5260,63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47334,23</w:t>
            </w:r>
          </w:p>
        </w:tc>
      </w:tr>
      <w:tr w:rsidR="00EA0977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За 2008 год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55558,35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44337,2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60674,6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2568,46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17624,57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0977" w:rsidRPr="00F92278" w:rsidRDefault="00EA0977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180763,18</w:t>
            </w:r>
          </w:p>
        </w:tc>
      </w:tr>
      <w:tr w:rsidR="00055B42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055B4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1097A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7860,23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3110,21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5456,08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7D29DC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30,08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130,36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1D508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23382,80</w:t>
            </w:r>
          </w:p>
        </w:tc>
      </w:tr>
      <w:tr w:rsidR="00055B42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055B4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1097A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9634,56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5345,89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7237,56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7D29DC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33,56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210,85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1D508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26126,71</w:t>
            </w:r>
          </w:p>
        </w:tc>
      </w:tr>
      <w:tr w:rsidR="00055B42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055B4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1097A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15673,16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9341,04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13810,78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7D29DC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116,01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377,80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1D508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34491,72</w:t>
            </w:r>
          </w:p>
        </w:tc>
      </w:tr>
      <w:tr w:rsidR="00055B42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055B4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1097A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14162,34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7481,47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00DC3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9119,00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7D29DC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77,21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55B42" w:rsidRPr="00F92278" w:rsidRDefault="00F57E2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292,64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5B42" w:rsidRPr="00F92278" w:rsidRDefault="001D508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31819,88</w:t>
            </w:r>
          </w:p>
        </w:tc>
      </w:tr>
      <w:tr w:rsidR="0088162D" w:rsidRPr="00F92278">
        <w:trPr>
          <w:trHeight w:val="34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За 2009 год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47330,29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25278,61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35623,42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256,86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1011,65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8162D" w:rsidRPr="00F92278" w:rsidRDefault="0088162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115 821,11</w:t>
            </w:r>
          </w:p>
        </w:tc>
      </w:tr>
    </w:tbl>
    <w:p w:rsidR="007D29DC" w:rsidRPr="00F92278" w:rsidRDefault="007D29DC" w:rsidP="0070224A">
      <w:pPr>
        <w:spacing w:line="360" w:lineRule="auto"/>
        <w:jc w:val="both"/>
        <w:rPr>
          <w:sz w:val="28"/>
          <w:szCs w:val="28"/>
        </w:rPr>
      </w:pPr>
    </w:p>
    <w:p w:rsidR="00DF465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Несомненно, </w:t>
      </w:r>
      <w:r w:rsidR="00F1097A" w:rsidRPr="00F92278">
        <w:rPr>
          <w:sz w:val="28"/>
          <w:szCs w:val="28"/>
        </w:rPr>
        <w:t xml:space="preserve">в 2009 г. </w:t>
      </w:r>
      <w:r w:rsidRPr="00F92278">
        <w:rPr>
          <w:sz w:val="28"/>
          <w:szCs w:val="28"/>
        </w:rPr>
        <w:t xml:space="preserve">наибольший удельный вес в структуре таможенных платежей </w:t>
      </w:r>
      <w:r w:rsidR="00DF4657" w:rsidRPr="00F92278">
        <w:rPr>
          <w:sz w:val="28"/>
          <w:szCs w:val="28"/>
        </w:rPr>
        <w:t>ДВТУ</w:t>
      </w:r>
      <w:r w:rsidRPr="00F92278">
        <w:rPr>
          <w:sz w:val="28"/>
          <w:szCs w:val="28"/>
        </w:rPr>
        <w:t xml:space="preserve"> </w:t>
      </w:r>
      <w:r w:rsidR="00EA0977" w:rsidRPr="00F92278">
        <w:rPr>
          <w:sz w:val="28"/>
          <w:szCs w:val="28"/>
        </w:rPr>
        <w:t xml:space="preserve">занимает таможенная пошлина – </w:t>
      </w:r>
      <w:r w:rsidR="00AC158E" w:rsidRPr="00F92278">
        <w:rPr>
          <w:sz w:val="28"/>
          <w:szCs w:val="28"/>
        </w:rPr>
        <w:t>66</w:t>
      </w:r>
      <w:r w:rsidRPr="00F92278">
        <w:rPr>
          <w:sz w:val="28"/>
          <w:szCs w:val="28"/>
        </w:rPr>
        <w:t>%, которая подразделяется н</w:t>
      </w:r>
      <w:r w:rsidR="00EA0977" w:rsidRPr="00F92278">
        <w:rPr>
          <w:sz w:val="28"/>
          <w:szCs w:val="28"/>
        </w:rPr>
        <w:t xml:space="preserve">а ввозные пошлины – </w:t>
      </w:r>
      <w:r w:rsidR="00AC158E" w:rsidRPr="00F92278">
        <w:rPr>
          <w:sz w:val="28"/>
          <w:szCs w:val="28"/>
        </w:rPr>
        <w:t>23</w:t>
      </w:r>
      <w:r w:rsidR="00EA0977" w:rsidRPr="00F92278">
        <w:rPr>
          <w:sz w:val="28"/>
          <w:szCs w:val="28"/>
        </w:rPr>
        <w:t xml:space="preserve">% и </w:t>
      </w:r>
      <w:r w:rsidR="00E46640" w:rsidRPr="00F92278">
        <w:rPr>
          <w:sz w:val="28"/>
          <w:szCs w:val="28"/>
        </w:rPr>
        <w:t>вывозные</w:t>
      </w:r>
      <w:r w:rsidR="00EA0977" w:rsidRPr="00F92278">
        <w:rPr>
          <w:sz w:val="28"/>
          <w:szCs w:val="28"/>
        </w:rPr>
        <w:t xml:space="preserve"> – </w:t>
      </w:r>
      <w:r w:rsidR="00AC158E" w:rsidRPr="00F92278">
        <w:rPr>
          <w:sz w:val="28"/>
          <w:szCs w:val="28"/>
        </w:rPr>
        <w:t>43</w:t>
      </w:r>
      <w:r w:rsidRPr="00F92278">
        <w:rPr>
          <w:sz w:val="28"/>
          <w:szCs w:val="28"/>
        </w:rPr>
        <w:t>%. Практически все товары, ввозимые в Российскую Федерацию</w:t>
      </w:r>
      <w:r w:rsidR="00DF4657" w:rsidRPr="00F92278">
        <w:rPr>
          <w:sz w:val="28"/>
          <w:szCs w:val="28"/>
        </w:rPr>
        <w:t>,</w:t>
      </w:r>
      <w:r w:rsidRPr="00F92278">
        <w:rPr>
          <w:sz w:val="28"/>
          <w:szCs w:val="28"/>
        </w:rPr>
        <w:t xml:space="preserve"> облагаются НДС, вследс</w:t>
      </w:r>
      <w:r w:rsidR="00EA0977" w:rsidRPr="00F92278">
        <w:rPr>
          <w:sz w:val="28"/>
          <w:szCs w:val="28"/>
        </w:rPr>
        <w:t>твие</w:t>
      </w:r>
      <w:r w:rsidR="00AC158E" w:rsidRPr="00F92278">
        <w:rPr>
          <w:sz w:val="28"/>
          <w:szCs w:val="28"/>
        </w:rPr>
        <w:t xml:space="preserve"> чего его доля составляет 33%. 1</w:t>
      </w:r>
      <w:r w:rsidRPr="00F92278">
        <w:rPr>
          <w:sz w:val="28"/>
          <w:szCs w:val="28"/>
        </w:rPr>
        <w:t>% структуры берут на с</w:t>
      </w:r>
      <w:r w:rsidR="00DF205E" w:rsidRPr="00F92278">
        <w:rPr>
          <w:sz w:val="28"/>
          <w:szCs w:val="28"/>
        </w:rPr>
        <w:t xml:space="preserve">ебя таможенные сборы и иные платежи </w:t>
      </w:r>
      <w:r w:rsidRPr="00F92278">
        <w:rPr>
          <w:sz w:val="28"/>
          <w:szCs w:val="28"/>
        </w:rPr>
        <w:t xml:space="preserve">и всего </w:t>
      </w:r>
      <w:r w:rsidR="00AC158E" w:rsidRPr="00F92278">
        <w:rPr>
          <w:sz w:val="28"/>
          <w:szCs w:val="28"/>
        </w:rPr>
        <w:t>0</w:t>
      </w:r>
      <w:r w:rsidR="00DF205E" w:rsidRPr="00F92278">
        <w:rPr>
          <w:sz w:val="28"/>
          <w:szCs w:val="28"/>
        </w:rPr>
        <w:t xml:space="preserve">% – акциз </w:t>
      </w:r>
      <w:r w:rsidR="00050A2C" w:rsidRPr="00F92278">
        <w:rPr>
          <w:sz w:val="28"/>
          <w:szCs w:val="28"/>
        </w:rPr>
        <w:t>(рис.</w:t>
      </w:r>
      <w:r w:rsidR="00DF205E" w:rsidRPr="00F92278">
        <w:rPr>
          <w:sz w:val="28"/>
          <w:szCs w:val="28"/>
        </w:rPr>
        <w:t xml:space="preserve"> </w:t>
      </w:r>
      <w:r w:rsidR="00DF0BEB" w:rsidRPr="00F92278">
        <w:rPr>
          <w:sz w:val="28"/>
          <w:szCs w:val="28"/>
        </w:rPr>
        <w:t>2.2</w:t>
      </w:r>
      <w:r w:rsidRPr="00F92278">
        <w:rPr>
          <w:sz w:val="28"/>
          <w:szCs w:val="28"/>
        </w:rPr>
        <w:t>).</w:t>
      </w:r>
    </w:p>
    <w:p w:rsidR="00AE581D" w:rsidRPr="00F92278" w:rsidRDefault="00AE581D" w:rsidP="0070224A">
      <w:pPr>
        <w:spacing w:line="360" w:lineRule="auto"/>
        <w:jc w:val="both"/>
        <w:rPr>
          <w:sz w:val="28"/>
          <w:szCs w:val="28"/>
        </w:rPr>
      </w:pPr>
    </w:p>
    <w:p w:rsidR="00532721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7.75pt;height:258pt" o:bordertopcolor="this" o:borderleftcolor="this" o:borderbottomcolor="this" o:borderrightcolor="this">
            <v:imagedata r:id="rId8" o:title=""/>
          </v:shape>
        </w:pic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Рис.</w:t>
      </w:r>
      <w:r w:rsidR="00E46640" w:rsidRPr="00F92278">
        <w:rPr>
          <w:sz w:val="28"/>
          <w:szCs w:val="28"/>
        </w:rPr>
        <w:t>2.</w:t>
      </w:r>
      <w:r w:rsidR="00DF0BEB" w:rsidRPr="00F92278">
        <w:rPr>
          <w:sz w:val="28"/>
          <w:szCs w:val="28"/>
        </w:rPr>
        <w:t>2</w:t>
      </w:r>
      <w:r w:rsidR="00DF4657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Структура таможенных платежей </w:t>
      </w:r>
      <w:r w:rsidR="00DF4657" w:rsidRPr="00F92278">
        <w:rPr>
          <w:sz w:val="28"/>
          <w:szCs w:val="28"/>
        </w:rPr>
        <w:t>ДВТУ</w:t>
      </w:r>
      <w:r w:rsidR="00AC158E" w:rsidRPr="00F92278">
        <w:rPr>
          <w:sz w:val="28"/>
          <w:szCs w:val="28"/>
        </w:rPr>
        <w:t xml:space="preserve"> в 2009</w:t>
      </w:r>
      <w:r w:rsidRPr="00F92278">
        <w:rPr>
          <w:sz w:val="28"/>
          <w:szCs w:val="28"/>
        </w:rPr>
        <w:t>г.</w:t>
      </w:r>
    </w:p>
    <w:p w:rsidR="00B64BE7" w:rsidRPr="00F92278" w:rsidRDefault="00F92278" w:rsidP="00F92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BE7" w:rsidRPr="00F92278">
        <w:rPr>
          <w:sz w:val="28"/>
          <w:szCs w:val="28"/>
        </w:rPr>
        <w:t xml:space="preserve">Исследуем таможенные платежи на </w:t>
      </w:r>
      <w:r w:rsidR="00197DC9" w:rsidRPr="00F92278">
        <w:rPr>
          <w:sz w:val="28"/>
          <w:szCs w:val="28"/>
        </w:rPr>
        <w:t>коэффициенты</w:t>
      </w:r>
      <w:r w:rsidR="00B64BE7" w:rsidRPr="00F92278">
        <w:rPr>
          <w:sz w:val="28"/>
          <w:szCs w:val="28"/>
        </w:rPr>
        <w:t xml:space="preserve"> роста, которые характеризуют интенсивность динамики пополнения Федерального бюджета РФ относительно предыдущего периода.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E46640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Таблица </w:t>
      </w:r>
      <w:r w:rsidR="00DF0BEB" w:rsidRPr="00F92278">
        <w:rPr>
          <w:sz w:val="28"/>
          <w:szCs w:val="28"/>
        </w:rPr>
        <w:t>2.3</w:t>
      </w:r>
      <w:r w:rsidR="00F92278">
        <w:rPr>
          <w:sz w:val="28"/>
          <w:szCs w:val="28"/>
        </w:rPr>
        <w:t xml:space="preserve"> </w:t>
      </w:r>
      <w:r w:rsidR="00197DC9" w:rsidRPr="00F92278">
        <w:rPr>
          <w:sz w:val="28"/>
          <w:szCs w:val="28"/>
        </w:rPr>
        <w:t>Коэффициенты</w:t>
      </w:r>
      <w:r w:rsidR="00B64BE7" w:rsidRPr="00F92278">
        <w:rPr>
          <w:sz w:val="28"/>
          <w:szCs w:val="28"/>
        </w:rPr>
        <w:t xml:space="preserve"> роста таможенных платежей </w:t>
      </w:r>
      <w:r w:rsidR="00DF4657" w:rsidRPr="00F92278">
        <w:rPr>
          <w:sz w:val="28"/>
          <w:szCs w:val="28"/>
        </w:rPr>
        <w:t>ДВТУ за</w:t>
      </w:r>
      <w:r w:rsidR="00AE581D" w:rsidRPr="00F92278">
        <w:rPr>
          <w:sz w:val="28"/>
          <w:szCs w:val="28"/>
        </w:rPr>
        <w:t xml:space="preserve"> 2005-2009</w:t>
      </w:r>
      <w:r w:rsidR="00DF205E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гг. по видам платежей </w:t>
      </w:r>
    </w:p>
    <w:tbl>
      <w:tblPr>
        <w:tblW w:w="8695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359"/>
        <w:gridCol w:w="1936"/>
        <w:gridCol w:w="900"/>
        <w:gridCol w:w="900"/>
        <w:gridCol w:w="2340"/>
      </w:tblGrid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Период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Вывозная пошлина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Ввозная пошлина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НДС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Акциз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Таможенные сборы и иные платежи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2005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1,45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1,25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1,65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1,09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2006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0,74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0,78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1,24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1,71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1,29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1,44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2007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0,81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0,79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0,56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1,49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1,15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1,40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2008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0,84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0,66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1,28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0,92</w:t>
            </w:r>
          </w:p>
        </w:tc>
      </w:tr>
      <w:tr w:rsidR="0046661D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0,66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1D" w:rsidRPr="00F92278" w:rsidRDefault="0046661D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1,25</w:t>
            </w:r>
          </w:p>
        </w:tc>
      </w:tr>
      <w:tr w:rsidR="00AE581D" w:rsidRPr="00F92278">
        <w:trPr>
          <w:trHeight w:val="116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81D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 кв. 2009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1D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0,64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1D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0,26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1D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1D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81D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0,02</w:t>
            </w:r>
          </w:p>
        </w:tc>
      </w:tr>
      <w:tr w:rsidR="00A96B69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69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 кв. 2009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B69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1,62</w:t>
            </w:r>
          </w:p>
        </w:tc>
      </w:tr>
      <w:tr w:rsidR="00A96B69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B69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 кв. 2009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1,63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69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3,46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B69" w:rsidRPr="00F92278" w:rsidRDefault="003E109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1,79</w:t>
            </w:r>
          </w:p>
        </w:tc>
      </w:tr>
      <w:tr w:rsidR="00A96B69" w:rsidRPr="00F92278">
        <w:trPr>
          <w:trHeight w:val="116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96B69" w:rsidRPr="00F92278" w:rsidRDefault="00A96B6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 кв. 2009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B69" w:rsidRPr="00F92278" w:rsidRDefault="002F6000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B69" w:rsidRPr="00F92278" w:rsidRDefault="00F65912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B69" w:rsidRPr="00F92278" w:rsidRDefault="003E1099" w:rsidP="00F9227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0,77</w:t>
            </w:r>
          </w:p>
        </w:tc>
      </w:tr>
    </w:tbl>
    <w:p w:rsidR="00F92278" w:rsidRDefault="00F92278" w:rsidP="00F92278">
      <w:pPr>
        <w:spacing w:line="360" w:lineRule="auto"/>
        <w:jc w:val="both"/>
        <w:rPr>
          <w:sz w:val="28"/>
          <w:szCs w:val="28"/>
        </w:rPr>
      </w:pPr>
    </w:p>
    <w:p w:rsidR="00B64BE7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Анализируя динамику выв</w:t>
      </w:r>
      <w:r w:rsidR="00050A2C" w:rsidRPr="00F92278">
        <w:rPr>
          <w:sz w:val="28"/>
          <w:szCs w:val="28"/>
        </w:rPr>
        <w:t>озной таможенной пошлины (рис.</w:t>
      </w:r>
      <w:r w:rsidR="0016397D" w:rsidRPr="00F92278">
        <w:rPr>
          <w:sz w:val="28"/>
          <w:szCs w:val="28"/>
        </w:rPr>
        <w:t xml:space="preserve"> 2.</w:t>
      </w:r>
      <w:r w:rsidR="00DF0BEB" w:rsidRPr="00F92278">
        <w:rPr>
          <w:sz w:val="28"/>
          <w:szCs w:val="28"/>
        </w:rPr>
        <w:t>3</w:t>
      </w:r>
      <w:r w:rsidRPr="00F92278">
        <w:rPr>
          <w:sz w:val="28"/>
          <w:szCs w:val="28"/>
        </w:rPr>
        <w:t>)</w:t>
      </w:r>
      <w:r w:rsidR="00CB42B4" w:rsidRPr="00F92278">
        <w:rPr>
          <w:sz w:val="28"/>
          <w:szCs w:val="28"/>
        </w:rPr>
        <w:t xml:space="preserve"> с 2005 по 2008 гг.</w:t>
      </w:r>
      <w:r w:rsidRPr="00F92278">
        <w:rPr>
          <w:sz w:val="28"/>
          <w:szCs w:val="28"/>
        </w:rPr>
        <w:t xml:space="preserve">, а ею облагаются вывозимые за пределы таможенной территории Российской Федерации биологические ресурсы (рыба, моллюски, ракообразные), минеральные ресурсы, изделия из них и лом (нефтепродукты, древесина, черные и цветные металлы), можно заметить наметившуюся тенденцию увеличения поступлений данных платежей в Федеральный бюджет Российской Федерации. Об этом также </w:t>
      </w:r>
      <w:r w:rsidR="0016397D" w:rsidRPr="00F92278">
        <w:rPr>
          <w:sz w:val="28"/>
          <w:szCs w:val="28"/>
        </w:rPr>
        <w:t>говорят рассчитанные в таблице 2.</w:t>
      </w:r>
      <w:r w:rsidR="00DF0BEB" w:rsidRPr="00F92278">
        <w:rPr>
          <w:sz w:val="28"/>
          <w:szCs w:val="28"/>
        </w:rPr>
        <w:t>3</w:t>
      </w:r>
      <w:r w:rsidRPr="00F92278">
        <w:rPr>
          <w:sz w:val="28"/>
          <w:szCs w:val="28"/>
        </w:rPr>
        <w:t xml:space="preserve"> цепным способом коэффициенты роста, большинство из которых больше 1. </w:t>
      </w:r>
      <w:r w:rsidR="005A1FFC" w:rsidRPr="00F92278">
        <w:rPr>
          <w:sz w:val="28"/>
          <w:szCs w:val="28"/>
        </w:rPr>
        <w:t>В 2009 году сумма вывозной таможенной пошлины, перечисленной в Федеральный бюджет,</w:t>
      </w:r>
      <w:r w:rsidR="00F92278">
        <w:rPr>
          <w:sz w:val="28"/>
          <w:szCs w:val="28"/>
        </w:rPr>
        <w:t xml:space="preserve"> </w:t>
      </w:r>
      <w:r w:rsidR="005A1FFC" w:rsidRPr="00F92278">
        <w:rPr>
          <w:sz w:val="28"/>
          <w:szCs w:val="28"/>
        </w:rPr>
        <w:t>снизилась.</w:t>
      </w:r>
      <w:r w:rsidR="008B5154" w:rsidRPr="00F92278">
        <w:rPr>
          <w:sz w:val="28"/>
          <w:szCs w:val="28"/>
        </w:rPr>
        <w:t xml:space="preserve"> Об этом говорит коэффициент роста – 0,85&lt;1.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Средний абсолютный п</w:t>
      </w:r>
      <w:r w:rsidR="00A163DF" w:rsidRPr="00F92278">
        <w:rPr>
          <w:sz w:val="28"/>
          <w:szCs w:val="28"/>
        </w:rPr>
        <w:t xml:space="preserve">рирост за квартал составил </w:t>
      </w:r>
      <w:r w:rsidR="005A1FFC" w:rsidRPr="00F92278">
        <w:rPr>
          <w:sz w:val="28"/>
          <w:szCs w:val="28"/>
        </w:rPr>
        <w:t xml:space="preserve">546,55 </w:t>
      </w:r>
      <w:r w:rsidRPr="00F92278">
        <w:rPr>
          <w:sz w:val="28"/>
          <w:szCs w:val="28"/>
        </w:rPr>
        <w:t>млн.</w:t>
      </w:r>
      <w:r w:rsidR="0049150A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руб., сре</w:t>
      </w:r>
      <w:r w:rsidR="00A163DF" w:rsidRPr="00F92278">
        <w:rPr>
          <w:sz w:val="28"/>
          <w:szCs w:val="28"/>
        </w:rPr>
        <w:t xml:space="preserve">дний коэффициент роста равен </w:t>
      </w:r>
      <w:r w:rsidR="00BB742F" w:rsidRPr="00F92278">
        <w:rPr>
          <w:sz w:val="28"/>
          <w:szCs w:val="28"/>
        </w:rPr>
        <w:t>1</w:t>
      </w:r>
      <w:r w:rsidR="008B5154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AB5624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2.25pt;height:196.5pt">
            <v:imagedata r:id="rId9" o:title=""/>
          </v:shape>
        </w:pic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 </w:t>
      </w:r>
      <w:r w:rsidR="0016397D" w:rsidRPr="00F92278">
        <w:rPr>
          <w:sz w:val="28"/>
          <w:szCs w:val="28"/>
        </w:rPr>
        <w:t>2.</w:t>
      </w:r>
      <w:r w:rsidR="00DF0BEB" w:rsidRPr="00F92278">
        <w:rPr>
          <w:sz w:val="28"/>
          <w:szCs w:val="28"/>
        </w:rPr>
        <w:t>3</w:t>
      </w:r>
      <w:r w:rsidR="00DF4657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Динамика изменени</w:t>
      </w:r>
      <w:r w:rsidR="00AB5624" w:rsidRPr="00F92278">
        <w:rPr>
          <w:sz w:val="28"/>
          <w:szCs w:val="28"/>
        </w:rPr>
        <w:t>я вывозной таможенной пошлины в</w:t>
      </w:r>
      <w:r w:rsidRPr="00F92278">
        <w:rPr>
          <w:sz w:val="28"/>
          <w:szCs w:val="28"/>
        </w:rPr>
        <w:t xml:space="preserve"> </w:t>
      </w:r>
      <w:r w:rsidR="00DF4657" w:rsidRPr="00F92278">
        <w:rPr>
          <w:sz w:val="28"/>
          <w:szCs w:val="28"/>
        </w:rPr>
        <w:t>ДВТУ</w:t>
      </w:r>
      <w:r w:rsidRPr="00F92278">
        <w:rPr>
          <w:sz w:val="28"/>
          <w:szCs w:val="28"/>
        </w:rPr>
        <w:t xml:space="preserve"> </w:t>
      </w:r>
      <w:r w:rsidR="00DF4657" w:rsidRPr="00F92278">
        <w:rPr>
          <w:sz w:val="28"/>
          <w:szCs w:val="28"/>
        </w:rPr>
        <w:t xml:space="preserve">за </w:t>
      </w:r>
      <w:r w:rsidR="00CB42B4" w:rsidRPr="00F92278">
        <w:rPr>
          <w:sz w:val="28"/>
          <w:szCs w:val="28"/>
        </w:rPr>
        <w:t>2005-2009</w:t>
      </w:r>
      <w:r w:rsidR="00A163DF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гг.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Default="0016397D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Согласно рисунка 2.</w:t>
      </w:r>
      <w:r w:rsidR="00DF0BEB" w:rsidRPr="00F92278">
        <w:rPr>
          <w:sz w:val="28"/>
          <w:szCs w:val="28"/>
        </w:rPr>
        <w:t>4</w:t>
      </w:r>
      <w:r w:rsidR="00B64BE7" w:rsidRPr="00F92278">
        <w:rPr>
          <w:sz w:val="28"/>
          <w:szCs w:val="28"/>
        </w:rPr>
        <w:t xml:space="preserve"> ежеквартально</w:t>
      </w:r>
      <w:r w:rsidR="00C8651F" w:rsidRPr="00F92278">
        <w:rPr>
          <w:sz w:val="28"/>
          <w:szCs w:val="28"/>
        </w:rPr>
        <w:t xml:space="preserve"> с 2005 по 2008 гг.</w:t>
      </w:r>
      <w:r w:rsidR="00B64BE7" w:rsidRPr="00F92278">
        <w:rPr>
          <w:sz w:val="28"/>
          <w:szCs w:val="28"/>
        </w:rPr>
        <w:t xml:space="preserve"> происходит увеличение поступлений таможенных платежей в Федеральный бюджет Российской Федерации в виде ввозной таможенной пошлины и НДС, которым облагаются товары, ввозимые на таможенную территорию Росси</w:t>
      </w:r>
      <w:r w:rsidR="000A1A95" w:rsidRPr="00F92278">
        <w:rPr>
          <w:sz w:val="28"/>
          <w:szCs w:val="28"/>
        </w:rPr>
        <w:t>йской Федерации в соответствии с</w:t>
      </w:r>
      <w:r w:rsidR="00B64BE7" w:rsidRPr="00F92278">
        <w:rPr>
          <w:sz w:val="28"/>
          <w:szCs w:val="28"/>
        </w:rPr>
        <w:t xml:space="preserve"> принципом национального режима по отношению к иностранным товарам. Рассчитанные в таблице </w:t>
      </w:r>
      <w:r w:rsidRPr="00F92278">
        <w:rPr>
          <w:sz w:val="28"/>
          <w:szCs w:val="28"/>
        </w:rPr>
        <w:t>2.</w:t>
      </w:r>
      <w:r w:rsidR="00DF0BEB" w:rsidRPr="00F92278">
        <w:rPr>
          <w:sz w:val="28"/>
          <w:szCs w:val="28"/>
        </w:rPr>
        <w:t>3</w:t>
      </w:r>
      <w:r w:rsidR="00B64BE7" w:rsidRPr="00F92278">
        <w:rPr>
          <w:sz w:val="28"/>
          <w:szCs w:val="28"/>
        </w:rPr>
        <w:t xml:space="preserve"> цепным способом коэффициенты роста подтверждают тенденцию рос</w:t>
      </w:r>
      <w:r w:rsidRPr="00F92278">
        <w:rPr>
          <w:sz w:val="28"/>
          <w:szCs w:val="28"/>
        </w:rPr>
        <w:t>та данных платежей. На рисунке 2.</w:t>
      </w:r>
      <w:r w:rsidR="00DF0BEB" w:rsidRPr="00F92278">
        <w:rPr>
          <w:sz w:val="28"/>
          <w:szCs w:val="28"/>
        </w:rPr>
        <w:t>4</w:t>
      </w:r>
      <w:r w:rsidR="00B64BE7" w:rsidRPr="00F92278">
        <w:rPr>
          <w:sz w:val="28"/>
          <w:szCs w:val="28"/>
        </w:rPr>
        <w:t xml:space="preserve"> также можно заметить пропорциональный рост данных платежей, особенно это заметно начиная со второго квартала 2006 г.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и по четвертый квартал 2008 г. Это объясняется тем, что базой начисления НДС является величина таможенной стоимости и ввозной таможенной пошлины. </w:t>
      </w:r>
      <w:r w:rsidR="00C8651F" w:rsidRPr="00F92278">
        <w:rPr>
          <w:sz w:val="28"/>
          <w:szCs w:val="28"/>
        </w:rPr>
        <w:t>Но 2009 году резко уменьшилась сумма НДС и ввозной таможенной пошлины, перечисленной ДВТУ в Федеральный бюджет. Об этом также говорит коэффициент роста НДС – 0,59&lt;1, а по ввозной таможенной пошлине равен 0,57.</w:t>
      </w:r>
      <w:r w:rsidR="00B64BE7" w:rsidRPr="00F92278">
        <w:rPr>
          <w:sz w:val="28"/>
          <w:szCs w:val="28"/>
        </w:rPr>
        <w:t xml:space="preserve"> Средний абсолютный прирост ввозной таможенной по</w:t>
      </w:r>
      <w:r w:rsidR="000A1A95" w:rsidRPr="00F92278">
        <w:rPr>
          <w:sz w:val="28"/>
          <w:szCs w:val="28"/>
        </w:rPr>
        <w:t xml:space="preserve">шлины за квартал составил </w:t>
      </w:r>
      <w:r w:rsidR="00F24C13" w:rsidRPr="00F92278">
        <w:rPr>
          <w:sz w:val="28"/>
          <w:szCs w:val="28"/>
        </w:rPr>
        <w:t>193,22</w:t>
      </w:r>
      <w:r w:rsidR="00B64BE7" w:rsidRPr="00F92278">
        <w:rPr>
          <w:sz w:val="28"/>
          <w:szCs w:val="28"/>
        </w:rPr>
        <w:t xml:space="preserve"> млн.</w:t>
      </w:r>
      <w:r w:rsidR="0049150A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руб., а по НДС </w:t>
      </w:r>
      <w:r w:rsidR="00F24C13" w:rsidRPr="00F92278">
        <w:rPr>
          <w:sz w:val="28"/>
          <w:szCs w:val="28"/>
        </w:rPr>
        <w:t>249,21</w:t>
      </w:r>
      <w:r w:rsidR="00B64BE7" w:rsidRPr="00F92278">
        <w:rPr>
          <w:sz w:val="28"/>
          <w:szCs w:val="28"/>
        </w:rPr>
        <w:t xml:space="preserve"> млн.</w:t>
      </w:r>
      <w:r w:rsidR="0049150A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руб., средний коэффициент роста ввоз</w:t>
      </w:r>
      <w:r w:rsidR="000A1A95" w:rsidRPr="00F92278">
        <w:rPr>
          <w:sz w:val="28"/>
          <w:szCs w:val="28"/>
        </w:rPr>
        <w:t xml:space="preserve">ной таможенной пошлины равен </w:t>
      </w:r>
      <w:r w:rsidR="00F24C13" w:rsidRPr="00F92278">
        <w:rPr>
          <w:sz w:val="28"/>
          <w:szCs w:val="28"/>
        </w:rPr>
        <w:t>1, а для НДС 1.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95.25pt;height:231.75pt">
            <v:imagedata r:id="rId10" o:title=""/>
          </v:shape>
        </w:pic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 </w:t>
      </w:r>
      <w:r w:rsidR="00DF0BEB" w:rsidRPr="00F92278">
        <w:rPr>
          <w:sz w:val="28"/>
          <w:szCs w:val="28"/>
        </w:rPr>
        <w:t>2.4</w:t>
      </w:r>
      <w:r w:rsidR="00DF4657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Динамика изменения вво</w:t>
      </w:r>
      <w:r w:rsidR="00DF4657" w:rsidRPr="00F92278">
        <w:rPr>
          <w:sz w:val="28"/>
          <w:szCs w:val="28"/>
        </w:rPr>
        <w:t>зной таможенной пошлины и НДС в</w:t>
      </w:r>
      <w:r w:rsidRPr="00F92278">
        <w:rPr>
          <w:sz w:val="28"/>
          <w:szCs w:val="28"/>
        </w:rPr>
        <w:t xml:space="preserve"> </w:t>
      </w:r>
      <w:r w:rsidR="00DF4657" w:rsidRPr="00F92278">
        <w:rPr>
          <w:sz w:val="28"/>
          <w:szCs w:val="28"/>
        </w:rPr>
        <w:t>ДВТУ</w:t>
      </w:r>
      <w:r w:rsidRPr="00F92278">
        <w:rPr>
          <w:sz w:val="28"/>
          <w:szCs w:val="28"/>
        </w:rPr>
        <w:t xml:space="preserve"> </w:t>
      </w:r>
      <w:r w:rsidR="00DF4657" w:rsidRPr="00F92278">
        <w:rPr>
          <w:sz w:val="28"/>
          <w:szCs w:val="28"/>
        </w:rPr>
        <w:t xml:space="preserve">за </w:t>
      </w:r>
      <w:r w:rsidR="00F24C13" w:rsidRPr="00F92278">
        <w:rPr>
          <w:sz w:val="28"/>
          <w:szCs w:val="28"/>
        </w:rPr>
        <w:t>2005-2009</w:t>
      </w:r>
      <w:r w:rsidR="00A163DF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гг.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Default="00566012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 2005 по 2008 гг. д</w:t>
      </w:r>
      <w:r w:rsidR="00B64BE7" w:rsidRPr="00F92278">
        <w:rPr>
          <w:sz w:val="28"/>
          <w:szCs w:val="28"/>
        </w:rPr>
        <w:t xml:space="preserve">инамика перечисления акциза, </w:t>
      </w:r>
      <w:r w:rsidR="000A1A95" w:rsidRPr="00F92278">
        <w:rPr>
          <w:sz w:val="28"/>
          <w:szCs w:val="28"/>
        </w:rPr>
        <w:t xml:space="preserve">а им облагаются ввозимые на </w:t>
      </w:r>
      <w:r w:rsidR="00B64BE7" w:rsidRPr="00F92278">
        <w:rPr>
          <w:sz w:val="28"/>
          <w:szCs w:val="28"/>
        </w:rPr>
        <w:t>таможенную территорию Российской Федерации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автомобили и мотоциклы, алкогольные напитки, табачная продукция, </w:t>
      </w:r>
      <w:r w:rsidR="0016397D" w:rsidRPr="00F92278">
        <w:rPr>
          <w:sz w:val="28"/>
          <w:szCs w:val="28"/>
        </w:rPr>
        <w:t>и таможенных сборов на рисунке 2.</w:t>
      </w:r>
      <w:r w:rsidR="00DC67A9" w:rsidRPr="00F92278">
        <w:rPr>
          <w:sz w:val="28"/>
          <w:szCs w:val="28"/>
        </w:rPr>
        <w:t>5</w:t>
      </w:r>
      <w:r w:rsidR="00BE0E2E" w:rsidRPr="00F92278">
        <w:rPr>
          <w:sz w:val="28"/>
          <w:szCs w:val="28"/>
        </w:rPr>
        <w:t xml:space="preserve"> можно предположить</w:t>
      </w:r>
      <w:r w:rsidR="00B64BE7" w:rsidRPr="00F92278">
        <w:rPr>
          <w:sz w:val="28"/>
          <w:szCs w:val="28"/>
        </w:rPr>
        <w:t xml:space="preserve"> тенденцию</w:t>
      </w:r>
      <w:r w:rsidR="00BE0E2E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увеличения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поступления средств в Федеральный бюджет Российской Федерации. Об этом также можно су</w:t>
      </w:r>
      <w:r w:rsidR="0016397D" w:rsidRPr="00F92278">
        <w:rPr>
          <w:sz w:val="28"/>
          <w:szCs w:val="28"/>
        </w:rPr>
        <w:t>дить по рассчитанным в таблице 2.</w:t>
      </w:r>
      <w:r w:rsidR="00DC67A9" w:rsidRPr="00F92278">
        <w:rPr>
          <w:sz w:val="28"/>
          <w:szCs w:val="28"/>
        </w:rPr>
        <w:t>3</w:t>
      </w:r>
      <w:r w:rsidR="00B64BE7" w:rsidRPr="00F92278">
        <w:rPr>
          <w:sz w:val="28"/>
          <w:szCs w:val="28"/>
        </w:rPr>
        <w:t xml:space="preserve"> цепным способом коэффициентам роста. </w:t>
      </w:r>
      <w:r w:rsidRPr="00F92278">
        <w:rPr>
          <w:sz w:val="28"/>
          <w:szCs w:val="28"/>
        </w:rPr>
        <w:t xml:space="preserve">Но в 2009 году </w:t>
      </w:r>
      <w:r w:rsidR="00264E21" w:rsidRPr="00F92278">
        <w:rPr>
          <w:sz w:val="28"/>
          <w:szCs w:val="28"/>
        </w:rPr>
        <w:t xml:space="preserve">перечисления акциза и таможенных сборов наблюдается снижение поступления средств в Федеральный бюджет Российской Федерации. </w:t>
      </w:r>
      <w:r w:rsidR="00B64BE7" w:rsidRPr="00F92278">
        <w:rPr>
          <w:sz w:val="28"/>
          <w:szCs w:val="28"/>
        </w:rPr>
        <w:t>Средний абсолютный прирост акциза, взимаемого п</w:t>
      </w:r>
      <w:r w:rsidR="0049150A" w:rsidRPr="00F92278">
        <w:rPr>
          <w:sz w:val="28"/>
          <w:szCs w:val="28"/>
        </w:rPr>
        <w:t xml:space="preserve">ри ввозе, за квартал составил </w:t>
      </w:r>
      <w:r w:rsidR="00BE0E2E" w:rsidRPr="00F92278">
        <w:rPr>
          <w:sz w:val="28"/>
          <w:szCs w:val="28"/>
        </w:rPr>
        <w:t>-5,11</w:t>
      </w:r>
      <w:r w:rsidR="00B64BE7" w:rsidRPr="00F92278">
        <w:rPr>
          <w:sz w:val="28"/>
          <w:szCs w:val="28"/>
        </w:rPr>
        <w:t xml:space="preserve"> млн.</w:t>
      </w:r>
      <w:r w:rsidR="0049150A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руб., а таможенных сборов составил -12,22</w:t>
      </w:r>
      <w:r w:rsidR="00B64BE7" w:rsidRPr="00F92278">
        <w:rPr>
          <w:sz w:val="28"/>
          <w:szCs w:val="28"/>
        </w:rPr>
        <w:t xml:space="preserve"> млн.</w:t>
      </w:r>
      <w:r w:rsidR="0049150A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руб., средний коэффициент роста акциза </w:t>
      </w:r>
      <w:r w:rsidR="0049150A" w:rsidRPr="00F92278">
        <w:rPr>
          <w:sz w:val="28"/>
          <w:szCs w:val="28"/>
        </w:rPr>
        <w:t xml:space="preserve">равен </w:t>
      </w:r>
      <w:r w:rsidRPr="00F92278">
        <w:rPr>
          <w:sz w:val="28"/>
          <w:szCs w:val="28"/>
        </w:rPr>
        <w:t>0,99</w:t>
      </w:r>
      <w:r w:rsidR="0049150A" w:rsidRPr="00F92278">
        <w:rPr>
          <w:sz w:val="28"/>
          <w:szCs w:val="28"/>
        </w:rPr>
        <w:t xml:space="preserve"> и таможенных сборов – </w:t>
      </w:r>
      <w:r w:rsidRPr="00F92278">
        <w:rPr>
          <w:sz w:val="28"/>
          <w:szCs w:val="28"/>
        </w:rPr>
        <w:t>0,99.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5pt;height:187.5pt">
            <v:imagedata r:id="rId11" o:title=""/>
          </v:shape>
        </w:pic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 </w:t>
      </w:r>
      <w:r w:rsidR="00DC67A9" w:rsidRPr="00F92278">
        <w:rPr>
          <w:sz w:val="28"/>
          <w:szCs w:val="28"/>
        </w:rPr>
        <w:t>2.5</w:t>
      </w:r>
      <w:r w:rsidR="00DF4657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Динамика изменения акциза и таможенных сборов </w:t>
      </w:r>
      <w:r w:rsidR="00DF4657" w:rsidRPr="00F92278">
        <w:rPr>
          <w:sz w:val="28"/>
          <w:szCs w:val="28"/>
        </w:rPr>
        <w:t>в ДВТУ</w:t>
      </w:r>
      <w:r w:rsidR="00DF4657" w:rsidRPr="00F92278">
        <w:rPr>
          <w:sz w:val="28"/>
          <w:szCs w:val="28"/>
        </w:rPr>
        <w:br/>
        <w:t xml:space="preserve">за </w:t>
      </w:r>
      <w:r w:rsidR="00264E21" w:rsidRPr="00F92278">
        <w:rPr>
          <w:sz w:val="28"/>
          <w:szCs w:val="28"/>
        </w:rPr>
        <w:t>2005-2009</w:t>
      </w:r>
      <w:r w:rsidRPr="00F92278">
        <w:rPr>
          <w:sz w:val="28"/>
          <w:szCs w:val="28"/>
        </w:rPr>
        <w:t>гг.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AB5624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Таким образом, можно сделать вывод, что р</w:t>
      </w:r>
      <w:r w:rsidR="00B64BE7" w:rsidRPr="00F92278">
        <w:rPr>
          <w:sz w:val="28"/>
          <w:szCs w:val="28"/>
        </w:rPr>
        <w:t>азмер таможенных платежей напрямую зависит</w:t>
      </w:r>
      <w:r w:rsidR="00603C27" w:rsidRPr="00F92278">
        <w:rPr>
          <w:sz w:val="28"/>
          <w:szCs w:val="28"/>
        </w:rPr>
        <w:t xml:space="preserve"> от таких факторов, как</w:t>
      </w:r>
      <w:r w:rsidR="00B64BE7" w:rsidRPr="00F92278">
        <w:rPr>
          <w:sz w:val="28"/>
          <w:szCs w:val="28"/>
        </w:rPr>
        <w:t>:</w:t>
      </w:r>
    </w:p>
    <w:p w:rsidR="00B64BE7" w:rsidRPr="00F92278" w:rsidRDefault="00B64BE7" w:rsidP="00F92278">
      <w:pPr>
        <w:numPr>
          <w:ilvl w:val="0"/>
          <w:numId w:val="5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для таможенной пошлины:</w:t>
      </w:r>
    </w:p>
    <w:p w:rsidR="00B64BE7" w:rsidRPr="00F92278" w:rsidRDefault="00DF4657" w:rsidP="00F92278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- </w:t>
      </w:r>
      <w:r w:rsidR="00B64BE7" w:rsidRPr="00F92278">
        <w:rPr>
          <w:sz w:val="28"/>
          <w:szCs w:val="28"/>
        </w:rPr>
        <w:t>режим, под который помещается товар при перемещении его через таможенную границу Российской Федерации;</w:t>
      </w:r>
    </w:p>
    <w:p w:rsidR="00B64BE7" w:rsidRPr="00F92278" w:rsidRDefault="00DF4657" w:rsidP="00F92278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- </w:t>
      </w:r>
      <w:r w:rsidR="00B64BE7" w:rsidRPr="00F92278">
        <w:rPr>
          <w:sz w:val="28"/>
          <w:szCs w:val="28"/>
        </w:rPr>
        <w:t>сезон перемещения товара и страна происхождения товара: применение минимальной, преференциальной и максимальной ставки таможенной пошлины;</w:t>
      </w:r>
    </w:p>
    <w:p w:rsidR="00B64BE7" w:rsidRPr="00F92278" w:rsidRDefault="00DF4657" w:rsidP="00F92278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- </w:t>
      </w:r>
      <w:r w:rsidR="00B64BE7" w:rsidRPr="00F92278">
        <w:rPr>
          <w:sz w:val="28"/>
          <w:szCs w:val="28"/>
        </w:rPr>
        <w:t>количество товара в натуральном выражении и ставка пошлины при взимании специфической таможенной пошлины, таможенная стоимость и процентная ставка адвалорной пошлины, а сама ставка пошлины может дифференцироваться в зависимости от степени переработки товара. Зависимость изменения сумм таможенных платежей от товарооборо</w:t>
      </w:r>
      <w:r w:rsidR="00050A2C" w:rsidRPr="00F92278">
        <w:rPr>
          <w:sz w:val="28"/>
          <w:szCs w:val="28"/>
        </w:rPr>
        <w:t xml:space="preserve">та наглядно показывают рисунки </w:t>
      </w:r>
      <w:r w:rsidR="00DC67A9" w:rsidRPr="00F92278">
        <w:rPr>
          <w:sz w:val="28"/>
          <w:szCs w:val="28"/>
        </w:rPr>
        <w:t>2.6</w:t>
      </w:r>
      <w:r w:rsidR="00B64BE7" w:rsidRPr="00F92278">
        <w:rPr>
          <w:sz w:val="28"/>
          <w:szCs w:val="28"/>
        </w:rPr>
        <w:t xml:space="preserve"> и</w:t>
      </w:r>
      <w:r w:rsidR="00050A2C" w:rsidRPr="00F92278">
        <w:rPr>
          <w:sz w:val="28"/>
          <w:szCs w:val="28"/>
        </w:rPr>
        <w:t xml:space="preserve"> </w:t>
      </w:r>
      <w:r w:rsidR="006B6E7F" w:rsidRPr="00F92278">
        <w:rPr>
          <w:sz w:val="28"/>
          <w:szCs w:val="28"/>
        </w:rPr>
        <w:t>2.</w:t>
      </w:r>
      <w:r w:rsidR="00DC67A9" w:rsidRPr="00F92278">
        <w:rPr>
          <w:sz w:val="28"/>
          <w:szCs w:val="28"/>
        </w:rPr>
        <w:t>7</w:t>
      </w:r>
      <w:r w:rsidR="00603C27" w:rsidRPr="00F92278">
        <w:rPr>
          <w:sz w:val="28"/>
          <w:szCs w:val="28"/>
        </w:rPr>
        <w:t>;</w:t>
      </w:r>
    </w:p>
    <w:p w:rsidR="00B64BE7" w:rsidRPr="00F92278" w:rsidRDefault="00B64BE7" w:rsidP="00F922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для акциза – количество товара в натуральном выражении и ставка акциза, указанная в Налоговом кодексе Российской Федерации;</w:t>
      </w:r>
    </w:p>
    <w:p w:rsidR="00B64BE7" w:rsidRPr="00F92278" w:rsidRDefault="00B64BE7" w:rsidP="00F9227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для НДС – основа начисления налога и ставка налога на соответствующий товар;</w:t>
      </w:r>
    </w:p>
    <w:p w:rsidR="00B64BE7" w:rsidRPr="00F92278" w:rsidRDefault="00B64BE7" w:rsidP="00F92278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для сборов:</w:t>
      </w:r>
    </w:p>
    <w:p w:rsidR="00B64BE7" w:rsidRDefault="00DF4657" w:rsidP="00F92278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- </w:t>
      </w:r>
      <w:r w:rsidR="00B64BE7" w:rsidRPr="00F92278">
        <w:rPr>
          <w:sz w:val="28"/>
          <w:szCs w:val="28"/>
        </w:rPr>
        <w:t>за оформление – исходя из заявленной таможенной стоимости декларируемых товаров;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за таможенное сопровождение – исходя из вида транспорта и протяженности пути доставки;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за хранение на складе временного хранения или на таможенном складе таможенного органа –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таможенные сборы уплачиваются в зависимости от веса хранимых товаров и непосредственно срока хранения.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69pt;height:186pt">
            <v:imagedata r:id="rId12" o:title=""/>
          </v:shape>
        </w:pict>
      </w:r>
    </w:p>
    <w:p w:rsid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 </w:t>
      </w:r>
      <w:r w:rsidR="00DC67A9" w:rsidRPr="00F92278">
        <w:rPr>
          <w:sz w:val="28"/>
          <w:szCs w:val="28"/>
        </w:rPr>
        <w:t>2.6</w:t>
      </w:r>
      <w:r w:rsidR="00DF4657" w:rsidRPr="00F92278">
        <w:rPr>
          <w:sz w:val="28"/>
          <w:szCs w:val="28"/>
        </w:rPr>
        <w:t>.</w:t>
      </w:r>
      <w:r w:rsidRPr="00F92278">
        <w:rPr>
          <w:sz w:val="28"/>
          <w:szCs w:val="28"/>
        </w:rPr>
        <w:t xml:space="preserve"> Динамика изменения товарооборота </w:t>
      </w:r>
      <w:r w:rsidR="00DF4657" w:rsidRPr="00F92278">
        <w:rPr>
          <w:sz w:val="28"/>
          <w:szCs w:val="28"/>
        </w:rPr>
        <w:t>ДВТУ</w:t>
      </w:r>
      <w:r w:rsidR="00662287" w:rsidRPr="00F92278">
        <w:rPr>
          <w:sz w:val="28"/>
          <w:szCs w:val="28"/>
        </w:rPr>
        <w:t xml:space="preserve"> по годам 2004-2009</w:t>
      </w:r>
      <w:r w:rsidR="00DF4657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гг.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48.75pt;height:165pt">
            <v:imagedata r:id="rId13" o:title=""/>
          </v:shape>
        </w:pic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Рис. </w:t>
      </w:r>
      <w:r w:rsidR="006B6E7F" w:rsidRPr="00F92278">
        <w:rPr>
          <w:sz w:val="28"/>
          <w:szCs w:val="28"/>
        </w:rPr>
        <w:t>2.</w:t>
      </w:r>
      <w:r w:rsidR="00DC67A9" w:rsidRPr="00F92278">
        <w:rPr>
          <w:sz w:val="28"/>
          <w:szCs w:val="28"/>
        </w:rPr>
        <w:t>7</w:t>
      </w:r>
      <w:r w:rsidR="00DF4657" w:rsidRPr="00F92278">
        <w:rPr>
          <w:sz w:val="28"/>
          <w:szCs w:val="28"/>
        </w:rPr>
        <w:t xml:space="preserve">. </w:t>
      </w:r>
      <w:r w:rsidRPr="00F92278">
        <w:rPr>
          <w:sz w:val="28"/>
          <w:szCs w:val="28"/>
        </w:rPr>
        <w:t xml:space="preserve">Динамика изменения таможенных платежей </w:t>
      </w:r>
      <w:r w:rsidR="00DF4657" w:rsidRPr="00F92278">
        <w:rPr>
          <w:sz w:val="28"/>
          <w:szCs w:val="28"/>
        </w:rPr>
        <w:t>в ДВТУ</w:t>
      </w:r>
      <w:r w:rsidRPr="00F92278">
        <w:rPr>
          <w:sz w:val="28"/>
          <w:szCs w:val="28"/>
        </w:rPr>
        <w:t xml:space="preserve"> </w:t>
      </w:r>
      <w:r w:rsidR="00DF4657" w:rsidRPr="00F92278">
        <w:rPr>
          <w:sz w:val="28"/>
          <w:szCs w:val="28"/>
        </w:rPr>
        <w:br/>
      </w:r>
      <w:r w:rsidR="00761F55" w:rsidRPr="00F92278">
        <w:rPr>
          <w:sz w:val="28"/>
          <w:szCs w:val="28"/>
        </w:rPr>
        <w:t>по годам 2004-2009</w:t>
      </w:r>
      <w:r w:rsidR="00DF4657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гг.</w:t>
      </w:r>
    </w:p>
    <w:p w:rsidR="0067743C" w:rsidRDefault="00AE7F46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Можно сделать вывод, что одной из составляющих доходной части федерального бюджета являются таможенные платежи. По оценкам специалистов таможенные платежи составляют более 50% доходной части федерального бюджета. Поступления таможенных платежей в федеральный бюджет в 2009 году составило 115 821,11 тыс. руб. По данным ДВТУ, наблюдалась тенденция увеличения сумм таможенных платежей, перечисленных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в федеральный бюджет за 2005 – 2008 гг. Об этом также говорят рассчитанные цепным способом коэффициенты роста, большинство из которых больше 1. </w:t>
      </w:r>
      <w:r w:rsidR="00CD07DE" w:rsidRPr="00F92278">
        <w:rPr>
          <w:sz w:val="28"/>
          <w:szCs w:val="28"/>
        </w:rPr>
        <w:t>Перечисление</w:t>
      </w:r>
      <w:r w:rsidR="00F92278">
        <w:rPr>
          <w:sz w:val="28"/>
          <w:szCs w:val="28"/>
        </w:rPr>
        <w:t xml:space="preserve"> </w:t>
      </w:r>
      <w:r w:rsidR="00CD07DE" w:rsidRPr="00F92278">
        <w:rPr>
          <w:sz w:val="28"/>
          <w:szCs w:val="28"/>
        </w:rPr>
        <w:t>таможенных платежей в федеральный бюджет</w:t>
      </w:r>
      <w:r w:rsidR="00F92278">
        <w:rPr>
          <w:sz w:val="28"/>
          <w:szCs w:val="28"/>
        </w:rPr>
        <w:t xml:space="preserve"> </w:t>
      </w:r>
      <w:r w:rsidR="00CD07DE" w:rsidRPr="00F92278">
        <w:rPr>
          <w:sz w:val="28"/>
          <w:szCs w:val="28"/>
        </w:rPr>
        <w:t>резко снизилось из-за сложившейся ситуации в Дальневосточном федеральном округе в 2009 году. Адвалорная ставка импортных пошлин на новые автомобили была повышена с 25 до 30 процентов от таможенной стоимости. Об этом также говорят рассчитанные цепным способом коэффициенты роста, большинство из которых меньше 1.</w:t>
      </w:r>
      <w:r w:rsidR="0067743C" w:rsidRPr="00F92278">
        <w:rPr>
          <w:sz w:val="28"/>
          <w:szCs w:val="28"/>
        </w:rPr>
        <w:t xml:space="preserve"> Средний абсолютный прирост таможенных платежей за квартал составил 1007,8 млн. руб., а средний коэффициент роста</w:t>
      </w:r>
      <w:r w:rsidR="00F92278">
        <w:rPr>
          <w:sz w:val="28"/>
          <w:szCs w:val="28"/>
        </w:rPr>
        <w:t xml:space="preserve"> </w:t>
      </w:r>
      <w:r w:rsidR="0067743C" w:rsidRPr="00F92278">
        <w:rPr>
          <w:sz w:val="28"/>
          <w:szCs w:val="28"/>
        </w:rPr>
        <w:t xml:space="preserve">равен </w:t>
      </w:r>
      <w:r w:rsidR="00EC5A4A" w:rsidRPr="00F92278">
        <w:rPr>
          <w:sz w:val="28"/>
          <w:szCs w:val="28"/>
        </w:rPr>
        <w:t>1.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F92278" w:rsidP="00F92278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45665952"/>
      <w:bookmarkStart w:id="10" w:name="_Toc278534813"/>
      <w:r w:rsidRPr="00F92278">
        <w:rPr>
          <w:rFonts w:ascii="Times New Roman" w:hAnsi="Times New Roman" w:cs="Times New Roman"/>
          <w:sz w:val="28"/>
          <w:szCs w:val="28"/>
        </w:rPr>
        <w:t xml:space="preserve">3. </w:t>
      </w:r>
      <w:r w:rsidR="00B64BE7" w:rsidRPr="00F92278">
        <w:rPr>
          <w:rFonts w:ascii="Times New Roman" w:hAnsi="Times New Roman" w:cs="Times New Roman"/>
          <w:sz w:val="28"/>
          <w:szCs w:val="28"/>
        </w:rPr>
        <w:t xml:space="preserve">Исследование тенденции и построение прогноза сумм таможенных платежей, </w:t>
      </w:r>
      <w:r w:rsidR="00F867F7" w:rsidRPr="00F92278">
        <w:rPr>
          <w:rFonts w:ascii="Times New Roman" w:hAnsi="Times New Roman" w:cs="Times New Roman"/>
          <w:sz w:val="28"/>
          <w:szCs w:val="28"/>
        </w:rPr>
        <w:t>перечисленных в федеральный бюджет,</w:t>
      </w:r>
      <w:r w:rsidR="00B64BE7" w:rsidRPr="00F92278">
        <w:rPr>
          <w:rFonts w:ascii="Times New Roman" w:hAnsi="Times New Roman" w:cs="Times New Roman"/>
          <w:sz w:val="28"/>
          <w:szCs w:val="28"/>
        </w:rPr>
        <w:t xml:space="preserve"> методом аналитического выравнивания</w:t>
      </w:r>
      <w:bookmarkEnd w:id="9"/>
      <w:bookmarkEnd w:id="10"/>
    </w:p>
    <w:p w:rsidR="00F92278" w:rsidRDefault="00F92278" w:rsidP="0070224A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B64BE7" w:rsidRPr="00F92278" w:rsidRDefault="00B64BE7" w:rsidP="00F9227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Исследование динамики социально-экономических явлений, выявление и характеристика основной тенденции развития и моделей взаимосвязи дают основание для прогнозирования – определения будущих размеров уровня экономического явления.</w:t>
      </w:r>
    </w:p>
    <w:p w:rsidR="00B64BE7" w:rsidRPr="00F92278" w:rsidRDefault="00B64BE7" w:rsidP="00F922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отличие от предприятий, для которых величину конечного продукта можно определить, исходя из наличия сырья и материалов, а также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норм расхода этих материалов при производстве конкретных изделий, в таможенном деле этот процесс несколько затруднен из-за присутствия субъективных факторов влияющих на размер таможенных платежей – конъюнктура рынка, текущее состояние экономики, уровень инфляции, политические факторы, технологии, используемые при таможенном оформлении и таможенном контроле, изменение в социальной и культурной среде.</w:t>
      </w:r>
    </w:p>
    <w:p w:rsidR="00B64BE7" w:rsidRPr="00F92278" w:rsidRDefault="00B64BE7" w:rsidP="00F92278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Прогнозирование объемов таможенных платежей, перечисляемых в Федеральный бюджет РФ, является для современной </w:t>
      </w:r>
      <w:r w:rsidR="008A06F3" w:rsidRPr="00F92278">
        <w:rPr>
          <w:sz w:val="28"/>
          <w:szCs w:val="28"/>
        </w:rPr>
        <w:t>р</w:t>
      </w:r>
      <w:r w:rsidRPr="00F92278">
        <w:rPr>
          <w:sz w:val="28"/>
          <w:szCs w:val="28"/>
        </w:rPr>
        <w:t>оссийской экономики самым серьезным из аспектов при планировании Федерального бюджета на последующие годы. При долгосрочном прогнозировании учитываются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тенденции развития мирового хозяйства и состояние экономики нашей страны, которые находят отражение в увеличении или уменьшении товарооборота через таможенную границу России.</w:t>
      </w:r>
    </w:p>
    <w:p w:rsidR="00B64BE7" w:rsidRPr="00F92278" w:rsidRDefault="00B64BE7" w:rsidP="00F92278">
      <w:pPr>
        <w:pStyle w:val="3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Построение прогнозов является самым последним этапом анализа временных рядов. Общая последовательность этапов анализа временных рядов следующая:</w:t>
      </w:r>
    </w:p>
    <w:p w:rsidR="00B64BE7" w:rsidRPr="00F92278" w:rsidRDefault="00B64BE7" w:rsidP="00F92278">
      <w:pPr>
        <w:pStyle w:val="31"/>
        <w:numPr>
          <w:ilvl w:val="0"/>
          <w:numId w:val="14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графическое представление и описание поведения ряда;</w:t>
      </w:r>
    </w:p>
    <w:p w:rsidR="00B64BE7" w:rsidRPr="00F92278" w:rsidRDefault="00B64BE7" w:rsidP="00F92278">
      <w:pPr>
        <w:pStyle w:val="31"/>
        <w:numPr>
          <w:ilvl w:val="0"/>
          <w:numId w:val="14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выделение и исключение регулярных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составляющих ряда, зависящих от времени;</w:t>
      </w:r>
    </w:p>
    <w:p w:rsidR="00B64BE7" w:rsidRPr="00F92278" w:rsidRDefault="00B64BE7" w:rsidP="00F92278">
      <w:pPr>
        <w:pStyle w:val="31"/>
        <w:numPr>
          <w:ilvl w:val="0"/>
          <w:numId w:val="14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подбор математической модели для описания регулярной составляющей и проверка ее адекватности;</w:t>
      </w:r>
    </w:p>
    <w:p w:rsidR="00B64BE7" w:rsidRPr="00F92278" w:rsidRDefault="00B64BE7" w:rsidP="00F92278">
      <w:pPr>
        <w:pStyle w:val="31"/>
        <w:numPr>
          <w:ilvl w:val="0"/>
          <w:numId w:val="14"/>
        </w:numPr>
        <w:tabs>
          <w:tab w:val="left" w:pos="900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прогнозирование будущих значений ряда.</w:t>
      </w:r>
    </w:p>
    <w:p w:rsidR="00AC4881" w:rsidRPr="00F92278" w:rsidRDefault="00AC4881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0971A8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Таблица 3.1</w: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Таможенные платежи, взимаемые </w:t>
      </w:r>
      <w:r w:rsidR="00AA10F7" w:rsidRPr="00F92278">
        <w:rPr>
          <w:sz w:val="28"/>
          <w:szCs w:val="28"/>
        </w:rPr>
        <w:t>таможнями ДВТУ</w:t>
      </w:r>
      <w:r w:rsidR="00B64BE7" w:rsidRPr="00F92278">
        <w:rPr>
          <w:sz w:val="28"/>
          <w:szCs w:val="28"/>
        </w:rPr>
        <w:t xml:space="preserve"> </w:t>
      </w:r>
      <w:r w:rsidR="00AA10F7" w:rsidRPr="00F92278">
        <w:rPr>
          <w:sz w:val="28"/>
          <w:szCs w:val="28"/>
        </w:rPr>
        <w:br/>
      </w:r>
      <w:r w:rsidR="00B64BE7" w:rsidRPr="00F92278">
        <w:rPr>
          <w:sz w:val="28"/>
          <w:szCs w:val="28"/>
        </w:rPr>
        <w:t xml:space="preserve">помесячно </w:t>
      </w:r>
      <w:r w:rsidR="003F7D37" w:rsidRPr="00F92278">
        <w:rPr>
          <w:sz w:val="28"/>
          <w:szCs w:val="28"/>
        </w:rPr>
        <w:t>за январь-сентябрь</w:t>
      </w:r>
      <w:r w:rsidR="00AA10F7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2010</w:t>
      </w:r>
      <w:r w:rsidR="00B64BE7" w:rsidRPr="00F92278">
        <w:rPr>
          <w:sz w:val="28"/>
          <w:szCs w:val="28"/>
        </w:rPr>
        <w:t xml:space="preserve"> г</w:t>
      </w:r>
      <w:r w:rsidR="008876FA" w:rsidRPr="00F92278">
        <w:rPr>
          <w:sz w:val="28"/>
          <w:szCs w:val="28"/>
        </w:rPr>
        <w:t>ода</w:t>
      </w:r>
    </w:p>
    <w:tbl>
      <w:tblPr>
        <w:tblW w:w="3420" w:type="dxa"/>
        <w:tblInd w:w="345" w:type="dxa"/>
        <w:tblLook w:val="0000" w:firstRow="0" w:lastRow="0" w:firstColumn="0" w:lastColumn="0" w:noHBand="0" w:noVBand="0"/>
      </w:tblPr>
      <w:tblGrid>
        <w:gridCol w:w="1440"/>
        <w:gridCol w:w="1980"/>
      </w:tblGrid>
      <w:tr w:rsidR="003F7D37" w:rsidRPr="00F92278">
        <w:trPr>
          <w:trHeight w:val="35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Месяц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Платежи, тыс.руб.</w:t>
            </w:r>
          </w:p>
        </w:tc>
      </w:tr>
      <w:tr w:rsidR="003F7D37" w:rsidRPr="00F92278">
        <w:trPr>
          <w:trHeight w:val="352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8 138,73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Февраль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6 733,59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8 510,48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9 093,79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7 523,76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Июнь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9 509,16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Июль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10 195,15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10 069,73</w:t>
            </w:r>
          </w:p>
        </w:tc>
      </w:tr>
      <w:tr w:rsidR="003F7D37" w:rsidRPr="00F92278">
        <w:trPr>
          <w:trHeight w:val="3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14 226,84</w:t>
            </w:r>
          </w:p>
        </w:tc>
      </w:tr>
      <w:tr w:rsidR="003F7D37" w:rsidRPr="00F92278">
        <w:trPr>
          <w:trHeight w:val="35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F7D37" w:rsidRPr="00F92278" w:rsidRDefault="003F7D3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84 001,22</w:t>
            </w:r>
          </w:p>
        </w:tc>
      </w:tr>
    </w:tbl>
    <w:p w:rsidR="00AC4881" w:rsidRPr="00F92278" w:rsidRDefault="00AC4881" w:rsidP="0070224A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B64BE7" w:rsidRPr="00F92278" w:rsidRDefault="000971A8" w:rsidP="00F9227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таблице 3.1</w:t>
      </w:r>
      <w:r w:rsidR="00B64BE7" w:rsidRPr="00F92278">
        <w:rPr>
          <w:sz w:val="28"/>
          <w:szCs w:val="28"/>
        </w:rPr>
        <w:t xml:space="preserve"> представлены данные о суммах таможенных платежей перечисляемых </w:t>
      </w:r>
      <w:r w:rsidR="00603C27" w:rsidRPr="00F92278">
        <w:rPr>
          <w:sz w:val="28"/>
          <w:szCs w:val="28"/>
        </w:rPr>
        <w:t>таможнями ДВТУ</w:t>
      </w:r>
      <w:r w:rsidR="00B64BE7" w:rsidRPr="00F92278">
        <w:rPr>
          <w:sz w:val="28"/>
          <w:szCs w:val="28"/>
        </w:rPr>
        <w:t xml:space="preserve"> за январь-</w:t>
      </w:r>
      <w:r w:rsidR="003F7D37" w:rsidRPr="00F92278">
        <w:rPr>
          <w:sz w:val="28"/>
          <w:szCs w:val="28"/>
        </w:rPr>
        <w:t>сентябрь</w:t>
      </w:r>
      <w:r w:rsidRPr="00F92278">
        <w:rPr>
          <w:sz w:val="28"/>
          <w:szCs w:val="28"/>
        </w:rPr>
        <w:t xml:space="preserve"> 2010</w:t>
      </w:r>
      <w:r w:rsidR="00603C27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г. Из графика на рисунке </w:t>
      </w:r>
      <w:r w:rsidRPr="00F92278">
        <w:rPr>
          <w:sz w:val="28"/>
          <w:szCs w:val="28"/>
        </w:rPr>
        <w:t>3.1</w:t>
      </w:r>
      <w:r w:rsidR="00B64BE7" w:rsidRPr="00F92278">
        <w:rPr>
          <w:sz w:val="28"/>
          <w:szCs w:val="28"/>
        </w:rPr>
        <w:t xml:space="preserve">, построенного по этим данным, хорошо видно, что объем </w:t>
      </w:r>
      <w:r w:rsidR="00965F74" w:rsidRPr="00F92278">
        <w:rPr>
          <w:sz w:val="28"/>
          <w:szCs w:val="28"/>
        </w:rPr>
        <w:t>таможенных платежей имеет</w:t>
      </w:r>
      <w:r w:rsidR="00B64BE7" w:rsidRPr="00F92278">
        <w:rPr>
          <w:sz w:val="28"/>
          <w:szCs w:val="28"/>
        </w:rPr>
        <w:t xml:space="preserve"> во времени возрастающий</w:t>
      </w:r>
      <w:r w:rsidR="00965F74" w:rsidRPr="00F92278">
        <w:rPr>
          <w:sz w:val="28"/>
          <w:szCs w:val="28"/>
        </w:rPr>
        <w:t xml:space="preserve"> тренд</w:t>
      </w:r>
      <w:r w:rsidR="00B64BE7" w:rsidRPr="00F92278">
        <w:rPr>
          <w:sz w:val="28"/>
          <w:szCs w:val="28"/>
        </w:rPr>
        <w:t>.</w:t>
      </w:r>
      <w:r w:rsidR="00F92278">
        <w:rPr>
          <w:sz w:val="28"/>
          <w:szCs w:val="28"/>
        </w:rPr>
        <w:t xml:space="preserve"> </w:t>
      </w:r>
    </w:p>
    <w:p w:rsidR="00B64BE7" w:rsidRPr="00F92278" w:rsidRDefault="00B64BE7" w:rsidP="00F9227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После того как установлено наличие тенденции роста, необходимо подобрать уравнение тренда. В нашем случае речь идет о линейном тренде, который описывается следующим уравнением прямой: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63.75pt;height:20.25pt" fillcolor="window">
            <v:imagedata r:id="rId14" o:title=""/>
          </v:shape>
        </w:pict>
      </w:r>
      <w:r w:rsidR="00B64BE7" w:rsidRPr="00F92278">
        <w:rPr>
          <w:sz w:val="28"/>
          <w:szCs w:val="28"/>
        </w:rPr>
        <w:t xml:space="preserve"> ,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где </w:t>
      </w:r>
      <w:r w:rsidR="004C14D7">
        <w:rPr>
          <w:position w:val="-12"/>
          <w:sz w:val="28"/>
          <w:szCs w:val="28"/>
        </w:rPr>
        <w:pict>
          <v:shape id="_x0000_i1033" type="#_x0000_t75" style="width:15pt;height:20.25pt" fillcolor="window">
            <v:imagedata r:id="rId15" o:title=""/>
          </v:shape>
        </w:pict>
      </w:r>
      <w:r w:rsidRPr="00F92278">
        <w:rPr>
          <w:sz w:val="28"/>
          <w:szCs w:val="28"/>
        </w:rPr>
        <w:t xml:space="preserve"> – сглаженные (расчетные) уровни исходного временного ряда;</w: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k</w:t>
      </w:r>
      <w:r w:rsidRPr="00F92278">
        <w:rPr>
          <w:sz w:val="28"/>
          <w:szCs w:val="28"/>
        </w:rPr>
        <w:t xml:space="preserve">, </w:t>
      </w:r>
      <w:r w:rsidRPr="00F92278">
        <w:rPr>
          <w:i/>
          <w:iCs/>
          <w:sz w:val="28"/>
          <w:szCs w:val="28"/>
        </w:rPr>
        <w:t>b</w:t>
      </w:r>
      <w:r w:rsidRPr="00F92278">
        <w:rPr>
          <w:sz w:val="28"/>
          <w:szCs w:val="28"/>
        </w:rPr>
        <w:t xml:space="preserve"> – подлежащие определению зависимые переменные уравнения прямой;</w: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t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– независимая переменная (время).</w:t>
      </w:r>
    </w:p>
    <w:p w:rsidR="00B64BE7" w:rsidRDefault="00B64BE7" w:rsidP="00F92278">
      <w:pPr>
        <w:pStyle w:val="31"/>
        <w:spacing w:after="0" w:line="360" w:lineRule="auto"/>
        <w:ind w:left="0" w:firstLine="540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Зависимые переменные в уравнении определяются по методу наименьших квадратов из системы уравнений:</w:t>
      </w:r>
    </w:p>
    <w:p w:rsidR="00F92278" w:rsidRPr="00F92278" w:rsidRDefault="00F92278" w:rsidP="0070224A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4" type="#_x0000_t75" style="width:138pt;height:44.25pt" fillcolor="window">
            <v:imagedata r:id="rId16" o:title=""/>
          </v:shape>
        </w:pict>
      </w:r>
      <w:r w:rsidR="00B64BE7" w:rsidRPr="00F92278">
        <w:rPr>
          <w:sz w:val="28"/>
          <w:szCs w:val="28"/>
        </w:rPr>
        <w:t>,</w:t>
      </w:r>
    </w:p>
    <w:p w:rsidR="00B64BE7" w:rsidRPr="00F92278" w:rsidRDefault="00B64BE7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где </w:t>
      </w:r>
      <w:r w:rsidRPr="00F92278">
        <w:rPr>
          <w:i/>
          <w:iCs/>
          <w:sz w:val="28"/>
          <w:szCs w:val="28"/>
        </w:rPr>
        <w:t>Q</w:t>
      </w:r>
      <w:r w:rsidRPr="00F92278">
        <w:rPr>
          <w:i/>
          <w:iCs/>
          <w:sz w:val="28"/>
          <w:szCs w:val="28"/>
          <w:vertAlign w:val="subscript"/>
        </w:rPr>
        <w:t>t</w:t>
      </w:r>
      <w:r w:rsidR="00B25746" w:rsidRPr="00F92278">
        <w:rPr>
          <w:sz w:val="28"/>
          <w:szCs w:val="28"/>
        </w:rPr>
        <w:t xml:space="preserve"> – уровни исходного </w:t>
      </w:r>
      <w:r w:rsidRPr="00F92278">
        <w:rPr>
          <w:sz w:val="28"/>
          <w:szCs w:val="28"/>
        </w:rPr>
        <w:t xml:space="preserve">ряда; </w: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92278">
        <w:rPr>
          <w:i/>
          <w:iCs/>
          <w:sz w:val="28"/>
          <w:szCs w:val="28"/>
        </w:rPr>
        <w:t>t</w:t>
      </w:r>
      <w:r w:rsidR="00F92278">
        <w:rPr>
          <w:i/>
          <w:iCs/>
          <w:sz w:val="28"/>
          <w:szCs w:val="28"/>
        </w:rPr>
        <w:t xml:space="preserve"> </w:t>
      </w:r>
      <w:r w:rsidRPr="00F92278">
        <w:rPr>
          <w:sz w:val="28"/>
          <w:szCs w:val="28"/>
        </w:rPr>
        <w:t>–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независимая переменная (время);</w:t>
      </w:r>
    </w:p>
    <w:p w:rsidR="00B64BE7" w:rsidRP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n</w:t>
      </w:r>
      <w:r w:rsidR="00F92278">
        <w:rPr>
          <w:i/>
          <w:iCs/>
          <w:sz w:val="28"/>
          <w:szCs w:val="28"/>
        </w:rPr>
        <w:t xml:space="preserve"> </w:t>
      </w:r>
      <w:r w:rsidRPr="00F92278">
        <w:rPr>
          <w:sz w:val="28"/>
          <w:szCs w:val="28"/>
        </w:rPr>
        <w:t>– число уровней ряда.</w:t>
      </w:r>
    </w:p>
    <w:p w:rsidR="00B64BE7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Решение системы относительно искомых параметров: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141.75pt;height:39.75pt" fillcolor="window">
            <v:imagedata r:id="rId17" o:title=""/>
          </v:shape>
        </w:pict>
      </w:r>
      <w:r w:rsid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и</w:t>
      </w:r>
      <w:r w:rsidR="00F92278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036" type="#_x0000_t75" style="width:123.75pt;height:39pt" fillcolor="window">
            <v:imagedata r:id="rId18" o:title=""/>
          </v:shape>
        </w:pict>
      </w:r>
      <w:r w:rsidR="00F92278">
        <w:rPr>
          <w:sz w:val="28"/>
          <w:szCs w:val="28"/>
        </w:rPr>
        <w:t xml:space="preserve"> </w:t>
      </w:r>
    </w:p>
    <w:p w:rsidR="00F92278" w:rsidRDefault="00F92278" w:rsidP="0070224A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B64BE7" w:rsidRDefault="00B64BE7" w:rsidP="00F92278">
      <w:pPr>
        <w:pStyle w:val="31"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F92278">
        <w:rPr>
          <w:sz w:val="28"/>
          <w:szCs w:val="28"/>
        </w:rPr>
        <w:t xml:space="preserve">Упрощенный вариант расчета параметров уравнения заключается в переносе начала координат в середину ряда. При этом упрощаются сами нормальные уравнения, кроме того, уменьшаются абсолютные значения величин, участвующих в расчете. При </w:t>
      </w:r>
      <w:r w:rsidR="003F7D37" w:rsidRPr="00F92278">
        <w:rPr>
          <w:sz w:val="28"/>
          <w:szCs w:val="28"/>
        </w:rPr>
        <w:t>не</w:t>
      </w:r>
      <w:r w:rsidRPr="00F92278">
        <w:rPr>
          <w:sz w:val="28"/>
          <w:szCs w:val="28"/>
        </w:rPr>
        <w:t>четном числе уровней ряда такое преобразование</w:t>
      </w:r>
      <w:r w:rsidR="00F92278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производится следующим образом: t =</w:t>
      </w:r>
      <w:r w:rsidR="000143DA" w:rsidRPr="00F92278">
        <w:rPr>
          <w:sz w:val="28"/>
          <w:szCs w:val="28"/>
        </w:rPr>
        <w:t xml:space="preserve"> -4, -3</w:t>
      </w:r>
      <w:r w:rsidRPr="00F92278">
        <w:rPr>
          <w:sz w:val="28"/>
          <w:szCs w:val="28"/>
        </w:rPr>
        <w:t>,</w:t>
      </w:r>
      <w:r w:rsidR="000143DA" w:rsidRPr="00F92278">
        <w:rPr>
          <w:sz w:val="28"/>
          <w:szCs w:val="28"/>
        </w:rPr>
        <w:t xml:space="preserve"> -2</w:t>
      </w:r>
      <w:r w:rsidRPr="00F92278">
        <w:rPr>
          <w:sz w:val="28"/>
          <w:szCs w:val="28"/>
        </w:rPr>
        <w:t xml:space="preserve">, -1, </w:t>
      </w:r>
      <w:r w:rsidR="000143DA" w:rsidRPr="00F92278">
        <w:rPr>
          <w:sz w:val="28"/>
          <w:szCs w:val="28"/>
        </w:rPr>
        <w:t xml:space="preserve">0, </w:t>
      </w:r>
      <w:r w:rsidRPr="00F92278">
        <w:rPr>
          <w:sz w:val="28"/>
          <w:szCs w:val="28"/>
        </w:rPr>
        <w:t xml:space="preserve">1, </w:t>
      </w:r>
      <w:r w:rsidR="000143DA" w:rsidRPr="00F92278">
        <w:rPr>
          <w:sz w:val="28"/>
          <w:szCs w:val="28"/>
        </w:rPr>
        <w:t>2</w:t>
      </w:r>
      <w:r w:rsidRPr="00F92278">
        <w:rPr>
          <w:sz w:val="28"/>
          <w:szCs w:val="28"/>
        </w:rPr>
        <w:t xml:space="preserve">, </w:t>
      </w:r>
      <w:r w:rsidR="000143DA" w:rsidRPr="00F92278">
        <w:rPr>
          <w:sz w:val="28"/>
          <w:szCs w:val="28"/>
        </w:rPr>
        <w:t>3</w:t>
      </w:r>
      <w:r w:rsidRPr="00F92278">
        <w:rPr>
          <w:sz w:val="28"/>
          <w:szCs w:val="28"/>
        </w:rPr>
        <w:t>,</w:t>
      </w:r>
      <w:r w:rsidR="000143DA" w:rsidRPr="00F92278">
        <w:rPr>
          <w:sz w:val="28"/>
          <w:szCs w:val="28"/>
        </w:rPr>
        <w:t xml:space="preserve"> 4</w:t>
      </w:r>
      <w:r w:rsidRPr="00F92278">
        <w:rPr>
          <w:sz w:val="28"/>
          <w:szCs w:val="28"/>
        </w:rPr>
        <w:t>.</w:t>
      </w:r>
      <w:r w:rsidR="00F92278" w:rsidRP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Тогда</w:t>
      </w:r>
      <w:r w:rsidR="00F92278" w:rsidRPr="00F92278">
        <w:rPr>
          <w:sz w:val="28"/>
          <w:szCs w:val="28"/>
        </w:rPr>
        <w:t xml:space="preserve"> </w:t>
      </w:r>
      <w:r w:rsidR="004C14D7">
        <w:rPr>
          <w:position w:val="-14"/>
          <w:sz w:val="28"/>
          <w:szCs w:val="28"/>
        </w:rPr>
        <w:pict>
          <v:shape id="_x0000_i1037" type="#_x0000_t75" style="width:39.75pt;height:20.25pt" fillcolor="window">
            <v:imagedata r:id="rId19" o:title=""/>
          </v:shape>
        </w:pict>
      </w:r>
      <w:r w:rsidRPr="00F92278">
        <w:rPr>
          <w:snapToGrid w:val="0"/>
          <w:sz w:val="28"/>
          <w:szCs w:val="28"/>
        </w:rPr>
        <w:t xml:space="preserve"> и система уравнений будет иметь вид:</w:t>
      </w:r>
    </w:p>
    <w:p w:rsidR="00F92278" w:rsidRPr="00F92278" w:rsidRDefault="00F92278" w:rsidP="0070224A">
      <w:pPr>
        <w:pStyle w:val="31"/>
        <w:spacing w:after="0" w:line="360" w:lineRule="auto"/>
        <w:jc w:val="both"/>
        <w:rPr>
          <w:sz w:val="28"/>
          <w:szCs w:val="28"/>
        </w:rPr>
      </w:pPr>
    </w:p>
    <w:p w:rsid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8" type="#_x0000_t75" style="width:96.75pt;height:44.25pt" fillcolor="window">
            <v:imagedata r:id="rId20" o:title=""/>
          </v:shape>
        </w:pict>
      </w:r>
      <w:r w:rsidR="00B64BE7" w:rsidRPr="00F92278">
        <w:rPr>
          <w:sz w:val="28"/>
          <w:szCs w:val="28"/>
        </w:rPr>
        <w:t xml:space="preserve">, откуда </w:t>
      </w:r>
      <w:r>
        <w:rPr>
          <w:position w:val="-24"/>
          <w:sz w:val="28"/>
          <w:szCs w:val="28"/>
        </w:rPr>
        <w:pict>
          <v:shape id="_x0000_i1039" type="#_x0000_t75" style="width:159.75pt;height:33.75pt" fillcolor="window">
            <v:imagedata r:id="rId21" o:title=""/>
          </v:shape>
        </w:pict>
      </w:r>
      <w:r w:rsidR="00B64BE7" w:rsidRPr="00F92278">
        <w:rPr>
          <w:sz w:val="28"/>
          <w:szCs w:val="28"/>
        </w:rPr>
        <w:t xml:space="preserve"> и</w:t>
      </w:r>
    </w:p>
    <w:p w:rsidR="00B64BE7" w:rsidRPr="00F92278" w:rsidRDefault="004C14D7" w:rsidP="00F92278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0" type="#_x0000_t75" style="width:165.75pt;height:39pt" fillcolor="window">
            <v:imagedata r:id="rId22" o:title=""/>
          </v:shape>
        </w:pict>
      </w:r>
      <w:r w:rsidR="00B64BE7" w:rsidRPr="00F92278">
        <w:rPr>
          <w:sz w:val="28"/>
          <w:szCs w:val="28"/>
        </w:rPr>
        <w:t>.</w:t>
      </w:r>
    </w:p>
    <w:p w:rsid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F92278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На основе рассчитанных коэффициентов получим искомое уравнение </w:t>
      </w:r>
      <w:r w:rsidR="004C14D7">
        <w:rPr>
          <w:position w:val="-12"/>
          <w:sz w:val="28"/>
          <w:szCs w:val="28"/>
        </w:rPr>
        <w:pict>
          <v:shape id="_x0000_i1041" type="#_x0000_t75" style="width:122.25pt;height:20.25pt" fillcolor="window">
            <v:imagedata r:id="rId23" o:title=""/>
          </v:shape>
        </w:pict>
      </w:r>
      <w:r w:rsidRPr="00F92278">
        <w:rPr>
          <w:sz w:val="28"/>
          <w:szCs w:val="28"/>
        </w:rPr>
        <w:t xml:space="preserve"> и рассчитаем прогноз показателей таможенных платежей до конца текущего года (</w:t>
      </w:r>
      <w:r w:rsidR="000143DA" w:rsidRPr="00F92278">
        <w:rPr>
          <w:sz w:val="28"/>
          <w:szCs w:val="28"/>
        </w:rPr>
        <w:t>октябрь</w:t>
      </w:r>
      <w:r w:rsidRPr="00F92278">
        <w:rPr>
          <w:sz w:val="28"/>
          <w:szCs w:val="28"/>
        </w:rPr>
        <w:t xml:space="preserve"> – декабрь).</w:t>
      </w:r>
    </w:p>
    <w:p w:rsidR="00B64BE7" w:rsidRPr="00F92278" w:rsidRDefault="00F92278" w:rsidP="00F922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71A8" w:rsidRPr="00F92278">
        <w:rPr>
          <w:sz w:val="28"/>
          <w:szCs w:val="28"/>
        </w:rPr>
        <w:t>Таблица 3.2</w:t>
      </w:r>
      <w:r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 xml:space="preserve">Расчет прогноза таможенных платежей, взимаемых </w:t>
      </w:r>
      <w:r w:rsidR="000143DA" w:rsidRPr="00F92278">
        <w:rPr>
          <w:sz w:val="28"/>
          <w:szCs w:val="28"/>
        </w:rPr>
        <w:t>таможнями ДВТУ</w:t>
      </w:r>
      <w:r w:rsidR="00B64BE7" w:rsidRPr="00F92278">
        <w:rPr>
          <w:sz w:val="28"/>
          <w:szCs w:val="28"/>
        </w:rPr>
        <w:t xml:space="preserve">, на </w:t>
      </w:r>
      <w:r w:rsidR="004D1213" w:rsidRPr="00F92278">
        <w:rPr>
          <w:sz w:val="28"/>
          <w:szCs w:val="28"/>
        </w:rPr>
        <w:t xml:space="preserve">октябрь, </w:t>
      </w:r>
      <w:r w:rsidR="00B64BE7" w:rsidRPr="00F92278">
        <w:rPr>
          <w:sz w:val="28"/>
          <w:szCs w:val="28"/>
        </w:rPr>
        <w:t xml:space="preserve">ноябрь и декабрь по имеющимся данным </w:t>
      </w:r>
      <w:r w:rsidR="004D1213" w:rsidRPr="00F92278">
        <w:rPr>
          <w:sz w:val="28"/>
          <w:szCs w:val="28"/>
        </w:rPr>
        <w:t>9</w:t>
      </w:r>
      <w:r w:rsidR="000971A8" w:rsidRPr="00F92278">
        <w:rPr>
          <w:sz w:val="28"/>
          <w:szCs w:val="28"/>
        </w:rPr>
        <w:t xml:space="preserve"> предыдущих месяцев 2010</w:t>
      </w:r>
      <w:r w:rsidR="004D1213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г</w:t>
      </w:r>
      <w:r w:rsidR="004D1213" w:rsidRPr="00F92278">
        <w:rPr>
          <w:sz w:val="28"/>
          <w:szCs w:val="28"/>
        </w:rPr>
        <w:t>ода</w:t>
      </w:r>
      <w:r w:rsidR="00B64BE7" w:rsidRPr="00F92278">
        <w:rPr>
          <w:sz w:val="28"/>
          <w:szCs w:val="28"/>
        </w:rPr>
        <w:t xml:space="preserve"> методом аналит</w:t>
      </w:r>
      <w:r w:rsidR="00AA10F7" w:rsidRPr="00F92278">
        <w:rPr>
          <w:sz w:val="28"/>
          <w:szCs w:val="28"/>
        </w:rPr>
        <w:t>ического выравнивания по прямой</w:t>
      </w:r>
    </w:p>
    <w:tbl>
      <w:tblPr>
        <w:tblW w:w="4676" w:type="pct"/>
        <w:jc w:val="center"/>
        <w:tblLook w:val="0000" w:firstRow="0" w:lastRow="0" w:firstColumn="0" w:lastColumn="0" w:noHBand="0" w:noVBand="0"/>
      </w:tblPr>
      <w:tblGrid>
        <w:gridCol w:w="1018"/>
        <w:gridCol w:w="2149"/>
        <w:gridCol w:w="1637"/>
        <w:gridCol w:w="1164"/>
        <w:gridCol w:w="1525"/>
        <w:gridCol w:w="1457"/>
      </w:tblGrid>
      <w:tr w:rsidR="00F92278" w:rsidRPr="00F92278">
        <w:trPr>
          <w:trHeight w:val="557"/>
          <w:jc w:val="center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Месяц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Платежи, тыс.руб., Qt</w:t>
            </w:r>
          </w:p>
        </w:tc>
        <w:tc>
          <w:tcPr>
            <w:tcW w:w="92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C14D7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2pt;height:15.75pt" fillcolor="window">
                  <v:imagedata r:id="rId24" o:title=""/>
                </v:shape>
              </w:pict>
            </w:r>
            <w:r w:rsidR="00B64BE7" w:rsidRPr="00F92278">
              <w:rPr>
                <w:sz w:val="20"/>
                <w:szCs w:val="20"/>
              </w:rPr>
              <w:t>, (время)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C14D7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2pt;height:15.75pt" fillcolor="window">
                  <v:imagedata r:id="rId25" o:title=""/>
                </v:shape>
              </w:pic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 xml:space="preserve">Qt </w:t>
            </w:r>
            <w:r w:rsidR="004C14D7">
              <w:rPr>
                <w:sz w:val="20"/>
                <w:szCs w:val="20"/>
              </w:rPr>
              <w:pict>
                <v:shape id="_x0000_i1044" type="#_x0000_t75" style="width:12pt;height:15.75pt" fillcolor="window">
                  <v:imagedata r:id="rId24" o:title=""/>
                </v:shape>
              </w:pic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4C14D7" w:rsidP="00F922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5pt;height:20.25pt">
                  <v:imagedata r:id="rId26" o:title=""/>
                </v:shape>
              </w:pic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Январь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8 138,73</w:t>
            </w:r>
          </w:p>
        </w:tc>
        <w:tc>
          <w:tcPr>
            <w:tcW w:w="9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-4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16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-32554,92</w: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6790,43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Февраль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6 733,59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-20200,77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7426,19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Март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</w:t>
            </w:r>
            <w:r w:rsidR="000971A8" w:rsidRPr="00F92278">
              <w:rPr>
                <w:sz w:val="20"/>
                <w:szCs w:val="20"/>
              </w:rPr>
              <w:t> </w:t>
            </w:r>
            <w:r w:rsidRPr="00F92278">
              <w:rPr>
                <w:sz w:val="20"/>
                <w:szCs w:val="20"/>
              </w:rPr>
              <w:t>510,48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-17020,96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8061,95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Апрель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9 093,79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-9093,79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8697,71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Май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7 523,76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9333,47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Июнь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9 509,16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9509,16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9969,23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Июль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10 195,15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20390,30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10604,99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Август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10 069,73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30209,19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11240,75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Сентябрь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14 226,84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56907,36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D1213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11876,51</w:t>
            </w:r>
          </w:p>
        </w:tc>
      </w:tr>
      <w:tr w:rsidR="00F92278" w:rsidRPr="00F92278">
        <w:trPr>
          <w:trHeight w:val="286"/>
          <w:jc w:val="center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Октябрь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9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12512,27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Ноябрь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13148,03</w:t>
            </w:r>
          </w:p>
        </w:tc>
      </w:tr>
      <w:tr w:rsidR="00F92278" w:rsidRPr="00F92278">
        <w:trPr>
          <w:trHeight w:val="270"/>
          <w:jc w:val="center"/>
        </w:trPr>
        <w:tc>
          <w:tcPr>
            <w:tcW w:w="5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Декабрь</w:t>
            </w:r>
          </w:p>
        </w:tc>
        <w:tc>
          <w:tcPr>
            <w:tcW w:w="120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9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8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13783,79</w:t>
            </w:r>
          </w:p>
        </w:tc>
      </w:tr>
      <w:tr w:rsidR="00F92278" w:rsidRPr="00F92278">
        <w:trPr>
          <w:trHeight w:val="286"/>
          <w:jc w:val="center"/>
        </w:trPr>
        <w:tc>
          <w:tcPr>
            <w:tcW w:w="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ИТОГО: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84 001,22</w:t>
            </w:r>
          </w:p>
        </w:tc>
        <w:tc>
          <w:tcPr>
            <w:tcW w:w="92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B64BE7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-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60,00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38 145,57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64BE7" w:rsidRPr="00F92278" w:rsidRDefault="004D1213" w:rsidP="00F92278">
            <w:pPr>
              <w:spacing w:line="360" w:lineRule="auto"/>
              <w:rPr>
                <w:sz w:val="20"/>
                <w:szCs w:val="20"/>
              </w:rPr>
            </w:pPr>
            <w:r w:rsidRPr="00F92278">
              <w:rPr>
                <w:sz w:val="20"/>
                <w:szCs w:val="20"/>
              </w:rPr>
              <w:t>123445,3</w:t>
            </w:r>
          </w:p>
        </w:tc>
      </w:tr>
    </w:tbl>
    <w:p w:rsidR="004D1213" w:rsidRPr="00F92278" w:rsidRDefault="004D1213" w:rsidP="0070224A">
      <w:pPr>
        <w:spacing w:line="360" w:lineRule="auto"/>
        <w:jc w:val="both"/>
        <w:rPr>
          <w:sz w:val="28"/>
          <w:szCs w:val="28"/>
        </w:rPr>
      </w:pPr>
    </w:p>
    <w:p w:rsidR="00B64BE7" w:rsidRDefault="00B64BE7" w:rsidP="00F92278">
      <w:pPr>
        <w:spacing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На рис</w:t>
      </w:r>
      <w:r w:rsidR="000971A8" w:rsidRPr="00F92278">
        <w:rPr>
          <w:sz w:val="28"/>
          <w:szCs w:val="28"/>
        </w:rPr>
        <w:t>унке 3.1</w:t>
      </w:r>
      <w:r w:rsidR="004D1213" w:rsidRPr="00F92278">
        <w:rPr>
          <w:sz w:val="28"/>
          <w:szCs w:val="28"/>
        </w:rPr>
        <w:t xml:space="preserve"> для исходного временного ряда </w:t>
      </w:r>
      <w:r w:rsidRPr="00F92278">
        <w:rPr>
          <w:sz w:val="28"/>
          <w:szCs w:val="28"/>
        </w:rPr>
        <w:t>приведен линейный тренд, его уравнение и коэффициент детерминации.</w:t>
      </w:r>
    </w:p>
    <w:p w:rsidR="00F92278" w:rsidRPr="00F92278" w:rsidRDefault="00F92278" w:rsidP="0070224A">
      <w:pPr>
        <w:spacing w:line="360" w:lineRule="auto"/>
        <w:jc w:val="both"/>
        <w:rPr>
          <w:sz w:val="28"/>
          <w:szCs w:val="28"/>
        </w:rPr>
      </w:pPr>
    </w:p>
    <w:p w:rsidR="001B0781" w:rsidRPr="00F92278" w:rsidRDefault="004C14D7" w:rsidP="00F92278">
      <w:pPr>
        <w:pStyle w:val="31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05pt;height:3in">
            <v:imagedata r:id="rId27" o:title=""/>
          </v:shape>
        </w:pict>
      </w:r>
    </w:p>
    <w:p w:rsidR="00B64BE7" w:rsidRPr="00F92278" w:rsidRDefault="00F92278" w:rsidP="00F9227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011166" w:rsidRPr="00F92278">
        <w:rPr>
          <w:sz w:val="28"/>
          <w:szCs w:val="28"/>
        </w:rPr>
        <w:t>3.1</w:t>
      </w:r>
      <w:r w:rsidR="007C01AD" w:rsidRPr="00F92278">
        <w:rPr>
          <w:sz w:val="28"/>
          <w:szCs w:val="28"/>
        </w:rPr>
        <w:t>.</w:t>
      </w:r>
      <w:r w:rsidR="001B0781" w:rsidRPr="00F92278">
        <w:rPr>
          <w:sz w:val="28"/>
          <w:szCs w:val="28"/>
        </w:rPr>
        <w:t xml:space="preserve"> Динамика таможенных платежей в</w:t>
      </w:r>
      <w:r w:rsidR="00B64BE7" w:rsidRPr="00F92278">
        <w:rPr>
          <w:sz w:val="28"/>
          <w:szCs w:val="28"/>
        </w:rPr>
        <w:t xml:space="preserve"> </w:t>
      </w:r>
      <w:r w:rsidR="001B0781" w:rsidRPr="00F92278">
        <w:rPr>
          <w:sz w:val="28"/>
          <w:szCs w:val="28"/>
        </w:rPr>
        <w:t>ДВТУ за</w:t>
      </w:r>
      <w:r w:rsidR="00B64BE7" w:rsidRPr="00F92278">
        <w:rPr>
          <w:sz w:val="28"/>
          <w:szCs w:val="28"/>
        </w:rPr>
        <w:t xml:space="preserve"> </w:t>
      </w:r>
      <w:r w:rsidR="0070224A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январь-</w:t>
      </w:r>
      <w:r w:rsidR="004D1213" w:rsidRPr="00F92278">
        <w:rPr>
          <w:sz w:val="28"/>
          <w:szCs w:val="28"/>
        </w:rPr>
        <w:t>сентябрь</w:t>
      </w:r>
      <w:r w:rsidR="00011166" w:rsidRPr="00F92278">
        <w:rPr>
          <w:sz w:val="28"/>
          <w:szCs w:val="28"/>
        </w:rPr>
        <w:t xml:space="preserve"> 2010</w:t>
      </w:r>
      <w:r w:rsidR="001B0781" w:rsidRPr="00F92278">
        <w:rPr>
          <w:sz w:val="28"/>
          <w:szCs w:val="28"/>
        </w:rPr>
        <w:t xml:space="preserve"> </w:t>
      </w:r>
      <w:r w:rsidR="00B64BE7" w:rsidRPr="00F92278">
        <w:rPr>
          <w:sz w:val="28"/>
          <w:szCs w:val="28"/>
        </w:rPr>
        <w:t>г.</w:t>
      </w:r>
    </w:p>
    <w:p w:rsidR="00B64BE7" w:rsidRPr="00F92278" w:rsidRDefault="00B64BE7" w:rsidP="00F92278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Очевидно, что значения составляющих временного ряда находятся в зависимости от последовательности и методов их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выделения. </w:t>
      </w:r>
    </w:p>
    <w:p w:rsidR="00B64BE7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Если выбранная для прогнозирования кривая не является единственной для описания тенденции, то для каждого уравнения тренда рассчитывается коэффициент детерминации (R</w:t>
      </w:r>
      <w:r w:rsidRPr="00F92278">
        <w:rPr>
          <w:sz w:val="28"/>
          <w:szCs w:val="28"/>
          <w:vertAlign w:val="superscript"/>
        </w:rPr>
        <w:t>2</w:t>
      </w:r>
      <w:r w:rsidRPr="00F92278">
        <w:rPr>
          <w:sz w:val="28"/>
          <w:szCs w:val="28"/>
        </w:rPr>
        <w:t>), F-критерий Фишера. Чем выше R</w:t>
      </w:r>
      <w:r w:rsidRPr="00F92278">
        <w:rPr>
          <w:sz w:val="28"/>
          <w:szCs w:val="28"/>
          <w:vertAlign w:val="superscript"/>
        </w:rPr>
        <w:t>2</w:t>
      </w:r>
      <w:r w:rsidRPr="00F92278">
        <w:rPr>
          <w:sz w:val="28"/>
          <w:szCs w:val="28"/>
        </w:rPr>
        <w:t>, тем выше вероятность того, что временной ряд описывается данным уравнением тренда. Влияние случайного фактора оценивается как (1- R</w:t>
      </w:r>
      <w:r w:rsidRPr="00F92278">
        <w:rPr>
          <w:sz w:val="28"/>
          <w:szCs w:val="28"/>
          <w:vertAlign w:val="superscript"/>
        </w:rPr>
        <w:t>2</w:t>
      </w:r>
      <w:r w:rsidRPr="00F92278">
        <w:rPr>
          <w:sz w:val="28"/>
          <w:szCs w:val="28"/>
        </w:rPr>
        <w:t>). В нашем примере R</w:t>
      </w:r>
      <w:r w:rsidRPr="00F92278">
        <w:rPr>
          <w:sz w:val="28"/>
          <w:szCs w:val="28"/>
          <w:vertAlign w:val="superscript"/>
        </w:rPr>
        <w:t>2</w:t>
      </w:r>
      <w:r w:rsidR="00F92278">
        <w:rPr>
          <w:sz w:val="28"/>
          <w:szCs w:val="28"/>
          <w:vertAlign w:val="superscript"/>
        </w:rPr>
        <w:t xml:space="preserve"> </w:t>
      </w:r>
      <w:r w:rsidRPr="00F92278">
        <w:rPr>
          <w:sz w:val="28"/>
          <w:szCs w:val="28"/>
        </w:rPr>
        <w:t>для линейного уравнения тренда равен 0,</w:t>
      </w:r>
      <w:r w:rsidR="0019649A" w:rsidRPr="00F92278">
        <w:rPr>
          <w:sz w:val="28"/>
          <w:szCs w:val="28"/>
        </w:rPr>
        <w:t>6474</w:t>
      </w:r>
      <w:r w:rsidR="007C01AD" w:rsidRPr="00F92278">
        <w:rPr>
          <w:sz w:val="28"/>
          <w:szCs w:val="28"/>
        </w:rPr>
        <w:t xml:space="preserve">, т.е. найденное уравнение </w:t>
      </w:r>
      <w:r w:rsidR="00627B3B" w:rsidRPr="00F92278">
        <w:rPr>
          <w:sz w:val="28"/>
          <w:szCs w:val="28"/>
        </w:rPr>
        <w:t xml:space="preserve">регрессии </w:t>
      </w:r>
      <w:r w:rsidR="007C01AD" w:rsidRPr="00F92278">
        <w:rPr>
          <w:sz w:val="28"/>
          <w:szCs w:val="28"/>
        </w:rPr>
        <w:t>объясняет 64,74%</w:t>
      </w:r>
      <w:r w:rsidR="00627B3B" w:rsidRPr="00F92278">
        <w:rPr>
          <w:sz w:val="28"/>
          <w:szCs w:val="28"/>
        </w:rPr>
        <w:t xml:space="preserve"> вариации объема таможенных платежей и 35,26% изменений происходит за счет влияния прочих факторов.</w:t>
      </w:r>
      <w:r w:rsidRPr="00F92278">
        <w:rPr>
          <w:sz w:val="28"/>
          <w:szCs w:val="28"/>
        </w:rPr>
        <w:t xml:space="preserve"> </w:t>
      </w:r>
    </w:p>
    <w:p w:rsidR="00B64BE7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Проверка адекватности всей построенной модели осуществляется с помощью расчета F-критерия Фишера:</w:t>
      </w:r>
    </w:p>
    <w:p w:rsidR="00F92278" w:rsidRPr="00F92278" w:rsidRDefault="00F92278" w:rsidP="0070224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B64BE7" w:rsidRPr="00F92278" w:rsidRDefault="004C14D7" w:rsidP="00F92278">
      <w:pPr>
        <w:pStyle w:val="a3"/>
        <w:spacing w:after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83pt;height:35.25pt">
            <v:imagedata r:id="rId28" o:title=""/>
          </v:shape>
        </w:pict>
      </w:r>
      <w:r w:rsidR="00B64BE7" w:rsidRPr="00F92278">
        <w:rPr>
          <w:sz w:val="28"/>
          <w:szCs w:val="28"/>
        </w:rPr>
        <w:t xml:space="preserve">, где </w:t>
      </w:r>
    </w:p>
    <w:p w:rsidR="00F92278" w:rsidRDefault="00F92278" w:rsidP="0070224A">
      <w:pPr>
        <w:pStyle w:val="a3"/>
        <w:spacing w:after="0" w:line="360" w:lineRule="auto"/>
        <w:jc w:val="both"/>
        <w:rPr>
          <w:i/>
          <w:iCs/>
          <w:sz w:val="28"/>
          <w:szCs w:val="28"/>
        </w:rPr>
      </w:pPr>
    </w:p>
    <w:p w:rsidR="00B64BE7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k</w:t>
      </w:r>
      <w:r w:rsidRPr="00F92278">
        <w:rPr>
          <w:sz w:val="28"/>
          <w:szCs w:val="28"/>
        </w:rPr>
        <w:t xml:space="preserve"> – число факторных признаков в уравнении (для линейной зависимости k=3),</w:t>
      </w:r>
    </w:p>
    <w:p w:rsidR="000A2116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i/>
          <w:iCs/>
          <w:sz w:val="28"/>
          <w:szCs w:val="28"/>
        </w:rPr>
        <w:t>n</w:t>
      </w:r>
      <w:r w:rsidRPr="00F92278">
        <w:rPr>
          <w:sz w:val="28"/>
          <w:szCs w:val="28"/>
        </w:rPr>
        <w:t xml:space="preserve"> – </w:t>
      </w:r>
      <w:r w:rsidR="000A2116" w:rsidRPr="00F92278">
        <w:rPr>
          <w:sz w:val="28"/>
          <w:szCs w:val="28"/>
        </w:rPr>
        <w:t>количество наблюдений.</w:t>
      </w:r>
    </w:p>
    <w:p w:rsidR="00B64BE7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Так как </w:t>
      </w:r>
      <w:r w:rsidRPr="00F92278">
        <w:rPr>
          <w:i/>
          <w:iCs/>
          <w:sz w:val="28"/>
          <w:szCs w:val="28"/>
        </w:rPr>
        <w:t>F</w:t>
      </w:r>
      <w:r w:rsidRPr="00F92278">
        <w:rPr>
          <w:i/>
          <w:iCs/>
          <w:sz w:val="28"/>
          <w:szCs w:val="28"/>
          <w:vertAlign w:val="subscript"/>
        </w:rPr>
        <w:t>расч.</w:t>
      </w:r>
      <w:r w:rsidRPr="00F92278">
        <w:rPr>
          <w:i/>
          <w:iCs/>
          <w:sz w:val="28"/>
          <w:szCs w:val="28"/>
        </w:rPr>
        <w:t>&gt;F</w:t>
      </w:r>
      <w:r w:rsidRPr="00F92278">
        <w:rPr>
          <w:i/>
          <w:iCs/>
          <w:sz w:val="28"/>
          <w:szCs w:val="28"/>
          <w:vertAlign w:val="subscript"/>
        </w:rPr>
        <w:t>табл.</w:t>
      </w:r>
      <w:r w:rsidR="000A2116" w:rsidRPr="00F92278">
        <w:rPr>
          <w:i/>
          <w:iCs/>
          <w:sz w:val="28"/>
          <w:szCs w:val="28"/>
        </w:rPr>
        <w:t xml:space="preserve"> – 5,51</w:t>
      </w:r>
      <w:r w:rsidRPr="00F92278">
        <w:rPr>
          <w:i/>
          <w:iCs/>
          <w:sz w:val="28"/>
          <w:szCs w:val="28"/>
        </w:rPr>
        <w:t xml:space="preserve"> </w:t>
      </w:r>
      <w:r w:rsidR="000A2116" w:rsidRPr="00F92278">
        <w:rPr>
          <w:i/>
          <w:iCs/>
          <w:sz w:val="28"/>
          <w:szCs w:val="28"/>
        </w:rPr>
        <w:t>&gt; 5,14</w:t>
      </w:r>
      <w:r w:rsidRPr="00F92278">
        <w:rPr>
          <w:i/>
          <w:iCs/>
          <w:sz w:val="28"/>
          <w:szCs w:val="28"/>
        </w:rPr>
        <w:t xml:space="preserve"> </w:t>
      </w:r>
      <w:r w:rsidRPr="00F92278">
        <w:rPr>
          <w:sz w:val="28"/>
          <w:szCs w:val="28"/>
        </w:rPr>
        <w:t>при</w:t>
      </w:r>
      <w:r w:rsidRPr="00F92278">
        <w:rPr>
          <w:i/>
          <w:iCs/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статистической </w:t>
      </w:r>
      <w:r w:rsidR="00D367B2" w:rsidRPr="00F92278">
        <w:rPr>
          <w:sz w:val="28"/>
          <w:szCs w:val="28"/>
        </w:rPr>
        <w:t>существенности связи равной 0,95</w:t>
      </w:r>
      <w:r w:rsidRPr="00F92278">
        <w:rPr>
          <w:sz w:val="28"/>
          <w:szCs w:val="28"/>
        </w:rPr>
        <w:t>, то гипотеза о несоответствии заложенных в уравнение регрессии связей реально существующим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- отвергается. То есть построенная модель на основе проверки по F-критерию Фишера в целом адекватна и все коэффициенты регрессии значимы. Такая модель может быть использована для принятия решений к осуществлению прогнозов.</w:t>
      </w:r>
    </w:p>
    <w:p w:rsidR="00B64BE7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При выборе уравнения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тренда можно использовать среднюю ошибку аппроксимации, которая определяется по формуле:</w:t>
      </w:r>
    </w:p>
    <w:p w:rsidR="00F92278" w:rsidRPr="00F92278" w:rsidRDefault="00F92278" w:rsidP="0070224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F92278" w:rsidRDefault="004C14D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8" type="#_x0000_t75" style="width:228.75pt;height:42pt">
            <v:imagedata r:id="rId29" o:title=""/>
          </v:shape>
        </w:pict>
      </w:r>
      <w:r w:rsidR="00B64BE7" w:rsidRPr="00F92278">
        <w:rPr>
          <w:sz w:val="28"/>
          <w:szCs w:val="28"/>
        </w:rPr>
        <w:t>.</w:t>
      </w:r>
    </w:p>
    <w:p w:rsidR="00B64BE7" w:rsidRPr="00F92278" w:rsidRDefault="00F92278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BE7" w:rsidRPr="00F92278">
        <w:rPr>
          <w:sz w:val="28"/>
          <w:szCs w:val="28"/>
        </w:rPr>
        <w:t xml:space="preserve">Для нашего примера с линейным трендом средняя ошибка аппроксимации составила </w:t>
      </w:r>
      <w:r w:rsidR="00B57BE0" w:rsidRPr="00F92278">
        <w:rPr>
          <w:sz w:val="28"/>
          <w:szCs w:val="28"/>
        </w:rPr>
        <w:t>10,82</w:t>
      </w:r>
      <w:r w:rsidR="00B64BE7" w:rsidRPr="00F92278">
        <w:rPr>
          <w:sz w:val="28"/>
          <w:szCs w:val="28"/>
        </w:rPr>
        <w:t xml:space="preserve">%. Если средняя ошибка не превысила </w:t>
      </w:r>
      <w:r w:rsidR="00B57BE0" w:rsidRPr="00F92278">
        <w:rPr>
          <w:sz w:val="28"/>
          <w:szCs w:val="28"/>
        </w:rPr>
        <w:t>15</w:t>
      </w:r>
      <w:r w:rsidR="00B64BE7" w:rsidRPr="00F92278">
        <w:rPr>
          <w:sz w:val="28"/>
          <w:szCs w:val="28"/>
        </w:rPr>
        <w:t xml:space="preserve">%, </w:t>
      </w:r>
      <w:r w:rsidR="00B57BE0" w:rsidRPr="00F92278">
        <w:rPr>
          <w:sz w:val="28"/>
          <w:szCs w:val="28"/>
        </w:rPr>
        <w:t xml:space="preserve">то уравнение тренда </w:t>
      </w:r>
      <w:r w:rsidR="00B64BE7" w:rsidRPr="00F92278">
        <w:rPr>
          <w:sz w:val="28"/>
          <w:szCs w:val="28"/>
        </w:rPr>
        <w:t>подходит для описания тенденции временного ряда.</w:t>
      </w:r>
    </w:p>
    <w:p w:rsidR="00B64BE7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В приведенном примере при прогнозировании используется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сравнительно небольшая глубина исходной статистики. По мере накопления статистической информации вид тренда, используемый для прогнозирования, может изменяться. </w:t>
      </w:r>
    </w:p>
    <w:p w:rsidR="00B64BE7" w:rsidRPr="00F92278" w:rsidRDefault="00B64BE7" w:rsidP="00F9227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Прогнозирование объемов </w:t>
      </w:r>
      <w:r w:rsidR="00B57BE0" w:rsidRPr="00F92278">
        <w:rPr>
          <w:sz w:val="28"/>
          <w:szCs w:val="28"/>
        </w:rPr>
        <w:t>таможенных платежей</w:t>
      </w:r>
      <w:r w:rsidRPr="00F92278">
        <w:rPr>
          <w:sz w:val="28"/>
          <w:szCs w:val="28"/>
        </w:rPr>
        <w:t xml:space="preserve"> может производиться по различным уровням агрегации данных: как на уровне </w:t>
      </w:r>
      <w:r w:rsidR="00B57BE0" w:rsidRPr="00F92278">
        <w:rPr>
          <w:sz w:val="28"/>
          <w:szCs w:val="28"/>
        </w:rPr>
        <w:t>таможенного управления</w:t>
      </w:r>
      <w:r w:rsidRPr="00F92278">
        <w:rPr>
          <w:sz w:val="28"/>
          <w:szCs w:val="28"/>
        </w:rPr>
        <w:t xml:space="preserve"> в целом, так и на уровне отдельных </w:t>
      </w:r>
      <w:r w:rsidR="00B57BE0" w:rsidRPr="00F92278">
        <w:rPr>
          <w:sz w:val="28"/>
          <w:szCs w:val="28"/>
        </w:rPr>
        <w:t xml:space="preserve">таможен, </w:t>
      </w:r>
      <w:r w:rsidRPr="00F92278">
        <w:rPr>
          <w:sz w:val="28"/>
          <w:szCs w:val="28"/>
        </w:rPr>
        <w:t xml:space="preserve">таможенных постов, </w:t>
      </w:r>
      <w:r w:rsidR="00B57BE0" w:rsidRPr="00F92278">
        <w:rPr>
          <w:sz w:val="28"/>
          <w:szCs w:val="28"/>
        </w:rPr>
        <w:t>видам платежей</w:t>
      </w:r>
      <w:r w:rsidRPr="00F92278">
        <w:rPr>
          <w:sz w:val="28"/>
          <w:szCs w:val="28"/>
        </w:rPr>
        <w:t>.</w:t>
      </w:r>
    </w:p>
    <w:p w:rsidR="00CA18FF" w:rsidRPr="00F92278" w:rsidRDefault="00B64BE7" w:rsidP="00F9227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Задача прогнозирования сумм таможенных платежей, перечисляемых в Федеральный бюджет РФ, является основой при планировании Федерального бюджета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РФ на последующие годы. </w:t>
      </w:r>
    </w:p>
    <w:p w:rsidR="00B64BE7" w:rsidRDefault="00B64BE7" w:rsidP="00F9227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Поскольку около 50% доходной части бюджета нашей страны составляют именно таможенные платежи, следовательно, оптимальность бюджета, получаемая при его планировании, зависит, прежде всего, от точности прогнозов. </w:t>
      </w:r>
    </w:p>
    <w:p w:rsidR="00F92278" w:rsidRDefault="00F92278" w:rsidP="0070224A">
      <w:pPr>
        <w:pStyle w:val="22"/>
        <w:spacing w:after="0" w:line="360" w:lineRule="auto"/>
        <w:jc w:val="both"/>
        <w:rPr>
          <w:sz w:val="28"/>
          <w:szCs w:val="28"/>
        </w:rPr>
      </w:pPr>
    </w:p>
    <w:p w:rsidR="00B64BE7" w:rsidRPr="00F92278" w:rsidRDefault="00F92278" w:rsidP="00F92278">
      <w:pPr>
        <w:pStyle w:val="22"/>
        <w:spacing w:after="0"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11" w:name="_Toc245665953"/>
      <w:bookmarkStart w:id="12" w:name="_Toc278534814"/>
      <w:r w:rsidR="00B64BE7" w:rsidRPr="00F92278">
        <w:rPr>
          <w:b/>
          <w:bCs/>
          <w:sz w:val="28"/>
          <w:szCs w:val="28"/>
        </w:rPr>
        <w:t>Заключение</w:t>
      </w:r>
      <w:bookmarkEnd w:id="11"/>
      <w:bookmarkEnd w:id="12"/>
    </w:p>
    <w:p w:rsidR="00F92278" w:rsidRDefault="00F92278" w:rsidP="007022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3856" w:rsidRPr="00F92278" w:rsidRDefault="00B64BE7" w:rsidP="00F922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первой главе работы на основе нормативно-правовой базы рассмотрена современная структура таможенных платежей, которая включает в себя ввозную и вывозную таможенные пошлины, НДС, акциз и таможенные сборы, также их характеристики, </w:t>
      </w:r>
      <w:r w:rsidR="00FD326C" w:rsidRPr="00F92278">
        <w:rPr>
          <w:sz w:val="28"/>
          <w:szCs w:val="28"/>
        </w:rPr>
        <w:t>способы классификации</w:t>
      </w:r>
      <w:r w:rsidRPr="00F92278">
        <w:rPr>
          <w:sz w:val="28"/>
          <w:szCs w:val="28"/>
        </w:rPr>
        <w:t xml:space="preserve">. </w:t>
      </w:r>
      <w:r w:rsidR="000205F8" w:rsidRPr="00F92278">
        <w:rPr>
          <w:sz w:val="28"/>
          <w:szCs w:val="28"/>
        </w:rPr>
        <w:t xml:space="preserve">Во второй главе дана общая характеристика объема таможенных платежей, перечисленных Дальневосточным таможенным управлением в разрезе по таможням в период за </w:t>
      </w:r>
      <w:r w:rsidR="00FD326C" w:rsidRPr="00F92278">
        <w:rPr>
          <w:sz w:val="28"/>
          <w:szCs w:val="28"/>
        </w:rPr>
        <w:t>2005-2009 гг.</w:t>
      </w:r>
      <w:r w:rsidR="000205F8" w:rsidRPr="00F92278">
        <w:rPr>
          <w:sz w:val="28"/>
          <w:szCs w:val="28"/>
        </w:rPr>
        <w:t xml:space="preserve"> Также произведен анализ таможенных платежей, пол</w:t>
      </w:r>
      <w:r w:rsidR="00FD326C" w:rsidRPr="00F92278">
        <w:rPr>
          <w:sz w:val="28"/>
          <w:szCs w:val="28"/>
        </w:rPr>
        <w:t>ученных ДВТУ за период 2005-2009</w:t>
      </w:r>
      <w:r w:rsidR="000205F8" w:rsidRPr="00F92278">
        <w:rPr>
          <w:sz w:val="28"/>
          <w:szCs w:val="28"/>
        </w:rPr>
        <w:t xml:space="preserve"> гг., и факторов, определяющих их величину. И, наконец, в 3 главе было проведено исследование тенденции и построение прогноза сумм таможенных платежей, взимаемых ДВТУ</w:t>
      </w:r>
      <w:r w:rsidR="006422AD" w:rsidRPr="00F92278">
        <w:rPr>
          <w:sz w:val="28"/>
          <w:szCs w:val="28"/>
        </w:rPr>
        <w:t xml:space="preserve"> в 2010</w:t>
      </w:r>
      <w:r w:rsidR="000205F8" w:rsidRPr="00F92278">
        <w:rPr>
          <w:sz w:val="28"/>
          <w:szCs w:val="28"/>
        </w:rPr>
        <w:t xml:space="preserve"> году методом аналитического выравнивания по прямой.</w:t>
      </w:r>
    </w:p>
    <w:p w:rsidR="00B64BE7" w:rsidRPr="00F92278" w:rsidRDefault="00B64BE7" w:rsidP="00F922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К косвенными факторам, влияющим на размер таможенных платежей, относят: конъюнктуру рынка, текущее состояние экономики, политические факторы, технологии, используемые при таможенном оформлении и таможенном контроле, изменение в социальной и культурной среде. Основными же факторами, влияющими на размер таможенных платежей, являются: режим под который помещается товар при перемещении его через таможенную границу Российской Федерации, сезон перемещения товара, количество товара в натуральном выражении и ставка пошлины при взимании специфической таможенной пошлины, таможенная стоимость и процентная ставка адвалорной пошлины, а сама ставка пошлины может дифференцироваться в зависимости от ст</w:t>
      </w:r>
      <w:r w:rsidR="00B57BE0" w:rsidRPr="00F92278">
        <w:rPr>
          <w:sz w:val="28"/>
          <w:szCs w:val="28"/>
        </w:rPr>
        <w:t>епени переработки товара, страна</w:t>
      </w:r>
      <w:r w:rsidRPr="00F92278">
        <w:rPr>
          <w:sz w:val="28"/>
          <w:szCs w:val="28"/>
        </w:rPr>
        <w:t xml:space="preserve"> происхождения товара и применение минимальной, преференциальной и максимальной ставки таможенной пошлины. При взимании акциза – количество товара в натуральном выражении и ставка акциза, указанная в Налоговом кодексе Российской Федерации, для НДС – основа начисления налога и ставка налога на соответствующий товар. Величина сборов за таможенное оформление исчисляется исходя из заявленной таможенной стоимости декларируемых товаров, за таможенное сопровождение – исходя из вида транспорта и протяженности пути доставки, а за хранение на складе временного хранения или на таможенном складе таможенного органа –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таможенные сборы уплачиваются в зависимости от веса хранимых товаров и непосредственно срока хранения. </w:t>
      </w:r>
    </w:p>
    <w:p w:rsidR="00B64BE7" w:rsidRPr="00F92278" w:rsidRDefault="00B64BE7" w:rsidP="00F922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Счетная палата оценила эффективность работы ФТС. В</w:t>
      </w:r>
      <w:r w:rsidR="006422AD" w:rsidRPr="00F92278">
        <w:rPr>
          <w:sz w:val="28"/>
          <w:szCs w:val="28"/>
        </w:rPr>
        <w:t xml:space="preserve"> 2008</w:t>
      </w:r>
      <w:r w:rsidRPr="00F92278">
        <w:rPr>
          <w:sz w:val="28"/>
          <w:szCs w:val="28"/>
        </w:rPr>
        <w:t xml:space="preserve"> году Федеральная таможенная служба (ФТС) увеличила поступления в бюдже</w:t>
      </w:r>
      <w:r w:rsidR="006422AD" w:rsidRPr="00F92278">
        <w:rPr>
          <w:sz w:val="28"/>
          <w:szCs w:val="28"/>
        </w:rPr>
        <w:t>т в 1,4 раза по сравнению с 2007 годом. В 2007</w:t>
      </w:r>
      <w:r w:rsidRPr="00F92278">
        <w:rPr>
          <w:sz w:val="28"/>
          <w:szCs w:val="28"/>
        </w:rPr>
        <w:t xml:space="preserve"> году каждый таможенник обеспечил перечисление в федеральный бюджет 53,8 млн. рублей. В свою очередь, на содержание таможни государство потратило в 2008 году 63,26 млрд.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>рублей. В результате подсчетов Счетная палата выявила, что каждый вложенный в развитие ФТС рубль в 2008 году дал отдачу в 73,4 рубля.</w:t>
      </w:r>
    </w:p>
    <w:p w:rsidR="00B64BE7" w:rsidRPr="00F92278" w:rsidRDefault="00B64BE7" w:rsidP="00F922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>Таможенные платежи являются одной из основ доходной части бюджета. По итогам 2008 года ФТС перечислила в федеральный бюджет рекордные 4,7 трлн. рублей (около 50% общей доходной части бюджета).</w:t>
      </w:r>
    </w:p>
    <w:p w:rsidR="00F92278" w:rsidRDefault="00B64BE7" w:rsidP="00F922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278">
        <w:rPr>
          <w:sz w:val="28"/>
          <w:szCs w:val="28"/>
        </w:rPr>
        <w:t xml:space="preserve">В 2009 году ФТС </w:t>
      </w:r>
      <w:r w:rsidR="006422AD" w:rsidRPr="00F92278">
        <w:rPr>
          <w:sz w:val="28"/>
          <w:szCs w:val="28"/>
        </w:rPr>
        <w:t>не показала</w:t>
      </w:r>
      <w:r w:rsidRPr="00F92278">
        <w:rPr>
          <w:sz w:val="28"/>
          <w:szCs w:val="28"/>
        </w:rPr>
        <w:t xml:space="preserve"> таких результатов. Из-за кризиса за период с января по апр</w:t>
      </w:r>
      <w:r w:rsidR="006422AD" w:rsidRPr="00F92278">
        <w:rPr>
          <w:sz w:val="28"/>
          <w:szCs w:val="28"/>
        </w:rPr>
        <w:t>ель 2009 года отчисления ФТС</w:t>
      </w:r>
      <w:r w:rsidR="00F92278">
        <w:rPr>
          <w:sz w:val="28"/>
          <w:szCs w:val="28"/>
        </w:rPr>
        <w:t xml:space="preserve"> </w:t>
      </w:r>
      <w:r w:rsidRPr="00F92278">
        <w:rPr>
          <w:sz w:val="28"/>
          <w:szCs w:val="28"/>
        </w:rPr>
        <w:t xml:space="preserve">упали на 36,5% </w:t>
      </w:r>
      <w:r w:rsidR="007C01AD" w:rsidRPr="00F92278">
        <w:rPr>
          <w:sz w:val="28"/>
          <w:szCs w:val="28"/>
        </w:rPr>
        <w:t xml:space="preserve">по сравнению с аналогичным периодом прошлого года </w:t>
      </w:r>
      <w:r w:rsidRPr="00F92278">
        <w:rPr>
          <w:sz w:val="28"/>
          <w:szCs w:val="28"/>
        </w:rPr>
        <w:t xml:space="preserve">до 872,56 млрд. рублей. В мае сборы ФТС упали на 46%. Только импорт легковых автомобилей в Россию в январе - марте 2009 года сократился, по данным ФТС, на 66,2%. Виной тому падение спроса на автомобили и введение </w:t>
      </w:r>
      <w:r w:rsidR="00B57BE0" w:rsidRPr="00F92278">
        <w:rPr>
          <w:sz w:val="28"/>
          <w:szCs w:val="28"/>
        </w:rPr>
        <w:t>более высоких</w:t>
      </w:r>
      <w:r w:rsidRPr="00F92278">
        <w:rPr>
          <w:sz w:val="28"/>
          <w:szCs w:val="28"/>
        </w:rPr>
        <w:t xml:space="preserve"> пошлин на ввоз под</w:t>
      </w:r>
      <w:r w:rsidR="00B57BE0" w:rsidRPr="00F92278">
        <w:rPr>
          <w:sz w:val="28"/>
          <w:szCs w:val="28"/>
        </w:rPr>
        <w:t>д</w:t>
      </w:r>
      <w:r w:rsidRPr="00F92278">
        <w:rPr>
          <w:sz w:val="28"/>
          <w:szCs w:val="28"/>
        </w:rPr>
        <w:t xml:space="preserve">ержанных машин. Ввоз грузовиков упал на 75,2%. Что касается импорта </w:t>
      </w:r>
      <w:r w:rsidR="007C01AD" w:rsidRPr="00F92278">
        <w:rPr>
          <w:sz w:val="28"/>
          <w:szCs w:val="28"/>
        </w:rPr>
        <w:t>продовольственных товаров, то его</w:t>
      </w:r>
      <w:r w:rsidRPr="00F92278">
        <w:rPr>
          <w:sz w:val="28"/>
          <w:szCs w:val="28"/>
        </w:rPr>
        <w:t xml:space="preserve"> стоимостный объем сократился на 17,5%. Физические объемы поставок фармацевтической продукции снизились на 8%, косметических средств - на 16,7%. Объем ввоза текстильной и обувной продукции снизился на 5,9%. </w:t>
      </w:r>
      <w:r w:rsidR="00B57BE0" w:rsidRPr="00F92278">
        <w:rPr>
          <w:sz w:val="28"/>
          <w:szCs w:val="28"/>
        </w:rPr>
        <w:t>Остается</w:t>
      </w:r>
      <w:r w:rsidRPr="00F92278">
        <w:rPr>
          <w:sz w:val="28"/>
          <w:szCs w:val="28"/>
        </w:rPr>
        <w:t xml:space="preserve"> надежда на нефтегазовые доходы, которые, наоборот, начали вновь расти. С начала года растет цена на нефть, а вслед за ней и экспортная пошлина. </w:t>
      </w:r>
    </w:p>
    <w:p w:rsidR="00F92278" w:rsidRPr="00F92278" w:rsidRDefault="00F92278" w:rsidP="00F92278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421786" w:rsidRPr="00F92278">
        <w:rPr>
          <w:b/>
          <w:bCs/>
          <w:sz w:val="28"/>
          <w:szCs w:val="28"/>
        </w:rPr>
        <w:t>Список используемой литературы</w:t>
      </w:r>
    </w:p>
    <w:p w:rsidR="00F92278" w:rsidRPr="00F92278" w:rsidRDefault="00F92278" w:rsidP="00F92278">
      <w:pPr>
        <w:spacing w:line="360" w:lineRule="auto"/>
        <w:rPr>
          <w:sz w:val="28"/>
          <w:szCs w:val="28"/>
        </w:rPr>
      </w:pP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1786" w:rsidRPr="00F92278">
        <w:rPr>
          <w:sz w:val="28"/>
          <w:szCs w:val="28"/>
        </w:rPr>
        <w:t>Конституция Российской Федерации.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1786" w:rsidRPr="00F92278">
        <w:rPr>
          <w:sz w:val="28"/>
          <w:szCs w:val="28"/>
        </w:rPr>
        <w:t>Налоговый кодекс Российской Федерации: часть 1 от 31.07.1998 г. № 146-ФЗ.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786" w:rsidRPr="00F92278">
        <w:rPr>
          <w:sz w:val="28"/>
          <w:szCs w:val="28"/>
        </w:rPr>
        <w:t>Таможенный кодекс Таможенного союза от</w:t>
      </w:r>
      <w:r w:rsidRPr="00F92278">
        <w:rPr>
          <w:sz w:val="28"/>
          <w:szCs w:val="28"/>
        </w:rPr>
        <w:t xml:space="preserve"> </w:t>
      </w:r>
      <w:r w:rsidR="00421786" w:rsidRPr="00F92278">
        <w:rPr>
          <w:sz w:val="28"/>
          <w:szCs w:val="28"/>
        </w:rPr>
        <w:t>27 ноября 2009 г. № 17 (в ред. Протокола от 16.04.2010)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1786" w:rsidRPr="00F92278">
        <w:rPr>
          <w:sz w:val="28"/>
          <w:szCs w:val="28"/>
        </w:rPr>
        <w:t>Об основах государственного регулирования внешнеторговой деятельности: закон Российской Федерации от 08.12.2003 г. № 164-ФЗ.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1786" w:rsidRPr="00F92278">
        <w:rPr>
          <w:sz w:val="28"/>
          <w:szCs w:val="28"/>
        </w:rPr>
        <w:t>О таможенном тарифе: Закон Российской Федерации от 21.05.1993 № 5003-1.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421786" w:rsidRPr="00F92278">
        <w:rPr>
          <w:sz w:val="28"/>
          <w:szCs w:val="28"/>
        </w:rPr>
        <w:t xml:space="preserve"> Об отчетности таможенных органов по основным направлениям деятельности перед ФТС России на 2010 г.: Приказ ФТС от 28 декабря 2009 г. № 2407.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21786" w:rsidRPr="00F92278">
        <w:rPr>
          <w:sz w:val="28"/>
          <w:szCs w:val="28"/>
        </w:rPr>
        <w:t>Об утверждении порядка ведения специальной таможенной статистики:</w:t>
      </w:r>
      <w:r w:rsidRPr="00F92278">
        <w:rPr>
          <w:sz w:val="28"/>
          <w:szCs w:val="28"/>
        </w:rPr>
        <w:t xml:space="preserve"> </w:t>
      </w:r>
      <w:r w:rsidR="00421786" w:rsidRPr="00F92278">
        <w:rPr>
          <w:sz w:val="28"/>
          <w:szCs w:val="28"/>
        </w:rPr>
        <w:t>Приказ ФТС РФ от 10.08.2010 г. № 1495.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21786" w:rsidRPr="00F92278">
        <w:rPr>
          <w:sz w:val="28"/>
          <w:szCs w:val="28"/>
        </w:rPr>
        <w:t>О ставках таможенных сборов за таможенное оформление: Постановление Правительства Российской Федерации от 28.12.2004 г. № 863.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21786" w:rsidRPr="00F92278">
        <w:rPr>
          <w:sz w:val="28"/>
          <w:szCs w:val="28"/>
        </w:rPr>
        <w:t>Об утверждении Положения о применении единых ставок таможенных пошлин, налогов в отношении товаров, перемещаемых через таможенную границу Российской Федерации физическими лицами для личного пользования: Постановление правительства Российской Федерации от 29.11.2003 г. №718.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21786" w:rsidRPr="00F92278">
        <w:rPr>
          <w:sz w:val="28"/>
          <w:szCs w:val="28"/>
        </w:rPr>
        <w:t>О таможенных сборах за таможенное оформление: Письмо ФТС РФ от 20 апреля 2005 г. N 01-06/12388.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21786" w:rsidRPr="00F92278">
        <w:rPr>
          <w:sz w:val="28"/>
          <w:szCs w:val="28"/>
        </w:rPr>
        <w:t>Ершов, А.Д. Льготы и преференции в таможенном деле: учебное пособие . - СПб.: Изд. дом «Бизнес-пресса». 2004.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21786" w:rsidRPr="00F92278">
        <w:rPr>
          <w:sz w:val="28"/>
          <w:szCs w:val="28"/>
        </w:rPr>
        <w:t>Козырин, А.Н. Таможенные режимы. -М.: Статут. 2000. - 247с.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21786" w:rsidRPr="00F92278">
        <w:rPr>
          <w:sz w:val="28"/>
          <w:szCs w:val="28"/>
        </w:rPr>
        <w:t>Кузнецов, С.Н. Льготы на таможне: налоги, пошлины, акцизы: практ. пособие. - М.: Книжный мир. 2006. - 240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21786" w:rsidRPr="00F92278">
        <w:rPr>
          <w:sz w:val="28"/>
          <w:szCs w:val="28"/>
        </w:rPr>
        <w:t>Новиков, В.Е. Таможенные пошлины: методология обоснования и расчеты. - М.: РИО РТА. 2000.- 104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21786" w:rsidRPr="00F92278">
        <w:rPr>
          <w:sz w:val="28"/>
          <w:szCs w:val="28"/>
        </w:rPr>
        <w:t>Орешкин, В.А. Внешнеэкономический комплекс России (проблемы и перспективы развития). -М: РИО РТА. 2002. - 168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21786" w:rsidRPr="00F92278">
        <w:rPr>
          <w:sz w:val="28"/>
          <w:szCs w:val="28"/>
        </w:rPr>
        <w:t>Поштакова Г.А. Таможенная статистика: учебное пособие. Владивосток: РИО РТА; ВФ РТА. 2005. - 196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21786" w:rsidRPr="00F92278">
        <w:rPr>
          <w:sz w:val="28"/>
          <w:szCs w:val="28"/>
        </w:rPr>
        <w:t>Пресняков, В.Ю. Государственное регулирование внешней торговли России в условиях перехода к рыночной экономике: проблемы и перспективы . -М.: РИО РТА. 2004. - 220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21786" w:rsidRPr="00F92278">
        <w:rPr>
          <w:sz w:val="28"/>
          <w:szCs w:val="28"/>
        </w:rPr>
        <w:t>Пресняков В.Ю. Таможенная политика России на современном этапе (роль и место в обеспечении экономической безопасности государства и стабилизации финансовой системы). - М.: РИО РТА. 2004. - 96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21786" w:rsidRPr="00F92278">
        <w:rPr>
          <w:sz w:val="28"/>
          <w:szCs w:val="28"/>
        </w:rPr>
        <w:t>Проектирование таможенной политики. В.Н. Иванов, В.Б Кухаренко, А.Г. Пашинский. - М.: РТА. 2003. - 348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421786" w:rsidRPr="00F92278">
        <w:rPr>
          <w:sz w:val="28"/>
          <w:szCs w:val="28"/>
        </w:rPr>
        <w:t>Савлук А.О. Актуальные вопросы методики расследования уклонения от уплаты таможенных платежей. - М.: Компания «Спутник+». 2004. - 125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421786" w:rsidRPr="00F92278">
        <w:rPr>
          <w:sz w:val="28"/>
          <w:szCs w:val="28"/>
        </w:rPr>
        <w:t>Таможенные платежи. - СПб.: ТИРЕКС. 2000. - 287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21786" w:rsidRPr="00F92278">
        <w:rPr>
          <w:sz w:val="28"/>
          <w:szCs w:val="28"/>
        </w:rPr>
        <w:t>Таможенные платежи. - СПб.: ТИРЕКС. 2005. - 512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421786" w:rsidRPr="00F92278">
        <w:rPr>
          <w:sz w:val="28"/>
          <w:szCs w:val="28"/>
        </w:rPr>
        <w:t>Таможня. Все пошлины, налоги и платежи: справочник. М.: Экономика и финансы. 2006. - 528 с.</w:t>
      </w:r>
    </w:p>
    <w:p w:rsidR="00421786" w:rsidRPr="00F92278" w:rsidRDefault="00F92278" w:rsidP="00F92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421786" w:rsidRPr="00F92278">
        <w:rPr>
          <w:sz w:val="28"/>
          <w:szCs w:val="28"/>
        </w:rPr>
        <w:t xml:space="preserve"> Сайт ФТС России http:\www.customs.ru.</w:t>
      </w:r>
    </w:p>
    <w:p w:rsidR="00F92278" w:rsidRDefault="00F92278" w:rsidP="00F92278">
      <w:pPr>
        <w:spacing w:line="360" w:lineRule="auto"/>
        <w:rPr>
          <w:sz w:val="28"/>
          <w:szCs w:val="28"/>
        </w:rPr>
      </w:pPr>
    </w:p>
    <w:p w:rsidR="00915B73" w:rsidRPr="00F92278" w:rsidRDefault="00915B73" w:rsidP="00F92278">
      <w:pPr>
        <w:spacing w:line="360" w:lineRule="auto"/>
        <w:jc w:val="center"/>
        <w:rPr>
          <w:color w:val="FFFFFF"/>
          <w:sz w:val="28"/>
          <w:szCs w:val="28"/>
        </w:rPr>
      </w:pPr>
      <w:bookmarkStart w:id="13" w:name="_GoBack"/>
      <w:bookmarkEnd w:id="13"/>
    </w:p>
    <w:sectPr w:rsidR="00915B73" w:rsidRPr="00F92278" w:rsidSect="0070224A">
      <w:headerReference w:type="default" r:id="rId30"/>
      <w:footerReference w:type="default" r:id="rId3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AB" w:rsidRDefault="00CB59AB">
      <w:r>
        <w:separator/>
      </w:r>
    </w:p>
  </w:endnote>
  <w:endnote w:type="continuationSeparator" w:id="0">
    <w:p w:rsidR="00CB59AB" w:rsidRDefault="00C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24A" w:rsidRDefault="00445DB2" w:rsidP="00F92278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0224A" w:rsidRDefault="0070224A" w:rsidP="000B73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AB" w:rsidRDefault="00CB59AB">
      <w:r>
        <w:separator/>
      </w:r>
    </w:p>
  </w:footnote>
  <w:footnote w:type="continuationSeparator" w:id="0">
    <w:p w:rsidR="00CB59AB" w:rsidRDefault="00CB59AB">
      <w:r>
        <w:continuationSeparator/>
      </w:r>
    </w:p>
  </w:footnote>
  <w:footnote w:id="1">
    <w:p w:rsidR="00CB59AB" w:rsidRDefault="0070224A" w:rsidP="00F92278">
      <w:pPr>
        <w:pStyle w:val="ae"/>
        <w:jc w:val="both"/>
      </w:pPr>
      <w:r>
        <w:rPr>
          <w:rStyle w:val="af0"/>
        </w:rPr>
        <w:footnoteRef/>
      </w:r>
      <w:r>
        <w:t xml:space="preserve"> Приказ ФТС РФ от 10.08.2010 г. № 1495 «Об утверждении порядка ведения специальной таможенной статистики»</w:t>
      </w:r>
    </w:p>
  </w:footnote>
  <w:footnote w:id="2">
    <w:p w:rsidR="00CB59AB" w:rsidRDefault="0070224A">
      <w:pPr>
        <w:pStyle w:val="ae"/>
      </w:pPr>
      <w:r>
        <w:rPr>
          <w:rStyle w:val="af0"/>
        </w:rPr>
        <w:footnoteRef/>
      </w:r>
      <w:r>
        <w:t xml:space="preserve"> Поштакова Г.А. Таможенная статистика: Учебное пособие. – Владивосток: РИО РТА; ВФ РТА, 2005. – 196</w:t>
      </w:r>
    </w:p>
  </w:footnote>
  <w:footnote w:id="3">
    <w:p w:rsidR="00CB59AB" w:rsidRDefault="0070224A" w:rsidP="00F92278">
      <w:pPr>
        <w:pStyle w:val="ae"/>
        <w:jc w:val="both"/>
      </w:pPr>
      <w:r>
        <w:rPr>
          <w:rStyle w:val="af0"/>
        </w:rPr>
        <w:footnoteRef/>
      </w:r>
      <w:r>
        <w:t xml:space="preserve"> Приказ ФТС РФ от 10.08.2010 г. № 1495 «Об утверждении порядка ведения специальной таможенной статистики»</w:t>
      </w:r>
    </w:p>
  </w:footnote>
  <w:footnote w:id="4">
    <w:p w:rsidR="00CB59AB" w:rsidRDefault="0070224A">
      <w:pPr>
        <w:pStyle w:val="ae"/>
      </w:pPr>
      <w:r>
        <w:rPr>
          <w:rStyle w:val="af0"/>
        </w:rPr>
        <w:footnoteRef/>
      </w:r>
      <w:r>
        <w:t xml:space="preserve"> Поштакова Г.А. Таможенная статистика: Учебное пособие. – Владивосток: РИО РТА; ВФ РТА, 2005. – 196</w:t>
      </w:r>
    </w:p>
  </w:footnote>
  <w:footnote w:id="5">
    <w:p w:rsidR="00CB59AB" w:rsidRDefault="0070224A" w:rsidP="00F92278">
      <w:pPr>
        <w:pStyle w:val="ae"/>
      </w:pPr>
      <w:r>
        <w:rPr>
          <w:rStyle w:val="af0"/>
        </w:rPr>
        <w:footnoteRef/>
      </w:r>
      <w:r>
        <w:t xml:space="preserve"> Таможенный Кодекс Таможенного союза от 27 ноября 2009 г. № 17 (в ред. Протокола от 16.04.2010)</w:t>
      </w:r>
    </w:p>
  </w:footnote>
  <w:footnote w:id="6">
    <w:p w:rsidR="00CB59AB" w:rsidRDefault="0070224A">
      <w:pPr>
        <w:pStyle w:val="ae"/>
      </w:pPr>
      <w:r>
        <w:rPr>
          <w:rStyle w:val="af0"/>
        </w:rPr>
        <w:footnoteRef/>
      </w:r>
      <w:r>
        <w:t xml:space="preserve"> Конституция Российской Федерации от 12 декабря 1993 г.</w:t>
      </w:r>
    </w:p>
  </w:footnote>
  <w:footnote w:id="7">
    <w:p w:rsidR="00CB59AB" w:rsidRDefault="0070224A" w:rsidP="00BB41EE">
      <w:pPr>
        <w:pStyle w:val="ae"/>
      </w:pPr>
      <w:r>
        <w:rPr>
          <w:rStyle w:val="af0"/>
        </w:rPr>
        <w:footnoteRef/>
      </w:r>
      <w:r>
        <w:t xml:space="preserve"> Таможенный Кодекс Таможенного союза от 27 ноября 2009 г. № 17 (в ред. Протокола от 16.04.2010)</w:t>
      </w:r>
    </w:p>
  </w:footnote>
  <w:footnote w:id="8">
    <w:p w:rsidR="00CB59AB" w:rsidRDefault="0070224A" w:rsidP="00A91DED">
      <w:pPr>
        <w:pStyle w:val="ae"/>
      </w:pPr>
      <w:r>
        <w:rPr>
          <w:rStyle w:val="af0"/>
        </w:rPr>
        <w:footnoteRef/>
      </w:r>
      <w:r>
        <w:t xml:space="preserve"> Поштакова Г.А. Таможенная статистика: Учебное пособие. – Владивосток: РИО РТА; ВФ РТА, 2005. – 196</w:t>
      </w:r>
    </w:p>
  </w:footnote>
  <w:footnote w:id="9">
    <w:p w:rsidR="00CB59AB" w:rsidRDefault="0070224A" w:rsidP="00F92278">
      <w:pPr>
        <w:pStyle w:val="Style1"/>
        <w:widowControl/>
        <w:tabs>
          <w:tab w:val="left" w:pos="624"/>
        </w:tabs>
        <w:spacing w:line="240" w:lineRule="auto"/>
        <w:ind w:firstLine="0"/>
      </w:pPr>
      <w:r w:rsidRPr="00F92278">
        <w:rPr>
          <w:rStyle w:val="af0"/>
          <w:sz w:val="20"/>
          <w:szCs w:val="20"/>
        </w:rPr>
        <w:footnoteRef/>
      </w:r>
      <w:r w:rsidRPr="00F92278">
        <w:rPr>
          <w:sz w:val="20"/>
          <w:szCs w:val="20"/>
        </w:rPr>
        <w:t xml:space="preserve"> </w:t>
      </w:r>
      <w:r w:rsidRPr="00F92278">
        <w:rPr>
          <w:rStyle w:val="FontStyle15"/>
          <w:sz w:val="20"/>
          <w:szCs w:val="20"/>
        </w:rPr>
        <w:t xml:space="preserve">Налоговый кодекс Российской Федерации: </w:t>
      </w:r>
      <w:r w:rsidRPr="00F92278">
        <w:rPr>
          <w:sz w:val="20"/>
          <w:szCs w:val="20"/>
        </w:rPr>
        <w:t>часть 1 от 31.07.1998 г. № 146-ФЗ.</w:t>
      </w:r>
    </w:p>
  </w:footnote>
  <w:footnote w:id="10">
    <w:p w:rsidR="00CB59AB" w:rsidRDefault="0070224A" w:rsidP="00F92278">
      <w:pPr>
        <w:pStyle w:val="ae"/>
        <w:jc w:val="both"/>
      </w:pPr>
      <w:r>
        <w:rPr>
          <w:rStyle w:val="af0"/>
        </w:rPr>
        <w:footnoteRef/>
      </w:r>
      <w:r>
        <w:t xml:space="preserve"> Приказ ФТС РФ от 10.08.2010 г. № 1495 «Об утверждении порядка ведения специальной таможенной статистики»</w:t>
      </w:r>
    </w:p>
  </w:footnote>
  <w:footnote w:id="11">
    <w:p w:rsidR="00CB59AB" w:rsidRDefault="0070224A" w:rsidP="00F92278">
      <w:pPr>
        <w:pStyle w:val="ae"/>
        <w:jc w:val="both"/>
      </w:pPr>
      <w:r>
        <w:rPr>
          <w:rStyle w:val="af0"/>
        </w:rPr>
        <w:footnoteRef/>
      </w:r>
      <w:r>
        <w:t xml:space="preserve"> Приказ ФТС от 28 декабря 2009 г. № 2407 «Об отчетности таможенных органов по основным направлениям деятельности перед ФТС России на 2010 г.»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24A" w:rsidRPr="00F92278" w:rsidRDefault="0070224A" w:rsidP="00F92278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6605349"/>
    <w:multiLevelType w:val="hybridMultilevel"/>
    <w:tmpl w:val="B07C3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F2F3A75"/>
    <w:multiLevelType w:val="hybridMultilevel"/>
    <w:tmpl w:val="310E2B38"/>
    <w:lvl w:ilvl="0" w:tplc="642C46A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113604B2"/>
    <w:multiLevelType w:val="hybridMultilevel"/>
    <w:tmpl w:val="7F0217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73D2277"/>
    <w:multiLevelType w:val="hybridMultilevel"/>
    <w:tmpl w:val="F404FE9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351E8D"/>
    <w:multiLevelType w:val="multilevel"/>
    <w:tmpl w:val="77D4A1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/>
        <w:bCs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B787E08"/>
    <w:multiLevelType w:val="multilevel"/>
    <w:tmpl w:val="A8FC3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BD20244"/>
    <w:multiLevelType w:val="multilevel"/>
    <w:tmpl w:val="77D4A1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501CDC"/>
    <w:multiLevelType w:val="multilevel"/>
    <w:tmpl w:val="B2A4EF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6"/>
        </w:tabs>
        <w:ind w:left="10776" w:hanging="2160"/>
      </w:pPr>
      <w:rPr>
        <w:rFonts w:hint="default"/>
      </w:rPr>
    </w:lvl>
  </w:abstractNum>
  <w:abstractNum w:abstractNumId="10">
    <w:nsid w:val="22CE0385"/>
    <w:multiLevelType w:val="hybridMultilevel"/>
    <w:tmpl w:val="8F96F2E4"/>
    <w:lvl w:ilvl="0" w:tplc="C40EEF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DC10268"/>
    <w:multiLevelType w:val="multilevel"/>
    <w:tmpl w:val="AA7263D0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E732065"/>
    <w:multiLevelType w:val="multilevel"/>
    <w:tmpl w:val="BAAE20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311A6F33"/>
    <w:multiLevelType w:val="hybridMultilevel"/>
    <w:tmpl w:val="B010E9E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B31E07"/>
    <w:multiLevelType w:val="hybridMultilevel"/>
    <w:tmpl w:val="07CED6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A20A09"/>
    <w:multiLevelType w:val="multilevel"/>
    <w:tmpl w:val="6CB4C6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C5F441D"/>
    <w:multiLevelType w:val="hybridMultilevel"/>
    <w:tmpl w:val="7B1C79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F54357C"/>
    <w:multiLevelType w:val="multilevel"/>
    <w:tmpl w:val="36140D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51B567F"/>
    <w:multiLevelType w:val="hybridMultilevel"/>
    <w:tmpl w:val="0A48C9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4ABD6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1E6D3F"/>
    <w:multiLevelType w:val="multilevel"/>
    <w:tmpl w:val="BAAE20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21">
    <w:nsid w:val="679F09DC"/>
    <w:multiLevelType w:val="hybridMultilevel"/>
    <w:tmpl w:val="79285C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1286316"/>
    <w:multiLevelType w:val="hybridMultilevel"/>
    <w:tmpl w:val="74D0B9E2"/>
    <w:lvl w:ilvl="0" w:tplc="401CFBC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829E620C">
      <w:start w:val="3"/>
      <w:numFmt w:val="decimal"/>
      <w:lvlText w:val="%2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3">
    <w:nsid w:val="73F83778"/>
    <w:multiLevelType w:val="multilevel"/>
    <w:tmpl w:val="77D4A1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7584920"/>
    <w:multiLevelType w:val="hybridMultilevel"/>
    <w:tmpl w:val="2006F4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  <w:num w:numId="15">
    <w:abstractNumId w:val="15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8"/>
  </w:num>
  <w:num w:numId="21">
    <w:abstractNumId w:val="24"/>
  </w:num>
  <w:num w:numId="22">
    <w:abstractNumId w:val="4"/>
  </w:num>
  <w:num w:numId="23">
    <w:abstractNumId w:val="21"/>
  </w:num>
  <w:num w:numId="24">
    <w:abstractNumId w:val="23"/>
  </w:num>
  <w:num w:numId="25">
    <w:abstractNumId w:val="6"/>
    <w:lvlOverride w:ilvl="0">
      <w:startOverride w:val="2"/>
    </w:lvlOverride>
    <w:lvlOverride w:ilvl="1">
      <w:startOverride w:val="2"/>
    </w:lvlOverride>
  </w:num>
  <w:num w:numId="26">
    <w:abstractNumId w:val="6"/>
    <w:lvlOverride w:ilvl="0">
      <w:startOverride w:val="2"/>
    </w:lvlOverride>
    <w:lvlOverride w:ilvl="1">
      <w:startOverride w:val="2"/>
    </w:lvlOverride>
  </w:num>
  <w:num w:numId="27">
    <w:abstractNumId w:val="6"/>
    <w:lvlOverride w:ilvl="0">
      <w:startOverride w:val="2"/>
    </w:lvlOverride>
    <w:lvlOverride w:ilvl="1">
      <w:startOverride w:val="2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4A"/>
    <w:rsid w:val="00011166"/>
    <w:rsid w:val="0001416E"/>
    <w:rsid w:val="000143DA"/>
    <w:rsid w:val="000205F8"/>
    <w:rsid w:val="00050A2C"/>
    <w:rsid w:val="0005251E"/>
    <w:rsid w:val="00055B42"/>
    <w:rsid w:val="0006624A"/>
    <w:rsid w:val="00077AC0"/>
    <w:rsid w:val="00091663"/>
    <w:rsid w:val="00095202"/>
    <w:rsid w:val="000971A8"/>
    <w:rsid w:val="000A1A95"/>
    <w:rsid w:val="000A2116"/>
    <w:rsid w:val="000A49D4"/>
    <w:rsid w:val="000B7332"/>
    <w:rsid w:val="000C7014"/>
    <w:rsid w:val="000F690B"/>
    <w:rsid w:val="001065F3"/>
    <w:rsid w:val="00112F57"/>
    <w:rsid w:val="0016397D"/>
    <w:rsid w:val="00166F3D"/>
    <w:rsid w:val="0019649A"/>
    <w:rsid w:val="00197DC9"/>
    <w:rsid w:val="001A1AC9"/>
    <w:rsid w:val="001A32CC"/>
    <w:rsid w:val="001A3C34"/>
    <w:rsid w:val="001A4BC6"/>
    <w:rsid w:val="001B0781"/>
    <w:rsid w:val="001B2127"/>
    <w:rsid w:val="001C6BB3"/>
    <w:rsid w:val="001D42B2"/>
    <w:rsid w:val="001D5089"/>
    <w:rsid w:val="00200130"/>
    <w:rsid w:val="00201131"/>
    <w:rsid w:val="0020697A"/>
    <w:rsid w:val="00211FAF"/>
    <w:rsid w:val="0022353F"/>
    <w:rsid w:val="00223607"/>
    <w:rsid w:val="00223AD4"/>
    <w:rsid w:val="00223FFE"/>
    <w:rsid w:val="00231460"/>
    <w:rsid w:val="00232F51"/>
    <w:rsid w:val="00237332"/>
    <w:rsid w:val="00264E21"/>
    <w:rsid w:val="00274EDB"/>
    <w:rsid w:val="002A57BC"/>
    <w:rsid w:val="002C0C33"/>
    <w:rsid w:val="002C1047"/>
    <w:rsid w:val="002C54D4"/>
    <w:rsid w:val="002E5815"/>
    <w:rsid w:val="002F1E57"/>
    <w:rsid w:val="002F6000"/>
    <w:rsid w:val="003026F8"/>
    <w:rsid w:val="0030615C"/>
    <w:rsid w:val="003064B5"/>
    <w:rsid w:val="00316931"/>
    <w:rsid w:val="00332B5F"/>
    <w:rsid w:val="00361BFA"/>
    <w:rsid w:val="00377F23"/>
    <w:rsid w:val="0038494E"/>
    <w:rsid w:val="003863B7"/>
    <w:rsid w:val="003A55B3"/>
    <w:rsid w:val="003B0B9D"/>
    <w:rsid w:val="003B0FC9"/>
    <w:rsid w:val="003D62D6"/>
    <w:rsid w:val="003E09F3"/>
    <w:rsid w:val="003E1099"/>
    <w:rsid w:val="003E1944"/>
    <w:rsid w:val="003F06E8"/>
    <w:rsid w:val="003F0E6C"/>
    <w:rsid w:val="003F7D37"/>
    <w:rsid w:val="00407877"/>
    <w:rsid w:val="00420BAA"/>
    <w:rsid w:val="00420C1F"/>
    <w:rsid w:val="00421786"/>
    <w:rsid w:val="00426256"/>
    <w:rsid w:val="00434C8F"/>
    <w:rsid w:val="00443BB3"/>
    <w:rsid w:val="00445DB2"/>
    <w:rsid w:val="00447312"/>
    <w:rsid w:val="004521D4"/>
    <w:rsid w:val="004634DA"/>
    <w:rsid w:val="0046661D"/>
    <w:rsid w:val="00475C65"/>
    <w:rsid w:val="00486B7F"/>
    <w:rsid w:val="0049150A"/>
    <w:rsid w:val="004A59ED"/>
    <w:rsid w:val="004B32DA"/>
    <w:rsid w:val="004B60D6"/>
    <w:rsid w:val="004C14D7"/>
    <w:rsid w:val="004C20C0"/>
    <w:rsid w:val="004D1213"/>
    <w:rsid w:val="004D14A1"/>
    <w:rsid w:val="004F6D05"/>
    <w:rsid w:val="00517F0B"/>
    <w:rsid w:val="00523124"/>
    <w:rsid w:val="00532721"/>
    <w:rsid w:val="00537B1E"/>
    <w:rsid w:val="0056293B"/>
    <w:rsid w:val="00565632"/>
    <w:rsid w:val="00566012"/>
    <w:rsid w:val="005920F0"/>
    <w:rsid w:val="00592AD0"/>
    <w:rsid w:val="005A1FFC"/>
    <w:rsid w:val="005C56F1"/>
    <w:rsid w:val="005D09DD"/>
    <w:rsid w:val="005D4002"/>
    <w:rsid w:val="005E19A7"/>
    <w:rsid w:val="005F14A7"/>
    <w:rsid w:val="00603C27"/>
    <w:rsid w:val="0061693B"/>
    <w:rsid w:val="006233ED"/>
    <w:rsid w:val="00627304"/>
    <w:rsid w:val="00627B3B"/>
    <w:rsid w:val="0063073A"/>
    <w:rsid w:val="00631484"/>
    <w:rsid w:val="00635EA1"/>
    <w:rsid w:val="006422AD"/>
    <w:rsid w:val="00642EEC"/>
    <w:rsid w:val="00662287"/>
    <w:rsid w:val="00666F48"/>
    <w:rsid w:val="006721E2"/>
    <w:rsid w:val="0067743C"/>
    <w:rsid w:val="00677AF7"/>
    <w:rsid w:val="00691C6D"/>
    <w:rsid w:val="006939A5"/>
    <w:rsid w:val="006B6E7F"/>
    <w:rsid w:val="006C642E"/>
    <w:rsid w:val="006D1296"/>
    <w:rsid w:val="006D5DF7"/>
    <w:rsid w:val="0070224A"/>
    <w:rsid w:val="00742B9E"/>
    <w:rsid w:val="007456E1"/>
    <w:rsid w:val="00745DA1"/>
    <w:rsid w:val="00761F55"/>
    <w:rsid w:val="00762FD4"/>
    <w:rsid w:val="00774798"/>
    <w:rsid w:val="00777124"/>
    <w:rsid w:val="007943EA"/>
    <w:rsid w:val="007A66D3"/>
    <w:rsid w:val="007C0121"/>
    <w:rsid w:val="007C01AD"/>
    <w:rsid w:val="007C203D"/>
    <w:rsid w:val="007C2108"/>
    <w:rsid w:val="007C3E55"/>
    <w:rsid w:val="007C472D"/>
    <w:rsid w:val="007D29DC"/>
    <w:rsid w:val="007D71A9"/>
    <w:rsid w:val="0080114C"/>
    <w:rsid w:val="00803893"/>
    <w:rsid w:val="008401DB"/>
    <w:rsid w:val="00854601"/>
    <w:rsid w:val="008560D3"/>
    <w:rsid w:val="008660A0"/>
    <w:rsid w:val="0088162D"/>
    <w:rsid w:val="00882245"/>
    <w:rsid w:val="008876FA"/>
    <w:rsid w:val="00887A44"/>
    <w:rsid w:val="00896E3A"/>
    <w:rsid w:val="008A06F3"/>
    <w:rsid w:val="008B5154"/>
    <w:rsid w:val="008B717F"/>
    <w:rsid w:val="008D183D"/>
    <w:rsid w:val="008F2C4A"/>
    <w:rsid w:val="008F49F4"/>
    <w:rsid w:val="0090130E"/>
    <w:rsid w:val="00915386"/>
    <w:rsid w:val="00915B73"/>
    <w:rsid w:val="0092718D"/>
    <w:rsid w:val="0096207B"/>
    <w:rsid w:val="009622C7"/>
    <w:rsid w:val="00965F74"/>
    <w:rsid w:val="00971862"/>
    <w:rsid w:val="00993D91"/>
    <w:rsid w:val="009E2CFD"/>
    <w:rsid w:val="009E3474"/>
    <w:rsid w:val="009F40AC"/>
    <w:rsid w:val="00A0097C"/>
    <w:rsid w:val="00A03644"/>
    <w:rsid w:val="00A0468B"/>
    <w:rsid w:val="00A0761C"/>
    <w:rsid w:val="00A1234E"/>
    <w:rsid w:val="00A163DF"/>
    <w:rsid w:val="00A46C0F"/>
    <w:rsid w:val="00A51A8D"/>
    <w:rsid w:val="00A56191"/>
    <w:rsid w:val="00A57273"/>
    <w:rsid w:val="00A664F5"/>
    <w:rsid w:val="00A91DED"/>
    <w:rsid w:val="00A96B69"/>
    <w:rsid w:val="00AA10F7"/>
    <w:rsid w:val="00AA1CCE"/>
    <w:rsid w:val="00AA3509"/>
    <w:rsid w:val="00AA6C50"/>
    <w:rsid w:val="00AB5624"/>
    <w:rsid w:val="00AC158E"/>
    <w:rsid w:val="00AC4881"/>
    <w:rsid w:val="00AD2C88"/>
    <w:rsid w:val="00AE40C9"/>
    <w:rsid w:val="00AE581D"/>
    <w:rsid w:val="00AE7F46"/>
    <w:rsid w:val="00AF6BBB"/>
    <w:rsid w:val="00B018EA"/>
    <w:rsid w:val="00B065B6"/>
    <w:rsid w:val="00B11429"/>
    <w:rsid w:val="00B25746"/>
    <w:rsid w:val="00B31AFE"/>
    <w:rsid w:val="00B3394C"/>
    <w:rsid w:val="00B45BD6"/>
    <w:rsid w:val="00B57BE0"/>
    <w:rsid w:val="00B61F94"/>
    <w:rsid w:val="00B64BE7"/>
    <w:rsid w:val="00B804A5"/>
    <w:rsid w:val="00B959FC"/>
    <w:rsid w:val="00BA6857"/>
    <w:rsid w:val="00BB41EE"/>
    <w:rsid w:val="00BB742F"/>
    <w:rsid w:val="00BC1257"/>
    <w:rsid w:val="00BC223F"/>
    <w:rsid w:val="00BD1E15"/>
    <w:rsid w:val="00BD6E9E"/>
    <w:rsid w:val="00BE0E2E"/>
    <w:rsid w:val="00BE5256"/>
    <w:rsid w:val="00C15987"/>
    <w:rsid w:val="00C17ACC"/>
    <w:rsid w:val="00C24004"/>
    <w:rsid w:val="00C442EC"/>
    <w:rsid w:val="00C71A9F"/>
    <w:rsid w:val="00C742DD"/>
    <w:rsid w:val="00C8651F"/>
    <w:rsid w:val="00CA18FF"/>
    <w:rsid w:val="00CA67E3"/>
    <w:rsid w:val="00CB1856"/>
    <w:rsid w:val="00CB42B4"/>
    <w:rsid w:val="00CB59AB"/>
    <w:rsid w:val="00CB5AE3"/>
    <w:rsid w:val="00CB6DF6"/>
    <w:rsid w:val="00CC19F0"/>
    <w:rsid w:val="00CD07DE"/>
    <w:rsid w:val="00CD7627"/>
    <w:rsid w:val="00D002EC"/>
    <w:rsid w:val="00D012B6"/>
    <w:rsid w:val="00D12562"/>
    <w:rsid w:val="00D302BA"/>
    <w:rsid w:val="00D34C79"/>
    <w:rsid w:val="00D367B2"/>
    <w:rsid w:val="00D377F5"/>
    <w:rsid w:val="00D44762"/>
    <w:rsid w:val="00D45DF1"/>
    <w:rsid w:val="00D64430"/>
    <w:rsid w:val="00D65875"/>
    <w:rsid w:val="00D77CFF"/>
    <w:rsid w:val="00D90391"/>
    <w:rsid w:val="00D908A7"/>
    <w:rsid w:val="00D942AE"/>
    <w:rsid w:val="00D96D2B"/>
    <w:rsid w:val="00DC11C3"/>
    <w:rsid w:val="00DC454F"/>
    <w:rsid w:val="00DC67A9"/>
    <w:rsid w:val="00DD270B"/>
    <w:rsid w:val="00DF0BEB"/>
    <w:rsid w:val="00DF205E"/>
    <w:rsid w:val="00DF4657"/>
    <w:rsid w:val="00DF4B1E"/>
    <w:rsid w:val="00E133B5"/>
    <w:rsid w:val="00E16709"/>
    <w:rsid w:val="00E344FC"/>
    <w:rsid w:val="00E358D5"/>
    <w:rsid w:val="00E35AFF"/>
    <w:rsid w:val="00E46640"/>
    <w:rsid w:val="00E54E99"/>
    <w:rsid w:val="00E76FC3"/>
    <w:rsid w:val="00E8041A"/>
    <w:rsid w:val="00E90DD4"/>
    <w:rsid w:val="00EA0977"/>
    <w:rsid w:val="00EC5A4A"/>
    <w:rsid w:val="00F00DC3"/>
    <w:rsid w:val="00F1097A"/>
    <w:rsid w:val="00F1555C"/>
    <w:rsid w:val="00F24C13"/>
    <w:rsid w:val="00F26A0F"/>
    <w:rsid w:val="00F33823"/>
    <w:rsid w:val="00F42BAF"/>
    <w:rsid w:val="00F57E29"/>
    <w:rsid w:val="00F65912"/>
    <w:rsid w:val="00F662C3"/>
    <w:rsid w:val="00F867F7"/>
    <w:rsid w:val="00F921B7"/>
    <w:rsid w:val="00F92278"/>
    <w:rsid w:val="00FC3856"/>
    <w:rsid w:val="00FD326C"/>
    <w:rsid w:val="00FD32F5"/>
    <w:rsid w:val="00FE6FB6"/>
    <w:rsid w:val="00FF4C21"/>
    <w:rsid w:val="00FF7555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7"/>
        <o:r id="V:Rule6" type="connector" idref="#_x0000_s1038"/>
        <o:r id="V:Rule7" type="connector" idref="#_x0000_s1042"/>
        <o:r id="V:Rule8" type="connector" idref="#_x0000_s1043"/>
        <o:r id="V:Rule9" type="connector" idref="#_x0000_s1044"/>
        <o:r id="V:Rule10" type="connector" idref="#_x0000_s1054"/>
        <o:r id="V:Rule11" type="connector" idref="#_x0000_s1055"/>
        <o:r id="V:Rule12" type="connector" idref="#_x0000_s1056"/>
        <o:r id="V:Rule13" type="connector" idref="#_x0000_s1057"/>
        <o:r id="V:Rule14" type="connector" idref="#_x0000_s1058"/>
        <o:r id="V:Rule15" type="connector" idref="#_x0000_s1059"/>
      </o:rules>
    </o:shapelayout>
  </w:shapeDefaults>
  <w:decimalSymbol w:val=","/>
  <w:listSeparator w:val=";"/>
  <w14:defaultImageDpi w14:val="0"/>
  <w15:chartTrackingRefBased/>
  <w15:docId w15:val="{2F0D7FC8-9FA9-401A-8B80-44C596A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BE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4BE7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4BE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4BE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4BE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4BE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4BE7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4BE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64BE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1111">
    <w:name w:val="111111"/>
    <w:basedOn w:val="a3"/>
    <w:uiPriority w:val="99"/>
    <w:rsid w:val="002C1047"/>
    <w:pPr>
      <w:spacing w:before="120" w:line="360" w:lineRule="auto"/>
      <w:ind w:left="510"/>
      <w:jc w:val="both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2C104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222222">
    <w:name w:val="222222"/>
    <w:basedOn w:val="111111"/>
    <w:uiPriority w:val="99"/>
    <w:rsid w:val="002C1047"/>
    <w:pPr>
      <w:ind w:left="454"/>
    </w:pPr>
  </w:style>
  <w:style w:type="paragraph" w:customStyle="1" w:styleId="21">
    <w:name w:val="Стиль2"/>
    <w:basedOn w:val="HTML"/>
    <w:uiPriority w:val="99"/>
    <w:rsid w:val="003F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360" w:lineRule="auto"/>
      <w:ind w:firstLine="624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3F0E6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5">
    <w:name w:val="йййй"/>
    <w:basedOn w:val="HTML"/>
    <w:uiPriority w:val="99"/>
    <w:rsid w:val="003F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240" w:line="360" w:lineRule="auto"/>
      <w:ind w:firstLine="68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Normal (Web)"/>
    <w:basedOn w:val="a"/>
    <w:uiPriority w:val="99"/>
    <w:rsid w:val="003A55B3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3A55B3"/>
    <w:pPr>
      <w:spacing w:before="360"/>
    </w:pPr>
    <w:rPr>
      <w:rFonts w:ascii="Arial" w:hAnsi="Arial" w:cs="Arial"/>
      <w:b/>
      <w:bCs/>
      <w:caps/>
    </w:rPr>
  </w:style>
  <w:style w:type="paragraph" w:styleId="a7">
    <w:name w:val="footer"/>
    <w:basedOn w:val="a"/>
    <w:link w:val="a8"/>
    <w:uiPriority w:val="99"/>
    <w:rsid w:val="003A55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A55B3"/>
  </w:style>
  <w:style w:type="paragraph" w:styleId="22">
    <w:name w:val="Body Text Indent 2"/>
    <w:basedOn w:val="a"/>
    <w:link w:val="23"/>
    <w:uiPriority w:val="99"/>
    <w:rsid w:val="00B64B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24">
    <w:name w:val="Body Text 2"/>
    <w:basedOn w:val="a"/>
    <w:link w:val="25"/>
    <w:uiPriority w:val="99"/>
    <w:rsid w:val="00B64BE7"/>
    <w:pPr>
      <w:spacing w:after="120"/>
      <w:ind w:left="283"/>
    </w:p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64B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FontStyle15">
    <w:name w:val="Font Style15"/>
    <w:uiPriority w:val="99"/>
    <w:rsid w:val="00B64BE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64BE7"/>
    <w:pPr>
      <w:widowControl w:val="0"/>
      <w:autoSpaceDE w:val="0"/>
      <w:autoSpaceDN w:val="0"/>
      <w:adjustRightInd w:val="0"/>
      <w:spacing w:line="274" w:lineRule="exact"/>
      <w:ind w:firstLine="302"/>
      <w:jc w:val="both"/>
    </w:pPr>
  </w:style>
  <w:style w:type="paragraph" w:styleId="aa">
    <w:name w:val="header"/>
    <w:basedOn w:val="a"/>
    <w:link w:val="ab"/>
    <w:uiPriority w:val="99"/>
    <w:rsid w:val="00B64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u">
    <w:name w:val="u"/>
    <w:basedOn w:val="a"/>
    <w:uiPriority w:val="99"/>
    <w:rsid w:val="00443BB3"/>
    <w:pPr>
      <w:suppressAutoHyphens/>
      <w:spacing w:before="280" w:after="280"/>
      <w:ind w:firstLine="709"/>
      <w:jc w:val="both"/>
    </w:pPr>
    <w:rPr>
      <w:lang w:eastAsia="ar-SA"/>
    </w:rPr>
  </w:style>
  <w:style w:type="character" w:styleId="ac">
    <w:name w:val="Emphasis"/>
    <w:uiPriority w:val="99"/>
    <w:qFormat/>
    <w:rsid w:val="00443BB3"/>
    <w:rPr>
      <w:i/>
      <w:iCs/>
    </w:rPr>
  </w:style>
  <w:style w:type="paragraph" w:styleId="26">
    <w:name w:val="toc 2"/>
    <w:basedOn w:val="a"/>
    <w:next w:val="a"/>
    <w:autoRedefine/>
    <w:uiPriority w:val="99"/>
    <w:semiHidden/>
    <w:rsid w:val="00523124"/>
    <w:pPr>
      <w:spacing w:before="240"/>
    </w:pPr>
    <w:rPr>
      <w:b/>
      <w:bCs/>
      <w:sz w:val="20"/>
      <w:szCs w:val="20"/>
    </w:rPr>
  </w:style>
  <w:style w:type="character" w:styleId="ad">
    <w:name w:val="Hyperlink"/>
    <w:uiPriority w:val="99"/>
    <w:rsid w:val="0052312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20113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201131"/>
    <w:rPr>
      <w:vertAlign w:val="superscript"/>
    </w:rPr>
  </w:style>
  <w:style w:type="table" w:styleId="af1">
    <w:name w:val="Table Grid"/>
    <w:basedOn w:val="a1"/>
    <w:uiPriority w:val="99"/>
    <w:rsid w:val="00BB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56563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99"/>
    <w:semiHidden/>
    <w:rsid w:val="00915B73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915B73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915B73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15B73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915B73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15B73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15B73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NASA</Company>
  <LinksUpToDate>false</LinksUpToDate>
  <CharactersWithSpaces>48867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KATYA</dc:creator>
  <cp:keywords/>
  <dc:description/>
  <cp:lastModifiedBy>admin</cp:lastModifiedBy>
  <cp:revision>2</cp:revision>
  <cp:lastPrinted>2010-11-26T09:41:00Z</cp:lastPrinted>
  <dcterms:created xsi:type="dcterms:W3CDTF">2014-03-23T22:27:00Z</dcterms:created>
  <dcterms:modified xsi:type="dcterms:W3CDTF">2014-03-23T22:27:00Z</dcterms:modified>
</cp:coreProperties>
</file>