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709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7B71">
        <w:rPr>
          <w:b/>
          <w:sz w:val="28"/>
          <w:szCs w:val="28"/>
        </w:rPr>
        <w:t>План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53709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57B71">
        <w:rPr>
          <w:sz w:val="28"/>
          <w:szCs w:val="28"/>
        </w:rPr>
        <w:t>Введение</w:t>
      </w:r>
    </w:p>
    <w:p w:rsidR="00153709" w:rsidRPr="00457B71" w:rsidRDefault="00153709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57B71">
        <w:rPr>
          <w:bCs/>
          <w:sz w:val="28"/>
          <w:szCs w:val="28"/>
        </w:rPr>
        <w:t>1.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Российские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избирательные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кампании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2003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году: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основная</w:t>
      </w:r>
      <w:r w:rsidR="00457B71" w:rsidRPr="00457B71">
        <w:rPr>
          <w:bCs/>
          <w:sz w:val="28"/>
          <w:szCs w:val="28"/>
        </w:rPr>
        <w:t xml:space="preserve"> </w:t>
      </w:r>
      <w:r w:rsidR="00E52322">
        <w:rPr>
          <w:bCs/>
          <w:sz w:val="28"/>
          <w:szCs w:val="28"/>
        </w:rPr>
        <w:t>тенденция</w:t>
      </w:r>
    </w:p>
    <w:p w:rsidR="00153709" w:rsidRPr="00457B71" w:rsidRDefault="00153709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57B71">
        <w:rPr>
          <w:bCs/>
          <w:sz w:val="28"/>
          <w:szCs w:val="28"/>
        </w:rPr>
        <w:t>2.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Выборы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Государственную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Думу: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структура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проведения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избирательной</w:t>
      </w:r>
      <w:r w:rsidR="00457B71" w:rsidRPr="00457B71">
        <w:rPr>
          <w:bCs/>
          <w:sz w:val="28"/>
          <w:szCs w:val="28"/>
        </w:rPr>
        <w:t xml:space="preserve"> </w:t>
      </w:r>
      <w:r w:rsidR="00E52322">
        <w:rPr>
          <w:bCs/>
          <w:sz w:val="28"/>
          <w:szCs w:val="28"/>
        </w:rPr>
        <w:t>кампании</w:t>
      </w:r>
    </w:p>
    <w:p w:rsidR="00153709" w:rsidRPr="00457B71" w:rsidRDefault="00153709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57B71">
        <w:rPr>
          <w:bCs/>
          <w:sz w:val="28"/>
          <w:szCs w:val="28"/>
        </w:rPr>
        <w:t>3.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  <w:lang w:val="en-US"/>
        </w:rPr>
        <w:t>PR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кампании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политических</w:t>
      </w:r>
      <w:r w:rsidR="00457B71" w:rsidRPr="00457B71">
        <w:rPr>
          <w:bCs/>
          <w:sz w:val="28"/>
          <w:szCs w:val="28"/>
        </w:rPr>
        <w:t xml:space="preserve"> </w:t>
      </w:r>
      <w:r w:rsidR="00E52322">
        <w:rPr>
          <w:bCs/>
          <w:sz w:val="28"/>
          <w:szCs w:val="28"/>
        </w:rPr>
        <w:t>партий</w:t>
      </w:r>
    </w:p>
    <w:p w:rsidR="00153709" w:rsidRPr="00457B71" w:rsidRDefault="00153709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457B71">
        <w:rPr>
          <w:bCs/>
          <w:sz w:val="28"/>
          <w:szCs w:val="28"/>
        </w:rPr>
        <w:t>3.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Злоупотребление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административным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ресурсом: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доминирующий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фактор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избирательной</w:t>
      </w:r>
      <w:r w:rsidR="00457B71" w:rsidRP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</w:t>
      </w:r>
      <w:r w:rsidR="00E52322">
        <w:rPr>
          <w:bCs/>
          <w:sz w:val="28"/>
          <w:szCs w:val="28"/>
        </w:rPr>
        <w:t>мпании</w:t>
      </w:r>
    </w:p>
    <w:p w:rsidR="00153709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53709" w:rsidRPr="00457B71">
        <w:rPr>
          <w:bCs/>
          <w:sz w:val="28"/>
          <w:szCs w:val="28"/>
        </w:rPr>
        <w:t>.</w:t>
      </w:r>
      <w:r w:rsidRPr="00457B71">
        <w:rPr>
          <w:bCs/>
          <w:sz w:val="28"/>
          <w:szCs w:val="28"/>
        </w:rPr>
        <w:t xml:space="preserve"> </w:t>
      </w:r>
      <w:r w:rsidR="00153709" w:rsidRPr="00457B71">
        <w:rPr>
          <w:bCs/>
          <w:sz w:val="28"/>
          <w:szCs w:val="28"/>
        </w:rPr>
        <w:t>Мониторинг</w:t>
      </w:r>
      <w:r w:rsidRPr="00457B71">
        <w:rPr>
          <w:bCs/>
          <w:sz w:val="28"/>
          <w:szCs w:val="28"/>
        </w:rPr>
        <w:t xml:space="preserve"> </w:t>
      </w:r>
      <w:r w:rsidR="00153709" w:rsidRPr="00457B71">
        <w:rPr>
          <w:bCs/>
          <w:sz w:val="28"/>
          <w:szCs w:val="28"/>
        </w:rPr>
        <w:t>избирательной</w:t>
      </w:r>
      <w:r w:rsidRPr="00457B71">
        <w:rPr>
          <w:bCs/>
          <w:sz w:val="28"/>
          <w:szCs w:val="28"/>
        </w:rPr>
        <w:t xml:space="preserve"> </w:t>
      </w:r>
      <w:r w:rsidR="00153709" w:rsidRPr="00457B71">
        <w:rPr>
          <w:bCs/>
          <w:sz w:val="28"/>
          <w:szCs w:val="28"/>
        </w:rPr>
        <w:t>кампании</w:t>
      </w:r>
      <w:r w:rsidRPr="00457B71">
        <w:rPr>
          <w:bCs/>
          <w:sz w:val="28"/>
          <w:szCs w:val="28"/>
        </w:rPr>
        <w:t xml:space="preserve"> </w:t>
      </w:r>
      <w:r w:rsidR="00153709" w:rsidRPr="00457B71">
        <w:rPr>
          <w:bCs/>
          <w:sz w:val="28"/>
          <w:szCs w:val="28"/>
        </w:rPr>
        <w:t>различными</w:t>
      </w:r>
      <w:r w:rsidRPr="00457B71">
        <w:rPr>
          <w:bCs/>
          <w:sz w:val="28"/>
          <w:szCs w:val="28"/>
        </w:rPr>
        <w:t xml:space="preserve"> </w:t>
      </w:r>
      <w:r w:rsidR="00E52322">
        <w:rPr>
          <w:bCs/>
          <w:sz w:val="28"/>
          <w:szCs w:val="28"/>
        </w:rPr>
        <w:t>организациями</w:t>
      </w:r>
    </w:p>
    <w:p w:rsidR="00153709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Заключение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Литература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B25AF" w:rsidRDefault="00153709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7B71">
        <w:rPr>
          <w:sz w:val="28"/>
          <w:szCs w:val="28"/>
        </w:rPr>
        <w:br w:type="page"/>
      </w:r>
      <w:r w:rsidR="00457B71">
        <w:rPr>
          <w:b/>
          <w:sz w:val="28"/>
          <w:szCs w:val="28"/>
        </w:rPr>
        <w:t>Введение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Официально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объявлено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Указом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сентября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началась,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начнут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момента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наличием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влиятельных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организационных,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кадровых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ресурсов.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постоянно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демонстрируется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жизни”,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возрождения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поддерживающим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“Русь”,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“Русской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“Евразийской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рекламируют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себя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щитах,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расположенных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улицах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городов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вдоль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автомагистралей.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Реклама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видеороликов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щитов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автомагистралях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дорогой,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отдаленности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момента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обладает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сравнительно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невысокой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эффективностью.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ряд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располагая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источников,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раньше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сознательно.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Нормы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ограничивают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PR-кампаний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размещать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материал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последующего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отчёта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устанавливаемые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неизвестные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повысить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узнаваемости,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используя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дорогие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рекламы.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значимость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злоупотребления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чёткое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влияние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низко,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прямой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контакт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посредством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встреч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митингов.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Оценка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значимости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методов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непростая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задача.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достоверных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убедительного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анализа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характеристик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затраченные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рода,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другой.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неравным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</w:p>
    <w:p w:rsidR="004B25AF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случаях,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(СМИ),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контролируемым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оплачивает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освещение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вообще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фигурировать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масс-медиа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инструментом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соперничающие,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Россией»,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суммы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методом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обхода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двери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двери».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Анализ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показывает,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однако,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причиной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убеждение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конкретной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напрямую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вынуждены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полагаться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методы,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зачастую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чрезвычайно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затратные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бессмысленные,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находящимся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органов</w:t>
      </w:r>
      <w:r w:rsidR="00457B71">
        <w:rPr>
          <w:sz w:val="28"/>
          <w:szCs w:val="28"/>
        </w:rPr>
        <w:t>.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5AF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B71">
        <w:rPr>
          <w:sz w:val="28"/>
          <w:szCs w:val="28"/>
        </w:rPr>
        <w:br w:type="page"/>
      </w:r>
      <w:r w:rsidRPr="00457B71">
        <w:rPr>
          <w:b/>
          <w:bCs/>
          <w:sz w:val="28"/>
          <w:szCs w:val="28"/>
        </w:rPr>
        <w:t>1.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Российские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избирательные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кампании</w:t>
      </w:r>
      <w:r w:rsidR="00457B71">
        <w:rPr>
          <w:b/>
          <w:bCs/>
          <w:sz w:val="28"/>
          <w:szCs w:val="28"/>
        </w:rPr>
        <w:t xml:space="preserve"> </w:t>
      </w:r>
      <w:r w:rsidR="00153709" w:rsidRPr="00457B71">
        <w:rPr>
          <w:b/>
          <w:bCs/>
          <w:sz w:val="28"/>
          <w:szCs w:val="28"/>
        </w:rPr>
        <w:t>в</w:t>
      </w:r>
      <w:r w:rsidR="00457B71">
        <w:rPr>
          <w:b/>
          <w:bCs/>
          <w:sz w:val="28"/>
          <w:szCs w:val="28"/>
        </w:rPr>
        <w:t xml:space="preserve"> </w:t>
      </w:r>
      <w:r w:rsidR="00153709" w:rsidRPr="00457B71">
        <w:rPr>
          <w:b/>
          <w:bCs/>
          <w:sz w:val="28"/>
          <w:szCs w:val="28"/>
        </w:rPr>
        <w:t>2003</w:t>
      </w:r>
      <w:r w:rsidR="00457B71">
        <w:rPr>
          <w:b/>
          <w:bCs/>
          <w:sz w:val="28"/>
          <w:szCs w:val="28"/>
        </w:rPr>
        <w:t xml:space="preserve"> </w:t>
      </w:r>
      <w:r w:rsidR="00153709" w:rsidRPr="00457B71">
        <w:rPr>
          <w:b/>
          <w:bCs/>
          <w:sz w:val="28"/>
          <w:szCs w:val="28"/>
        </w:rPr>
        <w:t>году</w:t>
      </w:r>
      <w:r w:rsidRPr="00457B71">
        <w:rPr>
          <w:b/>
          <w:bCs/>
          <w:sz w:val="28"/>
          <w:szCs w:val="28"/>
        </w:rPr>
        <w:t>: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основная</w:t>
      </w:r>
      <w:r w:rsidR="00457B71">
        <w:rPr>
          <w:b/>
          <w:bCs/>
          <w:sz w:val="28"/>
          <w:szCs w:val="28"/>
        </w:rPr>
        <w:t xml:space="preserve"> тенденция</w:t>
      </w:r>
    </w:p>
    <w:p w:rsidR="00E52322" w:rsidRPr="00A56DAC" w:rsidRDefault="00E52322" w:rsidP="00E5232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FFFFFF"/>
          <w:sz w:val="28"/>
          <w:szCs w:val="28"/>
        </w:rPr>
      </w:pPr>
      <w:r w:rsidRPr="00A56DAC">
        <w:rPr>
          <w:b/>
          <w:bCs/>
          <w:color w:val="FFFFFF"/>
          <w:sz w:val="28"/>
          <w:szCs w:val="28"/>
        </w:rPr>
        <w:t>российский избирательный компания государственный дума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Характерно,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раннего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используют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Россию”,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жизни”,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возрождения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“Русь”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получившие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достаточно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рассчитывают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счёт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известности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потенциальных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благоприятного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будущим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т.п.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Старые,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хорошо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известные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старая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нужно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повышать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узнаваемости.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известна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проголосует.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деньги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задолго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требуется,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наверняка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нужный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момент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распорядиться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имеющимися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финансами.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намного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ниже,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гораздо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денег,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склонны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задолго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играют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отражено,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заявлении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подкреплено,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имеющимися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количестве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доводами.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дополнение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аргументам,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прежние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организаторы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помощники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проинтервьюированные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единодушны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инструментами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завоевание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>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Пытаясь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характеристику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понимать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одномандатному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округу.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параметрам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пересекаются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номинированные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одномандатным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элементы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общефедеральной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партии),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непосредственно</w:t>
      </w:r>
      <w:r w:rsidR="00457B71">
        <w:rPr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на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отличаться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грамотной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степени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нивелировать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влияние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массовой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расчёт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анализе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процессов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России.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25AF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B71">
        <w:rPr>
          <w:b/>
          <w:bCs/>
          <w:sz w:val="28"/>
          <w:szCs w:val="28"/>
        </w:rPr>
        <w:t>2.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sz w:val="28"/>
          <w:szCs w:val="28"/>
        </w:rPr>
        <w:t>В</w:t>
      </w:r>
      <w:r w:rsidRPr="00457B71">
        <w:rPr>
          <w:b/>
          <w:bCs/>
          <w:sz w:val="28"/>
          <w:szCs w:val="28"/>
        </w:rPr>
        <w:t>ыборы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в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Государственную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Думу: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структура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проведения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избирательной</w:t>
      </w:r>
      <w:r w:rsidR="00457B71">
        <w:rPr>
          <w:b/>
          <w:bCs/>
          <w:sz w:val="28"/>
          <w:szCs w:val="28"/>
        </w:rPr>
        <w:t xml:space="preserve"> кампании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прошли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тенденцией,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описанной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выше.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нашли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отражение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изменения,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произошедшие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Во-первых,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консолидированной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обеспечило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Кремля.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Во-вторых,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подавление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критически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настроенных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электронных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массовой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контролируемые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ценным,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раньше,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инструментом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искомых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подконтрольных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каналов,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уравновешивало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независимых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общенациональных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телеканалов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(НТВ).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контролируемым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каналам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никакого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противовеса.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выставочном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“Манеж”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проходил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организатором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учреждённый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тремя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влиятельными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организациями: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Институтом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социально-политических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исследований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академии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наук,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Московской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юридической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академией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ответственностью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“Сенат”.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Альбертович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директором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Станиславович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Пржездомский.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некоммерческой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финансирование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лучших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выставочных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залов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достаточно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масштабного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мероприятия,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>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задачи: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корректном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представляли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межпартийные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дискуссии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социально-экономической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тематике,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круглые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столы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презентации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привлечения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концертные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подготовленные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инициативе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Такая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впервые,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элементов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шоу,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какой-либо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Видимо,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понемногу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перенимать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западные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методы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привлекали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масштабами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четыре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входа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напротив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символически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располагались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двух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выдержан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красных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тонах,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висел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размеров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плакат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изображением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“масс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трудящихся”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стилистике,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сходной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советской.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висел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лозунг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власть”,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снят,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по-видимому,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постоянно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демонстрировались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телевизионные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себя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работавшие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молодые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агитаторы.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старались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побеседовать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каждым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подошедшим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ответить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вопросы,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предложить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литературу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т.п.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оформила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цветами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поставила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плакат,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напоминал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количестве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гласила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надпись,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фигурировала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цифра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562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011.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Рядом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плакатом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стоял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кукольный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медведь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символикой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Литературы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раздавалось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немного.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Третий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расположенный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недалеко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принадлежал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представлял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Вольфовича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Жириновского.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посетителям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раздавались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авторские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книги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брошюры,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постоянно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демонстрировались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видеозаписи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выступлений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телевидению.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агитаторов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обязанностям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формально,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содержательных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бесед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посетителями,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интересовались.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Четвёртым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экспозиция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оформленная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цветах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постоянной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раздавалось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литературы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сравнению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карикатуру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расценено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журналистами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неиспользовании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“грязных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технологий”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попытку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как-то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помешать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сильному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сопернику.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остальных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экспозиций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выделялась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Человека”,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посетителей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привлекали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двумя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манекенами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одежды,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красных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платках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головах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кобурами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поясах.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достался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уголке,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чем-то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напоминал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маленькую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коморку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романов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Достоевского.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Работа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числе,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самореклама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креативные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оформления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раздачи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презервативов,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заканчивая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предложениями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желающим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провериться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содержание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наркотиков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крови,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вызывали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неоднозначные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оценки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посетителей.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некоммерческие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ставящие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активизацию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повышение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сознательно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объединённые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Международной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граждане!",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Юрьевна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Беляева,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небольшом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некоммерческих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стенде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связаны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обучением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противодействия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нарушениям</w:t>
      </w:r>
      <w:r w:rsidR="00457B71">
        <w:rPr>
          <w:sz w:val="28"/>
          <w:szCs w:val="28"/>
        </w:rPr>
        <w:t>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организовали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экспозиции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презентации.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четырех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межпартийных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дискуссиях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приняли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87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“круглых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столов”,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28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пресс-конференций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брифингов,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40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мероприятий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шесть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“Выборы-2003”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мероприятия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посетили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свыше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150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тысяч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человек.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Организаторы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считают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событием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“впервые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истории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площадке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канун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старта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увидеть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познакомиться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программами”.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Член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оргкомитета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директор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Пржездомский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уверен,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превзошел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ожидания.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реакция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хвалят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ругают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происходящее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Манеже,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скепсис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соседствует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осторожным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оптимизмом,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совсем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равнодушных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Пржездомского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называли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ярким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событием,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шоу,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третьи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“выставкой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хозяйства”,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оценки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какой-то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степени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справедливы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Многопартийные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подобные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“Выборы-</w:t>
      </w:r>
      <w:smartTag w:uri="urn:schemas-microsoft-com:office:smarttags" w:element="metricconverter">
        <w:smartTagPr>
          <w:attr w:name="ProductID" w:val="2003”"/>
        </w:smartTagPr>
        <w:r w:rsidRPr="00457B71">
          <w:rPr>
            <w:sz w:val="28"/>
            <w:szCs w:val="28"/>
          </w:rPr>
          <w:t>2003”</w:t>
        </w:r>
      </w:smartTag>
      <w:r w:rsidRPr="00457B71">
        <w:rPr>
          <w:sz w:val="28"/>
          <w:szCs w:val="28"/>
        </w:rPr>
        <w:t>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традиционными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преддверии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закрытии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Центризбиркома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22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выставочном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“Манеж”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“Выборы-2003”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состоялось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призванного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предотвратить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называемых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“черных”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документы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трёх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трёх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технологов.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подписывать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причиной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служат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многочисленные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обвинения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“Яблока”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адрес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некорректной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негативной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адрес.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проявлениями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задумывалось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подписывать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знают,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занимаются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“черных”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“Яблока”.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позволили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публичные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адрес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одновременно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уйдя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ответственности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дальнейшем.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событиях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попыталась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борьбе</w:t>
      </w:r>
      <w:r w:rsidR="00457B71">
        <w:rPr>
          <w:sz w:val="28"/>
          <w:szCs w:val="28"/>
        </w:rPr>
        <w:t>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Целью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прекращение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“грязных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технологий”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распространившиеся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последние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применяемые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снижают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доверия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результатам,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устанавливают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документах,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провозглашается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“приоритет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групповыми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личными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соображениями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целесообразности”,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“ответственность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повлиять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волеизъявления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называемого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равенство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информировании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избирателей;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предпочтение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дискуссии,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заочной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полемики;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недопущение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“войны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компроматов”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дискредитации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прямого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косвенного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материальных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благ,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приоритет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согласительных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процедур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возникновения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споров.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выполнения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положений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предполагается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сформировать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публичные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оценки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событиям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Никаких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полномочий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сформирован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десятый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опубликования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Указа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назначении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войдут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28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журналисты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четырех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(Медиа-союза,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журналистов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Национальной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телерадиовещателей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Клуба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прессы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"Четвертая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власть")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политтехнологов,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работающих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рынке.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площадке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устраивать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дискуссии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политиками.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Центризбирком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сотрудничать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оказывая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всяческую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помощь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отметил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директор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Пржездомский,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неукоснительное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соблюдение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принципов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превратить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состязание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позволит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механизмом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делать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утверждает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“…бессмысленно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надеяться,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сразу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чистыми.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мире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степени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страдала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болезнью.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вопрос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здесь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масштабах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болезни.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подписавших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наверняка,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найдутся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кажущейся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выгоды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пойдет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подлог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“грязных”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технологий.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говорится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“дорога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10000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миль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начинается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шага”.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сегодня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сделан”.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Президент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направил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приветствие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Текст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зачитал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Центризбиркома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Альбертович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отметил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понимания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идеологическими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соблюдения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принципов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выразил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убеждение,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честных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справедливых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сформирована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сильная,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авторитетная,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пользующаяся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доверием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власть.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надеется,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способствовать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развитию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культуры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жизни.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Глава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положительно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оценил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инициативу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корректном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пожелал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успехов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доброго.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развитой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честность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регулируется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аналогичных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заключённому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директор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Пржездомский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свидетельствует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незрелости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нашей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институтов,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обеспечивать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цивилизованную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смену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цивилизованные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пытаемся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компенсировать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незрелость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институтов.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Думаю,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временем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отпадет”.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Подобные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намерении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соблюдать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корректность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подписывались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прошлых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однажды.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приводили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чистоте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ИНДЕМ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учредил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специальные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премии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журналистам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“чистую”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“грязную”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сайте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ИНДЕМ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грязной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пропрезидентского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“Медведь”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(“Единство”)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телеканал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“чистые”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телекомпания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НТВ.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отметить,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“Медведь”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(“Единство”)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накануне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говорили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честной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достойной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</w:p>
    <w:p w:rsidR="009907ED" w:rsidRPr="00457B71" w:rsidRDefault="009907ED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инициаторов,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продемонстрировать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цивилизованный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характер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устанавливающийся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помощью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ожидать,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неизбежно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приведёт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положений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участниками.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применены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какие-то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санкции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наказания,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порицания,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вынесенного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советом.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прогнозировать,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санкций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порицаний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получат,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т.е.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договор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конкурентами.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Объёмы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важнейшими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наряду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организационными,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интеллектуальными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временными.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публикуемым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отчётам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внешним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невозможно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определить,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объёмами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располагает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конкретная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долгосрочных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инвестиций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бизнес,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середине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90-х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бизнеса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понимая,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долгосрочный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обязательно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закупать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площади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узнали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отличать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составляет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(СПС),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начавшая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дорогостоящую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причина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знают,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рейтинг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низок,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преодолеть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пятипроцентный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барьер.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помощью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достаточно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дорогой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кризиса</w:t>
      </w:r>
      <w:r w:rsidR="00457B71">
        <w:rPr>
          <w:sz w:val="28"/>
          <w:szCs w:val="28"/>
        </w:rPr>
        <w:t>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спонсоры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хорошо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"Яблоко",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вынуждена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настоящий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превысить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рейтинг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затраты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приносят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оценкам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наибольшими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распоряжаться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богатая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ЛДПР,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каждую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приходят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спонсоры,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ясно,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сведениям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проходной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шансами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бизнеса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выплачивать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долларов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США.</w:t>
      </w:r>
    </w:p>
    <w:p w:rsidR="00B53BB5" w:rsidRPr="00457B71" w:rsidRDefault="00B53BB5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Партиям-аутсайдерам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придется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довольствоваться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бесплатным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временем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малобюджетной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около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сорока,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точное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известно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окончания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сколько-нибудь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достоверной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статистики,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позволила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анализ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схемы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Таблица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269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показывает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схему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отчетами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предоставленными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комиссию.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57B71">
        <w:rPr>
          <w:bCs/>
          <w:sz w:val="28"/>
          <w:szCs w:val="28"/>
        </w:rPr>
        <w:t>Таблица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2: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Расходы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партий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на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избирательную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кампанию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по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выборам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Государственную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Думу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РФ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2003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года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соответствии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с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официальными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финансовыми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декларациями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(В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миллионах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руб.,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если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не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отмечено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иное)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4"/>
        <w:gridCol w:w="926"/>
        <w:gridCol w:w="540"/>
        <w:gridCol w:w="900"/>
        <w:gridCol w:w="900"/>
        <w:gridCol w:w="1080"/>
        <w:gridCol w:w="1080"/>
        <w:gridCol w:w="1080"/>
        <w:gridCol w:w="900"/>
      </w:tblGrid>
      <w:tr w:rsidR="004B25AF" w:rsidRPr="00457B71">
        <w:trPr>
          <w:trHeight w:val="346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Категория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расходов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Единая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Россия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КПРФ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ЛДПР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СПС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Яблоко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Родина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В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проц.</w:t>
            </w:r>
          </w:p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(%)</w:t>
            </w:r>
          </w:p>
        </w:tc>
      </w:tr>
      <w:tr w:rsidR="004B25AF" w:rsidRPr="00457B71">
        <w:trPr>
          <w:trHeight w:val="16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Сбор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подписей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A965B5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</w:t>
            </w:r>
            <w:r w:rsidR="004B25AF" w:rsidRPr="00457B71">
              <w:rPr>
                <w:sz w:val="20"/>
                <w:szCs w:val="20"/>
              </w:rPr>
              <w:t>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1.308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0.001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Агитация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в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аудиовизуальных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СМИ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95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6.6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111.8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117.5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35.3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76.1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462.3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48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Агитация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в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печатных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СМИ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11.5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A965B5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9.</w:t>
            </w:r>
            <w:r w:rsidR="004B25AF" w:rsidRPr="00457B7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</w:t>
            </w:r>
            <w:r w:rsidR="00A965B5" w:rsidRPr="00457B71">
              <w:rPr>
                <w:sz w:val="20"/>
                <w:szCs w:val="20"/>
              </w:rPr>
              <w:t>.</w:t>
            </w:r>
            <w:r w:rsidRPr="00457B71">
              <w:rPr>
                <w:sz w:val="20"/>
                <w:szCs w:val="20"/>
              </w:rPr>
              <w:t>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1.7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37.7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4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Агит.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печатные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и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проч.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материалы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A965B5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</w:t>
            </w:r>
            <w:r w:rsidR="004B25AF" w:rsidRPr="00457B71">
              <w:rPr>
                <w:sz w:val="20"/>
                <w:szCs w:val="20"/>
              </w:rPr>
              <w:t>6.3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E410E6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10.3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108.3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59.6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363.5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37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Публичные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массовые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мероприятия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6.6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E410E6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1</w:t>
            </w:r>
            <w:r w:rsidR="004B25AF" w:rsidRPr="00457B71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15.8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2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Консультационные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услуги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E410E6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</w:t>
            </w:r>
            <w:r w:rsidR="004B25AF" w:rsidRPr="00457B71">
              <w:rPr>
                <w:sz w:val="20"/>
                <w:szCs w:val="20"/>
              </w:rPr>
              <w:t>.15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E410E6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3.67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0.4</w:t>
            </w:r>
          </w:p>
        </w:tc>
      </w:tr>
      <w:tr w:rsidR="004B25AF" w:rsidRPr="00457B71">
        <w:trPr>
          <w:trHeight w:val="31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Оплата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прочих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работ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по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договорам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26.5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4.2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1.4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6.3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9.8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64.2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</w:t>
            </w:r>
          </w:p>
        </w:tc>
      </w:tr>
      <w:tr w:rsidR="004B25AF" w:rsidRPr="00457B71">
        <w:trPr>
          <w:trHeight w:val="163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Прочие</w:t>
            </w:r>
            <w:r w:rsidR="00457B71" w:rsidRPr="00457B71">
              <w:rPr>
                <w:sz w:val="20"/>
                <w:szCs w:val="20"/>
              </w:rPr>
              <w:t xml:space="preserve"> </w:t>
            </w:r>
            <w:r w:rsidRPr="00457B71">
              <w:rPr>
                <w:sz w:val="20"/>
                <w:szCs w:val="20"/>
              </w:rPr>
              <w:t>расходы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7.3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E410E6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</w:t>
            </w:r>
            <w:r w:rsidR="004B25AF" w:rsidRPr="00457B71">
              <w:rPr>
                <w:sz w:val="20"/>
                <w:szCs w:val="20"/>
              </w:rPr>
              <w:t>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15.7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0.1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25.1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3</w:t>
            </w:r>
          </w:p>
        </w:tc>
      </w:tr>
      <w:tr w:rsidR="004B25AF" w:rsidRPr="00457B71">
        <w:trPr>
          <w:trHeight w:val="787"/>
        </w:trPr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Общий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задекларированный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избирательный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фонд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и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суммарные</w:t>
            </w:r>
            <w:r w:rsidR="00457B71" w:rsidRPr="00457B71">
              <w:rPr>
                <w:bCs/>
                <w:sz w:val="20"/>
                <w:szCs w:val="20"/>
              </w:rPr>
              <w:t xml:space="preserve"> </w:t>
            </w:r>
            <w:r w:rsidRPr="00457B71">
              <w:rPr>
                <w:bCs/>
                <w:sz w:val="20"/>
                <w:szCs w:val="20"/>
              </w:rPr>
              <w:t>расходы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226.9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8.7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139.5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227.6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149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bCs/>
                <w:sz w:val="20"/>
                <w:szCs w:val="20"/>
              </w:rPr>
              <w:t>973.7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sz w:val="20"/>
                <w:szCs w:val="20"/>
              </w:rPr>
              <w:t>10070</w:t>
            </w:r>
          </w:p>
        </w:tc>
      </w:tr>
      <w:tr w:rsidR="004B25AF" w:rsidRPr="00457B71">
        <w:trPr>
          <w:trHeight w:val="326"/>
        </w:trPr>
        <w:tc>
          <w:tcPr>
            <w:tcW w:w="90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4B25AF" w:rsidRPr="00457B71" w:rsidRDefault="004B25AF" w:rsidP="00457B71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57B71">
              <w:rPr>
                <w:iCs/>
                <w:sz w:val="20"/>
                <w:szCs w:val="20"/>
              </w:rPr>
              <w:t>Источник:</w:t>
            </w:r>
            <w:r w:rsidR="00457B71" w:rsidRPr="00457B71">
              <w:rPr>
                <w:iCs/>
                <w:sz w:val="20"/>
                <w:szCs w:val="20"/>
              </w:rPr>
              <w:t xml:space="preserve"> </w:t>
            </w:r>
            <w:r w:rsidRPr="00457B71">
              <w:rPr>
                <w:iCs/>
                <w:sz w:val="20"/>
                <w:szCs w:val="20"/>
              </w:rPr>
              <w:t>Центральная</w:t>
            </w:r>
            <w:r w:rsidR="00457B71" w:rsidRPr="00457B71">
              <w:rPr>
                <w:iCs/>
                <w:sz w:val="20"/>
                <w:szCs w:val="20"/>
              </w:rPr>
              <w:t xml:space="preserve"> </w:t>
            </w:r>
            <w:r w:rsidRPr="00457B71">
              <w:rPr>
                <w:iCs/>
                <w:sz w:val="20"/>
                <w:szCs w:val="20"/>
              </w:rPr>
              <w:t>избирательная</w:t>
            </w:r>
            <w:r w:rsidR="00457B71" w:rsidRPr="00457B71">
              <w:rPr>
                <w:iCs/>
                <w:sz w:val="20"/>
                <w:szCs w:val="20"/>
              </w:rPr>
              <w:t xml:space="preserve"> </w:t>
            </w:r>
            <w:r w:rsidRPr="00457B71">
              <w:rPr>
                <w:iCs/>
                <w:sz w:val="20"/>
                <w:szCs w:val="20"/>
              </w:rPr>
              <w:t>комиссия</w:t>
            </w:r>
            <w:r w:rsidR="00457B71" w:rsidRPr="00457B71">
              <w:rPr>
                <w:iCs/>
                <w:sz w:val="20"/>
                <w:szCs w:val="20"/>
              </w:rPr>
              <w:t xml:space="preserve"> </w:t>
            </w:r>
            <w:r w:rsidRPr="00457B71">
              <w:rPr>
                <w:iCs/>
                <w:sz w:val="20"/>
                <w:szCs w:val="20"/>
              </w:rPr>
              <w:t>РФ</w:t>
            </w:r>
          </w:p>
        </w:tc>
      </w:tr>
    </w:tbl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прессе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сообщение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Центризбиркома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сумма,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аккумулированная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составляет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251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рублей,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«Родина»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около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158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76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рублей.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строке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таблицы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объясняются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D10384" w:rsidRPr="00457B71">
        <w:rPr>
          <w:sz w:val="28"/>
          <w:szCs w:val="28"/>
        </w:rPr>
        <w:t>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приводились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поступлений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денежные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переводы,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осуществленные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неправомочных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дисциплины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т.д.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требованиями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осуществлен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возврат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жертвователям: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24,5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млн.рублей,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«Родина»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9,4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7,2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млн.руб.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Кроме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внимание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сумма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—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973,578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миллионов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рублей,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суммировании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каждой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цифры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категориям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совпадают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="00D10384" w:rsidRPr="00457B71">
        <w:rPr>
          <w:sz w:val="28"/>
          <w:szCs w:val="28"/>
        </w:rPr>
        <w:t>абсолютной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точностью,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сумм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>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Однако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вышеприведенные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рассматриваться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отражение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точной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картины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распределения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расходов-партий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кампанию.</w:t>
      </w:r>
      <w:r w:rsidR="00457B71">
        <w:rPr>
          <w:sz w:val="28"/>
          <w:szCs w:val="28"/>
        </w:rPr>
        <w:t xml:space="preserve"> </w:t>
      </w:r>
      <w:r w:rsidR="00D10384" w:rsidRPr="00457B71">
        <w:rPr>
          <w:sz w:val="28"/>
          <w:szCs w:val="28"/>
        </w:rPr>
        <w:t>С</w:t>
      </w:r>
      <w:r w:rsidRPr="00457B71">
        <w:rPr>
          <w:sz w:val="28"/>
          <w:szCs w:val="28"/>
        </w:rPr>
        <w:t>уществует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широко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распространённое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отчёты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рассчитаны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приведенные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Таблице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служить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единственным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источником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по-прежнему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значительная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уходит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декларируемую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оплату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наличными.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рамках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показывают,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невозможно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масштабную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общенациональную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рамках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утвержденных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отчетностью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формален.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следует,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отчёты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лишь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частичное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затратах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кампанию.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159C" w:rsidRDefault="009907ED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457B71">
        <w:rPr>
          <w:b/>
          <w:sz w:val="28"/>
          <w:szCs w:val="28"/>
        </w:rPr>
        <w:t>3.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sz w:val="28"/>
          <w:szCs w:val="28"/>
          <w:lang w:val="en-US"/>
        </w:rPr>
        <w:t>PR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sz w:val="28"/>
          <w:szCs w:val="28"/>
        </w:rPr>
        <w:t>кампании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sz w:val="28"/>
          <w:szCs w:val="28"/>
        </w:rPr>
        <w:t>политических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sz w:val="28"/>
          <w:szCs w:val="28"/>
        </w:rPr>
        <w:t>партий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57B71">
        <w:rPr>
          <w:b/>
          <w:bCs/>
          <w:sz w:val="28"/>
          <w:szCs w:val="28"/>
        </w:rPr>
        <w:t>Коалиция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народно-патриотических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сил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воскресенье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25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презентации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Юрьевич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состоялось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“Соглашения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совместной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деятельности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соглашением,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вошли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соглашения,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Коалиционное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подписали: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Олег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Шеин,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труда,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Вячеслав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Игрунов,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Людей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Науку,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Рабеев,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“Созидание”,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Дугин,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“Евразия”,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традиционалистской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Алексей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Куимов,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президиума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Святую”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Попов,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Леонид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Гуревич,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Социально-либеральное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объединение,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Федосеенков,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заместитель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“Союз”,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Дмитрий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Вовчук,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заместитель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Социал-демократическая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Николай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Новичков,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заместитель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“Родное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отечество”,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Валентин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Полянский,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Герой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вице-президент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Фонда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Героев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Героев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Олег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Денисов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профсоюзных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студентов,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Николай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Бурляев,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Международного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кинематографистов,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Игорь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Маляров,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“Народно-патриотический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молодежи”,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Храмов,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профсоюзов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“СОЦПРОФ”.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26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августа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круглых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столов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четыре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поставили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подписи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соглашением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совместной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деятельности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формируемой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Глазьевым: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Всероссийское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православных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Народно-республиканская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Национально-патриотических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лезгинская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национально-культурная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автономия.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труда.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входят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социал-демократической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людей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науку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(СЛОН)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Социал-демократическая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профсоюзные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националистического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типа: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"Евразия",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Святую”,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традиционалистская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“Народно-патриотический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молодежи”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достаточно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мелкие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Руководителями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Юрьевич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Дмитрий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Олегович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Рогозин,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1995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вместе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генералом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Ивановичем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Лебедем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12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“Конгресс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русских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общин”.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увольнением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рядов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Вооруженных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согласился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командующий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Воздушно-десантными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войсками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Георгий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Шпак</w:t>
      </w:r>
      <w:r w:rsidR="00457B71">
        <w:rPr>
          <w:sz w:val="28"/>
          <w:szCs w:val="28"/>
        </w:rPr>
        <w:t>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Представляя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сопредседатели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Дмитрий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Рогозин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выразили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уверенность,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присоединятся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подчеркнули,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надеются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вхождение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“основной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по-прежнему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ожидает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вхождения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занимают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близкие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Коммунистической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(КПРФ).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Вячеслав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Владимирович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Игрунов,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долгое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бывший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вышедший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недавно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из-за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конфликта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Григорием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Алексеевичем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Явлинским.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выразил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уверенность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обязательно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преодолеет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пятипроцентный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барьер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задачи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Важным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создаваемой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называли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конфронтации.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сопредседателя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Шамиля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Султанова,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очередь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консолидация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ответственности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ответственности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будущее.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политсовета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Народно-республиканской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Кушнеренко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считает,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призыв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конфронтации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чреват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очередными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потрясениями,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выдержать.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Андреевич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противником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утверждая,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лучших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лучше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включиться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союза,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руководящую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играет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изменил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коммунисты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осуждают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истолковывает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коварных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Кремля”,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смысл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расколе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деградации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левопатриотического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считает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последовательным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левопатриотического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неоднократно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менял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идеологическую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ориентацию: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побывал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правительства,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Тимура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Гайдара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экономические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реформы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членом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вместе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генералом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Лебедем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националистического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“Конгресс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русских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общин”.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высказал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сожаление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отдельную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выращивали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перспективного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энергичного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лидера",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сказал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Зюганов.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“Кремль,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желая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расколоть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патриотический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монолит,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увести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ветвей,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выбрал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снабдив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опытными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политтехнологами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предложив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искусных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администраторов...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подсчетам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Кремля,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искусно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оснащенная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колонна,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неограниченный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выход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телеэфир,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опекаемая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прокремлевскими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губернаторами,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8%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значило,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левопатриотическая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оппозиция,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лишились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8%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вывод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председатель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прогнозировать,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Дмитрия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Рогозина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проявят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инвесторы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сферу,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шансы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прохождение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состоится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Дмитрия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Рогозина,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совсем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понятно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отнимет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Совершенно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очевидно,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отнимать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>.</w:t>
      </w:r>
    </w:p>
    <w:p w:rsid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Исполнительная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предполагает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выполнить,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скорее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возрождения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Николаевича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Селезнёва.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сейчас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выделены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первоначальную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раскрутку,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узнавания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Скорее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Селезнева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отобрать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буквально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1-2%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ситуации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равенства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шансов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победу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небольшие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проценты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оказаться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Геннадия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Селезнёва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отбирать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производятся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инвестиции.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оправдается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ясно.</w:t>
      </w:r>
    </w:p>
    <w:p w:rsidR="001A159C" w:rsidRPr="00457B71" w:rsidRDefault="00457B71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A159C" w:rsidRPr="00457B71">
        <w:rPr>
          <w:b/>
          <w:bCs/>
          <w:sz w:val="28"/>
          <w:szCs w:val="28"/>
        </w:rPr>
        <w:t>Ситуация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среди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партий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правой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ориентации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(СПС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="001A159C" w:rsidRPr="00457B71">
        <w:rPr>
          <w:b/>
          <w:bCs/>
          <w:sz w:val="28"/>
          <w:szCs w:val="28"/>
        </w:rPr>
        <w:t>“Яблоко”)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обсуждается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предварительное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Борисовича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третьим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номером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список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противоречивым.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переживает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трудности,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вообще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ситуации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естественно,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приходит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помощь.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понятно,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почему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поставлен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третье,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Кроме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развитым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умения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управлять,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менеджерский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ярко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продемонстрирован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усилиями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сформирован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“Союз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(СПС),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благодаря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воле,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настойчивости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организационным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финансовым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решило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менеджерский,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публичный,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имиджевый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развит,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принесёт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вместе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проблемы.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Известно,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авторитет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группу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90-х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“Демократическую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Россию”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“Демократический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авторитет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бесспорен.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широкой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имидж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проблематичен.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раньше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“Демократический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молодые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имидж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негативным,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интриг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дилемма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потенциальных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окажется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авторитет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ветеранов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стереотипы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мнения.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любом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появление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третьем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позволит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идеологии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воспримут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поворот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событий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позитивно,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считая,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пойдёт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неуспешный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идеологическую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полностью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решить.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последний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привлечь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сразу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противоположно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ориентированных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электората: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успешных,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довольных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реформами,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ориентированных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рыночную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экономику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предпринимательство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ориентированных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правозащитного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становящихся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оппозицию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управления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современной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Чубайса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тройку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показывает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отход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идеологии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правозащитников.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ясный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потенциальных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сокращает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численность,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правозащитное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весьма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влиятельной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граждан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ориентации.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Проблема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лишилась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естественной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ниши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одновременной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критикой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правительства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Сейчас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ниша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занята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вытеснен.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себе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нишу.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удастся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остаётся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меньше.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утверждать,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успеха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согласованно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Москве,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направив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Противоречия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ситуации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недопустимы,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выносятся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публичное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обсуждение.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антикоммунистический,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интеллигентный,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образованный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городской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являющийся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западной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системы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ценностей.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Объединение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устроило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набрало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15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процентов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невозможно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амбиций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постепенно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расходящихся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голосуют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успешные,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выигравшие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реформ,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успешные,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скорее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проигравшие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реформ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перестала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склоняется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социал-демократической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платформе.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теперь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леволиберальной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университетского,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интеллигентного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неприятны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тоталитаризма,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хотелось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видеть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свободу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рыночную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экономику,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инициативу.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оказались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обделены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рыночной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экономикой.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коммунистов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движение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недавно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силам.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сейчас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начинает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настроены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традиционалистские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Григория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Явлинского,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соцал-либеральные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ценности.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экономическим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приоритетам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предпочтения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лидера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очень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близки.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Есть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функциональные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войну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сдерживают.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зависят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капитала,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войны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получающими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противоречит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спонсоров.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спонсорам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снизить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удаётся.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Выход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кризиса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взаимоотношениях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крупнейших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либеральных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найден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“Яблоко”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систем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ценностей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разделения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прогнозировать,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процесс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вряд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завершён,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начинался.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457B71">
        <w:rPr>
          <w:b/>
          <w:bCs/>
          <w:sz w:val="28"/>
          <w:szCs w:val="28"/>
        </w:rPr>
        <w:t>Предвыборная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стратегия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“Единой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России”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Политический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режим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Владимировича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“Единство”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1999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поддерживающего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Впервые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посткоммунистический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развития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ветви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смогли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прекратить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противостояние,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сотрудничать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согласованные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Неудача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депутатов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разрушить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режим,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построенный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постоянном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сотрудничестве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ветвей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сотрудничество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обеспечивается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доверия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Поэтому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стремящиеся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вынуждены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поддерживать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иначе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снизится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называемая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т.е.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полностью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лояльные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нынешнему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режиму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стремящиеся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ключевые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страны.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Феномен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появился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ельцинский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правления,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автономные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элиты,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предоставлявшие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условиях,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выражаемых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публично.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хотел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по-видимому,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элит,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крупную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обладая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выражали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становится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широкой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ориентируются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приоритеты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даже,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выражают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доверие.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качестве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длительного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прошлых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представлялась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противоречивость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задач,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позволил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Несмотря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выражало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выражает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готовность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Владимировича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готова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Россию”.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усугубляется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низкий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уровень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лояльности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предпочтения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зависят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мнения.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Опросы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ВЦИОМ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готовности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соперничество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разворачивается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Россией”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Однако,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электоральному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рейтингу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ВЦИОМ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первую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половину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отставала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лишь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лету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ситуация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выровнялась,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рейтинги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различаются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незначительно.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Выявившаяся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неспособность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мобилизовать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готовых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Владимира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заставила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весьма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неприятным,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продолжают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бороться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претендующими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руководства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ограничена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необходимостью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любом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сохранить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потому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пройти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Среди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происходит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борьба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“Народную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Жизни”,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возрождения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рекламируемую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сейчас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рекламных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щитах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городах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вдоль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автодорог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“Русь”.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итоге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сформируется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описывать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преждевременно.</w:t>
      </w:r>
    </w:p>
    <w:p w:rsidR="001A159C" w:rsidRPr="00457B71" w:rsidRDefault="001A159C" w:rsidP="00457B71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Стратегия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конкурента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“партий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власти”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понятна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довольно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стандартна.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заключается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определённой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небольших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способных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отобрать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сыграть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предстоящих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отводится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стратегии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вторым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руководителем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Дмитрий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Рогозин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–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полностью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лояльный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принимавший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прокоммунистических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коалициях.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Конечно,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Сергей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Глазьев,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амбициозный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попытается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реализовать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привести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фракцию,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частично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реализующую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интересы.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условиях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народно-патриотической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коалиции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ясно.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B25AF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7B71">
        <w:rPr>
          <w:b/>
          <w:sz w:val="28"/>
          <w:szCs w:val="28"/>
        </w:rPr>
        <w:t>3.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Злоупотребление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административным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ресурсом: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sz w:val="28"/>
          <w:szCs w:val="28"/>
        </w:rPr>
        <w:t>доминирующий</w:t>
      </w:r>
      <w:r w:rsidR="00457B71">
        <w:rPr>
          <w:b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фактор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избирательной</w:t>
      </w:r>
      <w:r w:rsidR="00457B71">
        <w:rPr>
          <w:b/>
          <w:bCs/>
          <w:sz w:val="28"/>
          <w:szCs w:val="28"/>
        </w:rPr>
        <w:t xml:space="preserve"> </w:t>
      </w:r>
      <w:r w:rsidRPr="00457B71">
        <w:rPr>
          <w:b/>
          <w:bCs/>
          <w:sz w:val="28"/>
          <w:szCs w:val="28"/>
        </w:rPr>
        <w:t>кампании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Несмотря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трудно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истинную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структуру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указывает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решающим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дополняют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«Голос»,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занимающихся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злоупотреблении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пользу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уровнях.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подробно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V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занимающихся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вкратце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следующую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картину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Вовлечение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В.В.Путина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накануне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существующих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Освещая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подконтрольные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общефедеральные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систематически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отдавали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предпочтение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кандидатам.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Освещение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подконтрольными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телевизионными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каналами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печатными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искажено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пользу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кандидатов-одномандатников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Должностные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существующих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законодательства.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Региональные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предоставляли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помещения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преференционных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условиях.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Окружные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препятствовали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выдвинутых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отказывая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неясных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отклоняя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а)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Участие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президента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Ставка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В.В.Путина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определяющей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Россию».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отмечают,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определивших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В.В.Путиным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Третьем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Съезде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сентября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буквально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следующее: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iCs/>
          <w:sz w:val="28"/>
          <w:szCs w:val="28"/>
        </w:rPr>
        <w:t>«Не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буду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скрывать,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4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года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назад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голосовал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за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вашу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партию.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считаю,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сделал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правильно.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...Вам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удалось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создать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Думе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центристскую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фракцию,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заняли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государственную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позицию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важнейшим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направлениям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нашего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государства.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За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прошедшее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время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партия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сумела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доказать,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для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долгосрочного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результативного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развития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страны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именно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«Единая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Россия»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создала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мощ</w:t>
      </w:r>
      <w:r w:rsidR="00E00A03" w:rsidRPr="00457B71">
        <w:rPr>
          <w:iCs/>
          <w:sz w:val="28"/>
          <w:szCs w:val="28"/>
        </w:rPr>
        <w:t>н</w:t>
      </w:r>
      <w:r w:rsidRPr="00457B71">
        <w:rPr>
          <w:iCs/>
          <w:sz w:val="28"/>
          <w:szCs w:val="28"/>
        </w:rPr>
        <w:t>ый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блок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центристских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фракций.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Именно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наиболее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последовательно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боролись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за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принятие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важнейших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для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страны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законов.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bCs/>
          <w:iCs/>
          <w:sz w:val="28"/>
          <w:szCs w:val="28"/>
        </w:rPr>
        <w:t>боялись</w:t>
      </w:r>
      <w:r w:rsidR="00457B71">
        <w:rPr>
          <w:bCs/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этого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делать,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боялись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делать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это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ваши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депутаты.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Это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очень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хороший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пример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для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других»</w:t>
      </w:r>
      <w:r w:rsidR="00457B71">
        <w:rPr>
          <w:iCs/>
          <w:sz w:val="28"/>
          <w:szCs w:val="28"/>
        </w:rPr>
        <w:t>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Согласно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законодательству,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носит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направленность,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должностных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деятельности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любой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напрямую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запрещено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вышеприведенным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выступлением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Президента,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«Яблоко»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направили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РФ.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протест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отклонен.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Александр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Вешняков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назвал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Путина: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iCs/>
          <w:sz w:val="28"/>
          <w:szCs w:val="28"/>
        </w:rPr>
        <w:t>«Разрушением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некоторых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стереотипов,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которые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у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нас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существовали,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когда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президент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от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всех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дистанцировался...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данном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случае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поступок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президента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показывает,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он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ушел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из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подковерной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борьбы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свою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открытую,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четкую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ясную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позицию»</w:t>
      </w:r>
      <w:r w:rsidR="00457B71">
        <w:rPr>
          <w:iCs/>
          <w:sz w:val="28"/>
          <w:szCs w:val="28"/>
        </w:rPr>
        <w:t>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действия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Верховный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Суд,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которая,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впрочем,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отклонена.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ноября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В.В.Путин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тележурналистам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содержащее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заявление,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имеющие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агитации:</w:t>
      </w:r>
    </w:p>
    <w:p w:rsidR="0073355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57B71">
        <w:rPr>
          <w:iCs/>
          <w:sz w:val="28"/>
          <w:szCs w:val="28"/>
        </w:rPr>
        <w:t>«Что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касается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партии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«Единая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Россия»,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могу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сказать,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являюсь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членом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этой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партии.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Однако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это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-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как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раз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та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политическая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сила,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на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которую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течение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всех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четырех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лет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опирался,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которая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меня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последовательно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поддерживала.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Я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абсолютно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убежден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том,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когда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мы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говорим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балансе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политических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сил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Pr="00457B71">
        <w:rPr>
          <w:iCs/>
          <w:sz w:val="28"/>
          <w:szCs w:val="28"/>
        </w:rPr>
        <w:t>Государ</w:t>
      </w:r>
      <w:r w:rsidR="0073355F" w:rsidRPr="00457B71">
        <w:rPr>
          <w:iCs/>
          <w:sz w:val="28"/>
          <w:szCs w:val="28"/>
        </w:rPr>
        <w:t>ственной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Думе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действующей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Государственной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Думе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который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позволил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добиться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определенных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результатов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работе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парламента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то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этот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положительный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баланс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был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найден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как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раз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благодаря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позиции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центристских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партий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прежде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всего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«Единая</w:t>
      </w:r>
      <w:r w:rsidR="00457B71">
        <w:rPr>
          <w:iCs/>
          <w:sz w:val="28"/>
          <w:szCs w:val="28"/>
        </w:rPr>
        <w:t xml:space="preserve"> </w:t>
      </w:r>
      <w:r w:rsidR="0073355F" w:rsidRPr="00457B71">
        <w:rPr>
          <w:iCs/>
          <w:sz w:val="28"/>
          <w:szCs w:val="28"/>
        </w:rPr>
        <w:t>России».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объявила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принимать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3-го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ноября,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начале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разрешенного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периода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теледебаты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становились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бессмысленными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отсутствием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лидирующей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опросах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появляться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логике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ситуации,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поскольку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обширное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присутствие.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Удивительно,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опросов,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ВЦИОМом,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согласно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умудрилась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победить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теледебатах,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участвуя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них: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12%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опрошенных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телезрителей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сочли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дебатах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убедительными»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выступления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представителей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10%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-выступления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9%-СПС</w:t>
      </w:r>
      <w:r w:rsidR="0073355F" w:rsidRPr="00457B71">
        <w:rPr>
          <w:sz w:val="28"/>
          <w:szCs w:val="28"/>
        </w:rPr>
        <w:t>.</w:t>
      </w:r>
      <w:r w:rsidR="0073355F" w:rsidRPr="00457B71">
        <w:rPr>
          <w:rStyle w:val="a5"/>
          <w:sz w:val="28"/>
          <w:szCs w:val="28"/>
          <w:vertAlign w:val="baseline"/>
        </w:rPr>
        <w:footnoteReference w:id="1"/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Политологи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нашли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объяснение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казуса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подавляющем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информационном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присутствии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общефедеральном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эфире.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Предвзятость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освещен</w:t>
      </w:r>
      <w:r w:rsidR="009F1068" w:rsidRPr="00457B71">
        <w:rPr>
          <w:sz w:val="28"/>
          <w:szCs w:val="28"/>
        </w:rPr>
        <w:t>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случайной.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Сообщения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прессы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рамках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указывают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протяже</w:t>
      </w:r>
      <w:r w:rsidR="009F1068" w:rsidRPr="00457B71">
        <w:rPr>
          <w:sz w:val="28"/>
          <w:szCs w:val="28"/>
        </w:rPr>
        <w:t>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системы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закулисных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кремлевских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«кураторов»,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каждый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«приписан»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одной</w:t>
      </w:r>
      <w:r w:rsidR="00457B71">
        <w:rPr>
          <w:sz w:val="28"/>
          <w:szCs w:val="28"/>
        </w:rPr>
        <w:t xml:space="preserve"> </w:t>
      </w:r>
      <w:r w:rsidR="009F1068"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участвующих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освещение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каждая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одобрение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«куратора».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Кремль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эффективно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контролировал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электронным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управлял,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важным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инструментом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в)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Предвзятость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региональных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государственных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телеканалов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Региональные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телеканалы,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являющиеся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подразделениями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телевизионной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(ВГТРК,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II</w:t>
      </w:r>
      <w:r w:rsidRPr="00457B71">
        <w:rPr>
          <w:sz w:val="28"/>
          <w:szCs w:val="28"/>
        </w:rPr>
        <w:t>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служили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элементом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машины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продвижению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Исследования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рамках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установили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каналы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вынуждены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передавать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предвзятую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Восемь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девяти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вещательных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компаний,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замечены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фаворитизме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пользу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V</w:t>
      </w:r>
      <w:r w:rsidRPr="00457B71">
        <w:rPr>
          <w:sz w:val="28"/>
          <w:szCs w:val="28"/>
        </w:rPr>
        <w:t>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«Псковский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отдельный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типичный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случай»)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г)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Участие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должностных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лиц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избирательной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кампании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интересах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партии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«Единой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России»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Мониторинг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рамках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V</w:t>
      </w:r>
      <w:r w:rsidRPr="00457B71">
        <w:rPr>
          <w:sz w:val="28"/>
          <w:szCs w:val="28"/>
        </w:rPr>
        <w:t>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выявил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множество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должностными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функций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установила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множество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Россией»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ушли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отпуск,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требует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качестве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Думу.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д)</w:t>
      </w:r>
      <w:r w:rsidR="00457B71">
        <w:rPr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Неравный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доступ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возможностям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проведения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кампании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Другой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отличительной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чертой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муниципальные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предоставляли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помещения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мероприятий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основаниях,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предусмотрено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нормами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закона.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Детальное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исследование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Московского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Самарского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«отдельных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типичных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(см.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V</w:t>
      </w:r>
      <w:r w:rsidRPr="00457B71">
        <w:rPr>
          <w:sz w:val="28"/>
          <w:szCs w:val="28"/>
        </w:rPr>
        <w:t>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описывает,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дополнение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нарушениям,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прецеденты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льготного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помещений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зафиксировала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нескольких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соответствующими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помещениями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встреч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собраний,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встреч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учреждениях78.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е)</w:t>
      </w:r>
      <w:r w:rsidR="00457B71">
        <w:rPr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Запугивание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давление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Экспертные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опросы,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существовании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запугивания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штабов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волонтеров,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частности,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губернаторских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Санкт-Петербурге.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зарегистрировала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четырех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запугивания,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временное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стражу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активистов,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работавших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широко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распространена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подобная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практика.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ж)</w:t>
      </w:r>
      <w:r w:rsidR="00457B71">
        <w:rPr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Предвзятое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отношение</w:t>
      </w:r>
      <w:r w:rsidR="00457B71">
        <w:rPr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избирательных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комиссий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Роль,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которую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играли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заслуживает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внимания.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  <w:lang w:val="en-US"/>
        </w:rPr>
        <w:t>III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объясняется,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почему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сложившийся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порядок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гарантировать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независимость,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почему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практике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они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наиболее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благожелательно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настроены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именно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её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По-видимому,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естественными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комиссий80.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показывают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интервью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прочие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материалы,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препятствовали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имевшим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представлявшим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оппозиционные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силы,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вплоть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Неспособность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адекватно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реагировать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предвзятом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освещении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телевидении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довольно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яркий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неравного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высшем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Наблюдатели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эксперты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проекта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отметили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несколько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вычеркивания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(все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одномандатным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округам,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незначительных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прямо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скажем,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сомнительных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основаниях.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Например,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менее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неделю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дня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Верховный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Суд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решение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исключить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двух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одномандатным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округам.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бывшего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прокурора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одномандатному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КПРФ,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исключение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Анатолия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Быкова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Ачинского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округа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четкие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признаки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предвзятого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комиссий.</w:t>
      </w:r>
    </w:p>
    <w:p w:rsid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B25AF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4B25AF" w:rsidRPr="00457B7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4B25AF" w:rsidRPr="00457B71">
        <w:rPr>
          <w:b/>
          <w:bCs/>
          <w:sz w:val="28"/>
          <w:szCs w:val="28"/>
        </w:rPr>
        <w:t>Мониторинг</w:t>
      </w:r>
      <w:r>
        <w:rPr>
          <w:b/>
          <w:bCs/>
          <w:sz w:val="28"/>
          <w:szCs w:val="28"/>
        </w:rPr>
        <w:t xml:space="preserve"> </w:t>
      </w:r>
      <w:r w:rsidR="004B25AF" w:rsidRPr="00457B71">
        <w:rPr>
          <w:b/>
          <w:bCs/>
          <w:sz w:val="28"/>
          <w:szCs w:val="28"/>
        </w:rPr>
        <w:t>избирательной</w:t>
      </w:r>
      <w:r>
        <w:rPr>
          <w:b/>
          <w:bCs/>
          <w:sz w:val="28"/>
          <w:szCs w:val="28"/>
        </w:rPr>
        <w:t xml:space="preserve"> </w:t>
      </w:r>
      <w:r w:rsidR="004B25AF" w:rsidRPr="00457B71">
        <w:rPr>
          <w:b/>
          <w:bCs/>
          <w:sz w:val="28"/>
          <w:szCs w:val="28"/>
        </w:rPr>
        <w:t>кампании</w:t>
      </w:r>
      <w:r>
        <w:rPr>
          <w:b/>
          <w:bCs/>
          <w:sz w:val="28"/>
          <w:szCs w:val="28"/>
        </w:rPr>
        <w:t xml:space="preserve"> </w:t>
      </w:r>
      <w:r w:rsidR="009F1068" w:rsidRPr="00457B71">
        <w:rPr>
          <w:b/>
          <w:bCs/>
          <w:sz w:val="28"/>
          <w:szCs w:val="28"/>
        </w:rPr>
        <w:t>различными</w:t>
      </w:r>
      <w:r>
        <w:rPr>
          <w:b/>
          <w:bCs/>
          <w:sz w:val="28"/>
          <w:szCs w:val="28"/>
        </w:rPr>
        <w:t xml:space="preserve"> </w:t>
      </w:r>
      <w:r w:rsidR="004B25AF" w:rsidRPr="00457B71">
        <w:rPr>
          <w:b/>
          <w:bCs/>
          <w:sz w:val="28"/>
          <w:szCs w:val="28"/>
        </w:rPr>
        <w:t>организациями</w:t>
      </w:r>
    </w:p>
    <w:p w:rsidR="00457B71" w:rsidRPr="00457B71" w:rsidRDefault="00457B71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Две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организации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обширный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дополнение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непосредственному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ходом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Собранные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материалы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указывают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злоупотребление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стало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фактором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bCs/>
          <w:sz w:val="28"/>
          <w:szCs w:val="28"/>
        </w:rPr>
        <w:t>а)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Наблюдательная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миссия</w:t>
      </w:r>
      <w:r w:rsidR="00457B71">
        <w:rPr>
          <w:bCs/>
          <w:sz w:val="28"/>
          <w:szCs w:val="28"/>
        </w:rPr>
        <w:t xml:space="preserve"> </w:t>
      </w:r>
      <w:r w:rsidRPr="00457B71">
        <w:rPr>
          <w:bCs/>
          <w:sz w:val="28"/>
          <w:szCs w:val="28"/>
        </w:rPr>
        <w:t>ОБСЕ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Бюро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демократическим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институтам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человека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Москве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еще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16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парламентскими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ноября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2003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дня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декабря).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докладе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отмечается,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что:</w:t>
      </w:r>
    </w:p>
    <w:p w:rsidR="004B25AF" w:rsidRPr="00457B71" w:rsidRDefault="009F1068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iCs/>
          <w:sz w:val="28"/>
          <w:szCs w:val="28"/>
        </w:rPr>
        <w:t>«</w:t>
      </w:r>
      <w:r w:rsidR="004B25A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целом,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предвыборная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кампания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bCs/>
          <w:iCs/>
          <w:sz w:val="28"/>
          <w:szCs w:val="28"/>
        </w:rPr>
        <w:t>отличалась</w:t>
      </w:r>
      <w:r w:rsidR="00457B71">
        <w:rPr>
          <w:bCs/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тем,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что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кандидатам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политическим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партиям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были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предоставлены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неравные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возможности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в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СМИ...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а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также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масштабное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использование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административного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ресурса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(государственная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инфраструктура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труд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бюджетников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оплачивались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из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государственных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партийных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фондов)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для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того,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чтобы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дать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преимущество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конкретным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кандидатам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и</w:t>
      </w:r>
      <w:r w:rsidR="00457B71">
        <w:rPr>
          <w:iCs/>
          <w:sz w:val="28"/>
          <w:szCs w:val="28"/>
        </w:rPr>
        <w:t xml:space="preserve"> </w:t>
      </w:r>
      <w:r w:rsidR="004B25AF" w:rsidRPr="00457B71">
        <w:rPr>
          <w:iCs/>
          <w:sz w:val="28"/>
          <w:szCs w:val="28"/>
        </w:rPr>
        <w:t>партиям».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отчете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выделены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ключевые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проблемные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области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кампании: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«Серьёзные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препятствия»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доступа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возможностям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представления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программ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позиций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электорату.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Широкомасштабное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размыло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грань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определении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«различия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между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Россией»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властью»;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особенности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проявилось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через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создание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протекционизма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отношению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телевизионной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вещательной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(ВГТРК);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Игнорирование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случаев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несоблюдения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установленных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законом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кампаний.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ОБСЕ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выразила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обеспокоенность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включением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29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правило,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губернаторов)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несмотря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малую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вероятность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того,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высокопоставленные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чиновники,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будучи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избранными,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покинут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посты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ради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подведения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результатов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37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120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избранных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спискам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занять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свои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Думе.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б)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«Голос»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«Голос»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5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сентября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7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декабря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проводила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мониторинг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30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субъектах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Федерации.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сконцентрировано,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главным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образом,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формировании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процедуре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подсчете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Также,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пыталась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сконцентрировать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злоупотреблении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протяжении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самих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касается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последнего,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«Голос»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опубликовала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следующие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краткие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полученные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данные:</w:t>
      </w:r>
    </w:p>
    <w:p w:rsidR="004B25AF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протяжении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Ассоциация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«Голос»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интенсивную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мобилизацию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всех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этапах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процесса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против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Почти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везде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официальные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должностные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лица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деятельность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агитационного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характера,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преимущественно,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пользу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пропрезидентских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исполнительной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часто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являлись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руководящими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сотрудниками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региональных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делегированы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федеральными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властями,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обеспечило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громадное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преимущество.</w:t>
      </w:r>
    </w:p>
    <w:p w:rsidR="001A159C" w:rsidRPr="00457B71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многих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областях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штабы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штабы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подержанных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располагались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зданиях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администраций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правительственных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структур.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Встречи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проходили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же.</w:t>
      </w:r>
    </w:p>
    <w:p w:rsidR="001A159C" w:rsidRDefault="001A159C" w:rsidP="00457B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7B71">
        <w:rPr>
          <w:sz w:val="28"/>
          <w:szCs w:val="28"/>
        </w:rPr>
        <w:br w:type="page"/>
      </w:r>
      <w:r w:rsidR="00457B71">
        <w:rPr>
          <w:b/>
          <w:sz w:val="28"/>
          <w:szCs w:val="28"/>
        </w:rPr>
        <w:t>Заключение</w:t>
      </w:r>
    </w:p>
    <w:p w:rsidR="00457B71" w:rsidRPr="00457B71" w:rsidRDefault="00457B71" w:rsidP="00457B7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заключении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можно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следующие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выводы: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Наблюдался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слабый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интерес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общественности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или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общее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недовольство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кампанией.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большинстве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регионов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наблюдается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низкая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активность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составляющая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продолжала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оставаться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негативной.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Имелись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озабоченности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поводу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неравных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возможностей,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предоставленных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участникам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наличии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подтвержденных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примеров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использования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административных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ресурсов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"Единая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Россия"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ведущей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пропрезидентской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партией.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Избирательные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хорошо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подготовлены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проведению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голосования.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Работа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Центральной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(ЦИК)</w:t>
      </w:r>
      <w:r w:rsidR="00457B71">
        <w:rPr>
          <w:sz w:val="28"/>
          <w:szCs w:val="28"/>
        </w:rPr>
        <w:t xml:space="preserve"> </w:t>
      </w:r>
      <w:r w:rsidR="00E52322" w:rsidRPr="00457B71">
        <w:rPr>
          <w:sz w:val="28"/>
          <w:szCs w:val="28"/>
        </w:rPr>
        <w:t>проходило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открыто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высоком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профессиональном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уровне.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Однако,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комиссиях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нижестоящего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уровня,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правило,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отмечалось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отсутствие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политического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равновесия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составе.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государственных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средствах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массовой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информации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имеет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явный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перекос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сторону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поддержки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"Единой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России"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других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пропрезидентских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вполне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адекватны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правовые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условия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для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обеспечения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гарантий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участия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российских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непартийных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наблюдателей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избирательном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процессе.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Количество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связи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регистрацией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было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относительно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небольшим.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целом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справедливо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рассматривал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жалобы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вопросу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отказа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хотя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иногда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имело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место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селективное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применение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критериев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регистрации.</w:t>
      </w:r>
    </w:p>
    <w:p w:rsidR="001A159C" w:rsidRPr="00457B71" w:rsidRDefault="001A159C" w:rsidP="00457B71">
      <w:pPr>
        <w:spacing w:line="360" w:lineRule="auto"/>
        <w:ind w:firstLine="709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Миссия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наблюдению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выборами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(МНВ)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обеспокоена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заявлениями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некоторых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кандидатов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партий,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сделанными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процессе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предвыборной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кампании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основанными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на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ксенофобии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и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расизме.</w:t>
      </w:r>
    </w:p>
    <w:p w:rsidR="00227815" w:rsidRDefault="00227815" w:rsidP="00457B71">
      <w:pPr>
        <w:pStyle w:val="1"/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  <w:r w:rsidRPr="00457B71">
        <w:rPr>
          <w:color w:val="auto"/>
          <w:kern w:val="0"/>
          <w:sz w:val="28"/>
          <w:szCs w:val="28"/>
        </w:rPr>
        <w:br w:type="page"/>
        <w:t>Список</w:t>
      </w:r>
      <w:r w:rsidR="00457B71">
        <w:rPr>
          <w:color w:val="auto"/>
          <w:kern w:val="0"/>
          <w:sz w:val="28"/>
          <w:szCs w:val="28"/>
        </w:rPr>
        <w:t xml:space="preserve"> </w:t>
      </w:r>
      <w:r w:rsidRPr="00457B71">
        <w:rPr>
          <w:color w:val="auto"/>
          <w:kern w:val="0"/>
          <w:sz w:val="28"/>
          <w:szCs w:val="28"/>
        </w:rPr>
        <w:t>использованной</w:t>
      </w:r>
      <w:r w:rsidR="00457B71">
        <w:rPr>
          <w:color w:val="auto"/>
          <w:kern w:val="0"/>
          <w:sz w:val="28"/>
          <w:szCs w:val="28"/>
        </w:rPr>
        <w:t xml:space="preserve"> </w:t>
      </w:r>
      <w:r w:rsidRPr="00457B71">
        <w:rPr>
          <w:color w:val="auto"/>
          <w:kern w:val="0"/>
          <w:sz w:val="28"/>
          <w:szCs w:val="28"/>
        </w:rPr>
        <w:t>литературы</w:t>
      </w:r>
    </w:p>
    <w:p w:rsidR="00457B71" w:rsidRPr="00457B71" w:rsidRDefault="00457B71" w:rsidP="00457B71">
      <w:pPr>
        <w:pStyle w:val="1"/>
        <w:spacing w:line="360" w:lineRule="auto"/>
        <w:ind w:firstLine="709"/>
        <w:jc w:val="both"/>
        <w:rPr>
          <w:color w:val="auto"/>
          <w:kern w:val="0"/>
          <w:sz w:val="28"/>
          <w:szCs w:val="28"/>
        </w:rPr>
      </w:pP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1.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Борисов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Б.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Л.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Технологии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рекламы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PR.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ФАИР-ПРЕСС,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200</w:t>
      </w:r>
      <w:r w:rsidR="0012458F" w:rsidRPr="00457B71">
        <w:rPr>
          <w:b w:val="0"/>
          <w:color w:val="auto"/>
          <w:kern w:val="0"/>
          <w:sz w:val="28"/>
          <w:szCs w:val="28"/>
        </w:rPr>
        <w:t>8</w:t>
      </w:r>
      <w:r w:rsidRPr="00457B71">
        <w:rPr>
          <w:b w:val="0"/>
          <w:color w:val="auto"/>
          <w:kern w:val="0"/>
          <w:sz w:val="28"/>
          <w:szCs w:val="28"/>
        </w:rPr>
        <w:t>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624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2.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Гермогенова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Л.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Ю.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Эффективная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России.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Практика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рекомендации.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Рус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Партнер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Лтд.,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="0012458F" w:rsidRPr="00457B71">
        <w:rPr>
          <w:b w:val="0"/>
          <w:color w:val="auto"/>
          <w:kern w:val="0"/>
          <w:sz w:val="28"/>
          <w:szCs w:val="28"/>
        </w:rPr>
        <w:t>200</w:t>
      </w:r>
      <w:r w:rsidRPr="00457B71">
        <w:rPr>
          <w:b w:val="0"/>
          <w:color w:val="auto"/>
          <w:kern w:val="0"/>
          <w:sz w:val="28"/>
          <w:szCs w:val="28"/>
        </w:rPr>
        <w:t>9.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252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3.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Катлип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Сентер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А.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Х.,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Брум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Г.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Паблик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Рилейшенз.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Теория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практика,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8-е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изд.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Издат.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дом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"Вильямс",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</w:t>
      </w:r>
      <w:r w:rsidR="0012458F" w:rsidRPr="00457B71">
        <w:rPr>
          <w:b w:val="0"/>
          <w:color w:val="auto"/>
          <w:kern w:val="0"/>
          <w:sz w:val="28"/>
          <w:szCs w:val="28"/>
        </w:rPr>
        <w:t>10</w:t>
      </w:r>
      <w:r w:rsidRPr="00457B71">
        <w:rPr>
          <w:b w:val="0"/>
          <w:color w:val="auto"/>
          <w:kern w:val="0"/>
          <w:sz w:val="28"/>
          <w:szCs w:val="28"/>
        </w:rPr>
        <w:t>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624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4.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Пашенцев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Е.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Н.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Связи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общественностью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Дело,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</w:t>
      </w:r>
      <w:r w:rsidR="0012458F" w:rsidRPr="00457B71">
        <w:rPr>
          <w:b w:val="0"/>
          <w:color w:val="auto"/>
          <w:kern w:val="0"/>
          <w:sz w:val="28"/>
          <w:szCs w:val="28"/>
        </w:rPr>
        <w:t>1</w:t>
      </w:r>
      <w:r w:rsidRPr="00457B71">
        <w:rPr>
          <w:b w:val="0"/>
          <w:color w:val="auto"/>
          <w:kern w:val="0"/>
          <w:sz w:val="28"/>
          <w:szCs w:val="28"/>
        </w:rPr>
        <w:t>0.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271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5.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Рожков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Я.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Реклама: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планка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для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"профи".-М.: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Юрайт,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="0012458F" w:rsidRPr="00457B71">
        <w:rPr>
          <w:b w:val="0"/>
          <w:color w:val="auto"/>
          <w:kern w:val="0"/>
          <w:sz w:val="28"/>
          <w:szCs w:val="28"/>
        </w:rPr>
        <w:t>200</w:t>
      </w:r>
      <w:r w:rsidRPr="00457B71">
        <w:rPr>
          <w:b w:val="0"/>
          <w:color w:val="auto"/>
          <w:kern w:val="0"/>
          <w:sz w:val="28"/>
          <w:szCs w:val="28"/>
        </w:rPr>
        <w:t>7.-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208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6.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Росситер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др.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продвижение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товаров.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СПб.;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Харьков;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Минск: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Питер,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200</w:t>
      </w:r>
      <w:r w:rsidR="0012458F" w:rsidRPr="00457B71">
        <w:rPr>
          <w:b w:val="0"/>
          <w:color w:val="auto"/>
          <w:kern w:val="0"/>
          <w:sz w:val="28"/>
          <w:szCs w:val="28"/>
        </w:rPr>
        <w:t>8</w:t>
      </w:r>
      <w:r w:rsidRPr="00457B71">
        <w:rPr>
          <w:b w:val="0"/>
          <w:color w:val="auto"/>
          <w:kern w:val="0"/>
          <w:sz w:val="28"/>
          <w:szCs w:val="28"/>
        </w:rPr>
        <w:t>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651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7.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Уэллс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Уильям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др.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Реклама: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теория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практика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/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У.Уэллс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др.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СПб.:Питер,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="0012458F" w:rsidRPr="00457B71">
        <w:rPr>
          <w:b w:val="0"/>
          <w:color w:val="auto"/>
          <w:kern w:val="0"/>
          <w:sz w:val="28"/>
          <w:szCs w:val="28"/>
        </w:rPr>
        <w:t>200</w:t>
      </w:r>
      <w:r w:rsidRPr="00457B71">
        <w:rPr>
          <w:b w:val="0"/>
          <w:color w:val="auto"/>
          <w:kern w:val="0"/>
          <w:sz w:val="28"/>
          <w:szCs w:val="28"/>
        </w:rPr>
        <w:t>9.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735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8.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Феофанов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О.А.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Реклама: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новые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технологии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России.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Харьков;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Минск,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200</w:t>
      </w:r>
      <w:r w:rsidR="0012458F" w:rsidRPr="00457B71">
        <w:rPr>
          <w:b w:val="0"/>
          <w:color w:val="auto"/>
          <w:kern w:val="0"/>
          <w:sz w:val="28"/>
          <w:szCs w:val="28"/>
        </w:rPr>
        <w:t>8</w:t>
      </w:r>
      <w:r w:rsidRPr="00457B71">
        <w:rPr>
          <w:b w:val="0"/>
          <w:color w:val="auto"/>
          <w:kern w:val="0"/>
          <w:sz w:val="28"/>
          <w:szCs w:val="28"/>
        </w:rPr>
        <w:t>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377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с.</w:t>
      </w:r>
    </w:p>
    <w:p w:rsidR="00227815" w:rsidRPr="00457B71" w:rsidRDefault="00227815" w:rsidP="00457B71">
      <w:pPr>
        <w:pStyle w:val="1"/>
        <w:spacing w:line="360" w:lineRule="auto"/>
        <w:jc w:val="both"/>
        <w:rPr>
          <w:b w:val="0"/>
          <w:color w:val="auto"/>
          <w:kern w:val="0"/>
          <w:sz w:val="28"/>
          <w:szCs w:val="28"/>
        </w:rPr>
      </w:pPr>
      <w:r w:rsidRPr="00457B71">
        <w:rPr>
          <w:b w:val="0"/>
          <w:color w:val="auto"/>
          <w:kern w:val="0"/>
          <w:sz w:val="28"/>
          <w:szCs w:val="28"/>
        </w:rPr>
        <w:t>9.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Чумиков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А.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Креативные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технологии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"Паблик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Рилейшенз".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-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М.;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1998</w:t>
      </w:r>
      <w:r w:rsidR="00457B71">
        <w:rPr>
          <w:b w:val="0"/>
          <w:color w:val="auto"/>
          <w:kern w:val="0"/>
          <w:sz w:val="28"/>
          <w:szCs w:val="28"/>
        </w:rPr>
        <w:t xml:space="preserve"> </w:t>
      </w:r>
      <w:r w:rsidRPr="00457B71">
        <w:rPr>
          <w:b w:val="0"/>
          <w:color w:val="auto"/>
          <w:kern w:val="0"/>
          <w:sz w:val="28"/>
          <w:szCs w:val="28"/>
        </w:rPr>
        <w:t>г.</w:t>
      </w:r>
    </w:p>
    <w:p w:rsidR="00227815" w:rsidRPr="00457B71" w:rsidRDefault="00227815" w:rsidP="00457B7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10.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Блэк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С.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«Паблик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рилэйшнз.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Что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это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такое?»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-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М.: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Новость,1990</w:t>
      </w:r>
    </w:p>
    <w:p w:rsidR="00227815" w:rsidRPr="00457B71" w:rsidRDefault="0012458F" w:rsidP="00457B71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57B71">
        <w:rPr>
          <w:sz w:val="28"/>
          <w:szCs w:val="28"/>
        </w:rPr>
        <w:t>11</w:t>
      </w:r>
      <w:r w:rsidR="00227815" w:rsidRPr="00457B71">
        <w:rPr>
          <w:sz w:val="28"/>
          <w:szCs w:val="28"/>
        </w:rPr>
        <w:t>.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Синяева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И.М.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«Паблик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рилейшнз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в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коммерческой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деятельности: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Учебник».-</w:t>
      </w:r>
      <w:r w:rsidR="00457B71">
        <w:rPr>
          <w:sz w:val="28"/>
          <w:szCs w:val="28"/>
        </w:rPr>
        <w:t xml:space="preserve"> </w:t>
      </w:r>
      <w:r w:rsidR="00227815" w:rsidRPr="00457B71">
        <w:rPr>
          <w:sz w:val="28"/>
          <w:szCs w:val="28"/>
        </w:rPr>
        <w:t>М.:Юнити,</w:t>
      </w:r>
      <w:r w:rsidR="00457B71">
        <w:rPr>
          <w:sz w:val="28"/>
          <w:szCs w:val="28"/>
        </w:rPr>
        <w:t xml:space="preserve"> </w:t>
      </w:r>
      <w:r w:rsidRPr="00457B71">
        <w:rPr>
          <w:sz w:val="28"/>
          <w:szCs w:val="28"/>
        </w:rPr>
        <w:t>200</w:t>
      </w:r>
      <w:r w:rsidR="00227815" w:rsidRPr="00457B71">
        <w:rPr>
          <w:sz w:val="28"/>
          <w:szCs w:val="28"/>
        </w:rPr>
        <w:t>8.</w:t>
      </w:r>
    </w:p>
    <w:p w:rsidR="004B25AF" w:rsidRDefault="004B25AF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C4D66" w:rsidRPr="00A56DAC" w:rsidRDefault="004C4D66" w:rsidP="004C4D66">
      <w:pPr>
        <w:spacing w:line="360" w:lineRule="auto"/>
        <w:rPr>
          <w:color w:val="FFFFFF"/>
          <w:sz w:val="28"/>
          <w:szCs w:val="28"/>
        </w:rPr>
      </w:pPr>
    </w:p>
    <w:p w:rsidR="004C4D66" w:rsidRPr="00457B71" w:rsidRDefault="004C4D66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4C4D66" w:rsidRPr="00457B71" w:rsidSect="00457B71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DAC" w:rsidRDefault="00A56DAC">
      <w:r>
        <w:separator/>
      </w:r>
    </w:p>
  </w:endnote>
  <w:endnote w:type="continuationSeparator" w:id="0">
    <w:p w:rsidR="00A56DAC" w:rsidRDefault="00A5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DAC" w:rsidRDefault="00A56DAC">
      <w:r>
        <w:separator/>
      </w:r>
    </w:p>
  </w:footnote>
  <w:footnote w:type="continuationSeparator" w:id="0">
    <w:p w:rsidR="00A56DAC" w:rsidRDefault="00A56DAC">
      <w:r>
        <w:continuationSeparator/>
      </w:r>
    </w:p>
  </w:footnote>
  <w:footnote w:id="1">
    <w:p w:rsidR="0012458F" w:rsidRPr="00457B71" w:rsidRDefault="0012458F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457B71">
        <w:rPr>
          <w:rStyle w:val="a5"/>
          <w:sz w:val="20"/>
          <w:szCs w:val="20"/>
        </w:rPr>
        <w:footnoteRef/>
      </w:r>
      <w:r w:rsidRPr="00457B71">
        <w:rPr>
          <w:sz w:val="20"/>
          <w:szCs w:val="20"/>
        </w:rPr>
        <w:t xml:space="preserve"> </w:t>
      </w:r>
      <w:r w:rsidRPr="00457B71">
        <w:rPr>
          <w:color w:val="000000"/>
          <w:sz w:val="20"/>
          <w:szCs w:val="20"/>
        </w:rPr>
        <w:t xml:space="preserve">См. </w:t>
      </w:r>
      <w:r w:rsidRPr="00457B71">
        <w:rPr>
          <w:color w:val="000000"/>
          <w:sz w:val="20"/>
          <w:szCs w:val="20"/>
          <w:lang w:val="en-US"/>
        </w:rPr>
        <w:t>http</w:t>
      </w:r>
      <w:r w:rsidRPr="00457B71">
        <w:rPr>
          <w:color w:val="000000"/>
          <w:sz w:val="20"/>
          <w:szCs w:val="20"/>
        </w:rPr>
        <w:t>://</w:t>
      </w:r>
      <w:r w:rsidRPr="00457B71">
        <w:rPr>
          <w:color w:val="000000"/>
          <w:sz w:val="20"/>
          <w:szCs w:val="20"/>
          <w:lang w:val="en-US"/>
        </w:rPr>
        <w:t>www</w:t>
      </w:r>
      <w:r w:rsidRPr="00457B71">
        <w:rPr>
          <w:color w:val="000000"/>
          <w:sz w:val="20"/>
          <w:szCs w:val="20"/>
        </w:rPr>
        <w:t>.</w:t>
      </w:r>
      <w:r w:rsidRPr="00457B71">
        <w:rPr>
          <w:color w:val="000000"/>
          <w:sz w:val="20"/>
          <w:szCs w:val="20"/>
          <w:lang w:val="en-US"/>
        </w:rPr>
        <w:t>levada</w:t>
      </w:r>
      <w:r w:rsidRPr="00457B71">
        <w:rPr>
          <w:color w:val="000000"/>
          <w:sz w:val="20"/>
          <w:szCs w:val="20"/>
        </w:rPr>
        <w:t>.</w:t>
      </w:r>
      <w:r w:rsidRPr="00457B71">
        <w:rPr>
          <w:color w:val="000000"/>
          <w:sz w:val="20"/>
          <w:szCs w:val="20"/>
          <w:lang w:val="en-US"/>
        </w:rPr>
        <w:t>ru</w:t>
      </w:r>
      <w:r w:rsidRPr="00457B71">
        <w:rPr>
          <w:color w:val="000000"/>
          <w:sz w:val="20"/>
          <w:szCs w:val="20"/>
        </w:rPr>
        <w:t>/</w:t>
      </w:r>
      <w:r w:rsidRPr="00457B71">
        <w:rPr>
          <w:color w:val="000000"/>
          <w:sz w:val="20"/>
          <w:szCs w:val="20"/>
          <w:lang w:val="en-US"/>
        </w:rPr>
        <w:t>press</w:t>
      </w:r>
      <w:r w:rsidRPr="00457B71">
        <w:rPr>
          <w:color w:val="000000"/>
          <w:sz w:val="20"/>
          <w:szCs w:val="20"/>
        </w:rPr>
        <w:t>/2</w:t>
      </w:r>
      <w:r w:rsidRPr="00457B71">
        <w:rPr>
          <w:color w:val="000000"/>
          <w:sz w:val="20"/>
          <w:szCs w:val="20"/>
          <w:lang w:val="en-US"/>
        </w:rPr>
        <w:t>OO</w:t>
      </w:r>
      <w:r w:rsidRPr="00457B71">
        <w:rPr>
          <w:color w:val="000000"/>
          <w:sz w:val="20"/>
          <w:szCs w:val="20"/>
        </w:rPr>
        <w:t>3112102.</w:t>
      </w:r>
      <w:r w:rsidRPr="00457B71">
        <w:rPr>
          <w:color w:val="000000"/>
          <w:sz w:val="20"/>
          <w:szCs w:val="20"/>
          <w:lang w:val="en-US"/>
        </w:rPr>
        <w:t>html</w:t>
      </w:r>
    </w:p>
    <w:p w:rsidR="00A56DAC" w:rsidRDefault="00A56DAC" w:rsidP="00457B71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8F" w:rsidRDefault="0012458F" w:rsidP="000C7ACA">
    <w:pPr>
      <w:pStyle w:val="a7"/>
      <w:framePr w:wrap="around" w:vAnchor="text" w:hAnchor="margin" w:xAlign="center" w:y="1"/>
      <w:rPr>
        <w:rStyle w:val="a9"/>
      </w:rPr>
    </w:pPr>
  </w:p>
  <w:p w:rsidR="0012458F" w:rsidRDefault="001245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D66" w:rsidRPr="00015DF4" w:rsidRDefault="004C4D66" w:rsidP="004C4D66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55D38"/>
    <w:multiLevelType w:val="singleLevel"/>
    <w:tmpl w:val="675CB0A4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6E1124B"/>
    <w:multiLevelType w:val="multilevel"/>
    <w:tmpl w:val="ED32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5AF"/>
    <w:rsid w:val="00015DF4"/>
    <w:rsid w:val="000C7ACA"/>
    <w:rsid w:val="0012458F"/>
    <w:rsid w:val="00153709"/>
    <w:rsid w:val="001A159C"/>
    <w:rsid w:val="00227815"/>
    <w:rsid w:val="003A097F"/>
    <w:rsid w:val="00434D0C"/>
    <w:rsid w:val="00457B71"/>
    <w:rsid w:val="004B25AF"/>
    <w:rsid w:val="004C4D66"/>
    <w:rsid w:val="00583EB6"/>
    <w:rsid w:val="0073355F"/>
    <w:rsid w:val="00782C7A"/>
    <w:rsid w:val="00852294"/>
    <w:rsid w:val="00860A8A"/>
    <w:rsid w:val="008708DA"/>
    <w:rsid w:val="009907ED"/>
    <w:rsid w:val="00990DE6"/>
    <w:rsid w:val="009F1068"/>
    <w:rsid w:val="00A56DAC"/>
    <w:rsid w:val="00A965B5"/>
    <w:rsid w:val="00B53BB5"/>
    <w:rsid w:val="00CD1066"/>
    <w:rsid w:val="00CD5D80"/>
    <w:rsid w:val="00D10384"/>
    <w:rsid w:val="00DB7820"/>
    <w:rsid w:val="00E00A03"/>
    <w:rsid w:val="00E410E6"/>
    <w:rsid w:val="00E52322"/>
    <w:rsid w:val="00E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588C1D-9A9F-4BF1-8102-E805BFD3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7815"/>
    <w:pPr>
      <w:outlineLvl w:val="0"/>
    </w:pPr>
    <w:rPr>
      <w:b/>
      <w:bCs/>
      <w:color w:val="000000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E00A0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E00A03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B53BB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EF2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F2373"/>
    <w:rPr>
      <w:rFonts w:cs="Times New Roman"/>
    </w:rPr>
  </w:style>
  <w:style w:type="paragraph" w:styleId="aa">
    <w:name w:val="Balloon Text"/>
    <w:basedOn w:val="a"/>
    <w:link w:val="ab"/>
    <w:uiPriority w:val="99"/>
    <w:rsid w:val="00860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60A8A"/>
    <w:rPr>
      <w:rFonts w:ascii="Tahoma" w:hAnsi="Tahoma" w:cs="Times New Roman"/>
      <w:sz w:val="16"/>
    </w:rPr>
  </w:style>
  <w:style w:type="paragraph" w:styleId="ac">
    <w:name w:val="footer"/>
    <w:basedOn w:val="a"/>
    <w:link w:val="ad"/>
    <w:uiPriority w:val="99"/>
    <w:rsid w:val="00457B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57B71"/>
    <w:rPr>
      <w:rFonts w:cs="Times New Roman"/>
      <w:sz w:val="24"/>
      <w:szCs w:val="24"/>
    </w:rPr>
  </w:style>
  <w:style w:type="character" w:styleId="ae">
    <w:name w:val="Hyperlink"/>
    <w:uiPriority w:val="99"/>
    <w:rsid w:val="004C4D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9547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SamForum.ws</Company>
  <LinksUpToDate>false</LinksUpToDate>
  <CharactersWithSpaces>63844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SamLab.ws</dc:creator>
  <cp:keywords/>
  <dc:description/>
  <cp:lastModifiedBy>admin</cp:lastModifiedBy>
  <cp:revision>2</cp:revision>
  <cp:lastPrinted>2011-02-20T13:05:00Z</cp:lastPrinted>
  <dcterms:created xsi:type="dcterms:W3CDTF">2014-03-24T13:31:00Z</dcterms:created>
  <dcterms:modified xsi:type="dcterms:W3CDTF">2014-03-24T13:31:00Z</dcterms:modified>
</cp:coreProperties>
</file>