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8B" w:rsidRPr="00F33842" w:rsidRDefault="00E10D8B" w:rsidP="00F3384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Toc120944232"/>
      <w:r w:rsidRPr="00F33842">
        <w:rPr>
          <w:rFonts w:ascii="Times New Roman" w:hAnsi="Times New Roman" w:cs="Times New Roman"/>
          <w:sz w:val="28"/>
          <w:szCs w:val="26"/>
        </w:rPr>
        <w:t>Оглавление</w:t>
      </w:r>
      <w:bookmarkEnd w:id="0"/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Введение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2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1. Проблемы реорганизации системы управления нефтяным бизнесом в условиях мирового экономического кризиса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4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2. Принципы и практика вертикальной интеграции нефтяных компаний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7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3. Организация внутренней структуры управления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16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4. Стратегия крупных нефтяных компаний США в период кризиса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25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Заключение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27</w:t>
      </w:r>
    </w:p>
    <w:p w:rsidR="00FB13D1" w:rsidRPr="00F33842" w:rsidRDefault="00FB13D1" w:rsidP="00F33842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6"/>
        </w:rPr>
      </w:pPr>
      <w:r w:rsidRPr="00002849">
        <w:rPr>
          <w:rStyle w:val="a7"/>
          <w:b w:val="0"/>
          <w:caps w:val="0"/>
          <w:noProof/>
          <w:color w:val="auto"/>
          <w:sz w:val="28"/>
          <w:szCs w:val="26"/>
        </w:rPr>
        <w:t>Список литературы</w:t>
      </w:r>
      <w:r w:rsidRPr="00F33842">
        <w:rPr>
          <w:b w:val="0"/>
          <w:caps w:val="0"/>
          <w:noProof/>
          <w:webHidden/>
          <w:sz w:val="28"/>
          <w:szCs w:val="26"/>
        </w:rPr>
        <w:tab/>
      </w:r>
      <w:r w:rsidR="004A30F5" w:rsidRPr="00F33842">
        <w:rPr>
          <w:b w:val="0"/>
          <w:caps w:val="0"/>
          <w:noProof/>
          <w:webHidden/>
          <w:sz w:val="28"/>
          <w:szCs w:val="26"/>
        </w:rPr>
        <w:t>29</w:t>
      </w:r>
    </w:p>
    <w:p w:rsidR="00E10D8B" w:rsidRPr="00F33842" w:rsidRDefault="00E10D8B" w:rsidP="00F3384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F33842">
        <w:rPr>
          <w:rFonts w:ascii="Times New Roman" w:hAnsi="Times New Roman" w:cs="Times New Roman"/>
          <w:b w:val="0"/>
          <w:sz w:val="28"/>
          <w:szCs w:val="26"/>
        </w:rPr>
        <w:br w:type="page"/>
      </w:r>
      <w:bookmarkStart w:id="1" w:name="_Toc120944233"/>
      <w:r w:rsidRPr="00F33842">
        <w:rPr>
          <w:rFonts w:ascii="Times New Roman" w:hAnsi="Times New Roman" w:cs="Times New Roman"/>
          <w:sz w:val="28"/>
          <w:szCs w:val="26"/>
        </w:rPr>
        <w:t>Введение</w:t>
      </w:r>
      <w:bookmarkEnd w:id="1"/>
    </w:p>
    <w:p w:rsidR="00F33842" w:rsidRDefault="00F33842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Общемировой кризис в нефтегазовых отраслях углубляется полнейшим отсутствием гармонии интересов компании и федеральной власти, свидетельствующим о том, что единой государственной политики в отношении ТЭК просто не существует. Вместо продуманной, взвешенной стратегии развития и поддержки своих энергетических компании государство практикует дикую фискальную политику, ведущую к разорению и потере конкурентоспособности на мировых энергетических рынках.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Повышение эффективности работы нефтяного комплекса, от чего зависит выход из кризиса и дальнейшее развитие экономики России и мира в целом, включает три группы главных задач финансирование отрасли, налогообложение, управление нефтяными компаниями.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Изменение налогов в сторону их резкого снижения, - как минимум в 1,5-2 раза - для нефтяного комплекса требуется вне зависимости от того, будут ли мировые цены на нефть </w:t>
      </w:r>
      <w:r w:rsidR="00F33842" w:rsidRPr="00F33842">
        <w:rPr>
          <w:sz w:val="28"/>
          <w:szCs w:val="26"/>
        </w:rPr>
        <w:t>понижаться,</w:t>
      </w:r>
      <w:r w:rsidRPr="00F33842">
        <w:rPr>
          <w:sz w:val="28"/>
          <w:szCs w:val="26"/>
        </w:rPr>
        <w:t xml:space="preserve"> или повышаться. Еще до понижения мировых цен на нефть налоги поглотали половину выручки российского нефтяного комплекса (в западных компаниях — до 30%). При этом отношение налогов к затратам в нефтяном комплексе России находится на иррациональном уровне 125%, тогда как за рубежом этот показатель не превышает 60—65%. 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Теория и практика налогообложения показывают, что высокий налог на добавленную стоимость — НДС — вводится в периоды «перегрева» экономик, когда необходимо замедлить темпы производства. У нас этот налог — налог с оборота — странным образом продолжают требовать и при сокращении производства в реальном секторе наполовину. Думается, в реальном секторе, и прежде всего в топливной промышленности. НДС следует отменить полностью. Срочно и полностью надо отменять сегодня и все виды акцизов. В кризисных условиях в топливной отрасли целесообразно применять налог с продаж или вмененный (априорный) налог с компаний. При таком подходе суммарный' сбор налогов увеличится и достигнет по мере оживления промышленного производства через несколько лет обычного для развитых стран отношения к ВВП (порядка 15-18%). </w:t>
      </w:r>
      <w:r w:rsidRPr="00F33842">
        <w:rPr>
          <w:sz w:val="28"/>
          <w:szCs w:val="26"/>
        </w:rPr>
        <w:br/>
        <w:t xml:space="preserve">Налоговые стимулы позволят компаниям нефтегазового комплекса активно участвовать в конверсии ВПК. на производство продукции нефтяного и газового оборудования. Производство машиностроительной продукции оживит смежные отрасли — металлургию, производство средств автоматизации и приборостроения. 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Если экономическая политика предыдущих лет признается ошибочной, то правомерно пересмотреть и реструктурировать задолженность предприятий. Во всяком случае, ту ее часть, которая возникла не по вине этих предприятий. 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Сегодня как никогда нужен государственный контроль за принимаемыми стратегическими решениями в компаниях. Позиция государства может быть только одна: в создании единой государственной технико-экономической политики в топливном комплексе на весь период стабилизации экономики России. Вопросы налогов и порядка финансирования отрасли могут быть удовлетворительно решены только в условиях такой единой политики. 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Опыт работы нефтяных компаний, особенно после смены собственников, показал, что их интересы могут не совпадать с интересами комплекса в целом, следовательно, с интересами развития российской экономики. Решения о сокращении бурения на новых месторождениях или месторождениях со сниженным дебитом может быть и выгодным с точки зрения сегодняшнего дня для руководства компании, но совершенно губительно для экономики страны в перспективе. Профессионал делает дело во благо общества, коммерсант делает «бабки» в своих интересах. 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Продолжая тему государственного интереса, подчеркну, не может раздробленный на компании комплекс, в котором каждый хозяин тянет одеяло на себя и нельзя договориться о какой-либо единой политике, служить надежным фундаментом, а тем более «локомотивом» для экономики страны.</w:t>
      </w:r>
    </w:p>
    <w:p w:rsidR="00FB13D1" w:rsidRPr="00F33842" w:rsidRDefault="00FB13D1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Даная работа посвящена изучению опыта построения структуры управления нефтяными компаниями за рубежом.</w:t>
      </w:r>
    </w:p>
    <w:p w:rsidR="00BE59B6" w:rsidRPr="00F33842" w:rsidRDefault="00FB13D1" w:rsidP="00F3384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F33842">
        <w:rPr>
          <w:rFonts w:ascii="Times New Roman" w:hAnsi="Times New Roman" w:cs="Times New Roman"/>
          <w:b w:val="0"/>
          <w:sz w:val="28"/>
          <w:szCs w:val="26"/>
        </w:rPr>
        <w:br w:type="page"/>
      </w:r>
      <w:bookmarkStart w:id="2" w:name="_Toc120944234"/>
      <w:r w:rsidR="00C41DA0" w:rsidRPr="00F33842">
        <w:rPr>
          <w:rFonts w:ascii="Times New Roman" w:hAnsi="Times New Roman" w:cs="Times New Roman"/>
          <w:sz w:val="28"/>
          <w:szCs w:val="26"/>
        </w:rPr>
        <w:t xml:space="preserve">1. </w:t>
      </w:r>
      <w:r w:rsidR="00BE59B6" w:rsidRPr="00F33842">
        <w:rPr>
          <w:rFonts w:ascii="Times New Roman" w:hAnsi="Times New Roman" w:cs="Times New Roman"/>
          <w:sz w:val="28"/>
          <w:szCs w:val="26"/>
        </w:rPr>
        <w:t>Проблемы реорганизации системы управления нефтяным бизнесом в условиях мирового экономического кризиса</w:t>
      </w:r>
      <w:bookmarkEnd w:id="2"/>
    </w:p>
    <w:p w:rsidR="00C41DA0" w:rsidRPr="00F33842" w:rsidRDefault="00C41DA0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последние годы мировая нефтегазовая отрасль переживает не лучшие времена. Международным и российским нефтяным компаниям приходится решать целый ряд серьезных проблем, многие из которых находятся за пределами их влияния и детерминированы общей ситуацией в мировой экономике. Следует отметить, что совсем незадолго до кризиса в мировой нефтяной промышленности были намечены и началась реализация целого ряда крупных проектов разработки месторождений и увеличения добычи и переработки нефти и газа (Каспий, Сахалин, Северное море, Юго-Восточная Азия, Южная Африка), операторы успешно решали проблемы поиска инвестиций и начала производства, рассчитывая на оптимистические прогнозы роста потребления нефтепродуктов и ценовых котировок. По данным, Salomon Smith Barney, 15 крупнейших американских компаний в начале 1997 г. увеличили расходы на разведку и добычу на 7,6 %, а к концу года эти расходы возросли до 17,2 %. Масштабные инвестиционные программы в области разведки и добычи нефти и газа одобрялись в большинстве компаний, однако, сейчас многие из них выглядят несостоятельными. </w:t>
      </w:r>
      <w:r w:rsidR="00F33842">
        <w:rPr>
          <w:sz w:val="28"/>
          <w:szCs w:val="26"/>
        </w:rPr>
        <w:t>[</w:t>
      </w:r>
      <w:r w:rsidR="00CE4A84" w:rsidRPr="00F33842">
        <w:rPr>
          <w:rStyle w:val="a6"/>
          <w:sz w:val="28"/>
          <w:szCs w:val="26"/>
          <w:vertAlign w:val="baseline"/>
        </w:rPr>
        <w:footnoteReference w:id="1"/>
      </w:r>
      <w:r w:rsidR="00F33842">
        <w:rPr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Сегодня мировые нефтяные компании стоят перед жесткой необходимостью сокращения расходов на разведку и добычу нефти и газа, поскольку их руководителям становится все труднее объяснять своим акционерам причины для расширения производства в условиях падения цен и сокращения спроса на энергоносители. Например, американская Texaco открыто признала невозможность выполнения 5-летнего плана по увеличению добычи нефти на 8 % в год. Более того, в 1999 г. ожидаются масштабные увольнения, а капитальные вложения сократятся на одну пятую (до 3,6 млрд.</w:t>
      </w:r>
      <w:r w:rsidR="00C41DA0" w:rsidRPr="00F33842">
        <w:rPr>
          <w:bCs/>
          <w:sz w:val="28"/>
          <w:szCs w:val="26"/>
        </w:rPr>
        <w:t xml:space="preserve"> </w:t>
      </w:r>
      <w:r w:rsidRPr="00F33842">
        <w:rPr>
          <w:bCs/>
          <w:sz w:val="28"/>
          <w:szCs w:val="26"/>
        </w:rPr>
        <w:t xml:space="preserve">долл.). </w:t>
      </w:r>
      <w:r w:rsidR="00F33842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2"/>
      </w:r>
      <w:r w:rsidR="00F33842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Негативные тенденции, связанные с переполнением нефтяного рынка и снижением цен на нфть, в полной мере проявились в 1998 г., когда средняя мировая цена нефти с 19,09 долл./</w:t>
      </w:r>
      <w:r w:rsidR="00C41DA0" w:rsidRPr="00F33842">
        <w:rPr>
          <w:bCs/>
          <w:sz w:val="28"/>
          <w:szCs w:val="26"/>
        </w:rPr>
        <w:t>бар</w:t>
      </w:r>
      <w:r w:rsidRPr="00F33842">
        <w:rPr>
          <w:bCs/>
          <w:sz w:val="28"/>
          <w:szCs w:val="26"/>
        </w:rPr>
        <w:t>. (1 полугодие 1997 г.) снизилась до 12,44 долл./</w:t>
      </w:r>
      <w:r w:rsidR="00C41DA0" w:rsidRPr="00F33842">
        <w:rPr>
          <w:bCs/>
          <w:sz w:val="28"/>
          <w:szCs w:val="26"/>
        </w:rPr>
        <w:t>бар</w:t>
      </w:r>
      <w:r w:rsidRPr="00F33842">
        <w:rPr>
          <w:bCs/>
          <w:sz w:val="28"/>
          <w:szCs w:val="26"/>
        </w:rPr>
        <w:t>. Самого низкого уровня мировая цена на нефть достигла в июне 1998 г. – 11,5 долл./</w:t>
      </w:r>
      <w:r w:rsidR="00C41DA0" w:rsidRPr="00F33842">
        <w:rPr>
          <w:bCs/>
          <w:sz w:val="28"/>
          <w:szCs w:val="26"/>
        </w:rPr>
        <w:t>бар</w:t>
      </w:r>
      <w:r w:rsidRPr="00F33842">
        <w:rPr>
          <w:bCs/>
          <w:sz w:val="28"/>
          <w:szCs w:val="26"/>
        </w:rPr>
        <w:t xml:space="preserve">. Несмотря на то, что низкие цены на сырье несколько повысили доходы нефтепереработчиков и сбытовиков, падение доходов на стадиях разведки и добычи привело к ухудшению производственно-финансовых показателей ведущих нефтяных компаний США. </w:t>
      </w:r>
      <w:r w:rsidR="00F33842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3"/>
      </w:r>
      <w:r w:rsidR="00F33842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Нефтяные компании, стремясь выжить, ищут спасения на пути укрупнения и консолидации активов и операций, что в известной степени позволяет сглаживать колебания доходов. Слова «слияние» и «поглощение» прочно вошли в отраслевой лексикон.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В последнее время еще несколько крупных нефтяных компаний из разных стран, не охваченных первой волной слияний, объявили о создании альянсов либо о покупке своих конкурентов. Например, британская нефтедобывающая компания Lasmo приобретает Monument Oil&amp;Gas на основе общих интересов в Каспийском регионе, Северном море, Туркменистане, Северной Африке, Пакистане. Испанская нефтяная компания Repsoil собирается приобрести YPF (Аргентина) общей стоимостью 15,44 млрд.долл., на что уже получила согласие Совета директоров последней. В Норвегии нефтяная компания Norsk Hydro объявила о готовности приобрести конкурирующую нефтедобывающую компанию Saga за 2,2 млрд. долл.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4"/>
      </w:r>
    </w:p>
    <w:p w:rsidR="00C41DA0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Американские компании Chevron и Texaco обсуждают возможности создания альянса, который станет 4-й по величине нефтяной компанией в мире. Новый альянс будет уступать лишь большой тройке мирового нефтебизнеса: Exxon-Mobil, Shell и BP-Amoco-Arco. Стоимость каждой из этих компаний превышает 150 млрд. долл., а запасы – 20 млрд. барр. нефтяного эквивалента. В результате слияния Chevron и Texaco будет создана компания стоимостью 100 млрд.</w:t>
      </w:r>
      <w:r w:rsidR="00C41DA0" w:rsidRPr="00F33842">
        <w:rPr>
          <w:bCs/>
          <w:sz w:val="28"/>
          <w:szCs w:val="26"/>
        </w:rPr>
        <w:t xml:space="preserve"> </w:t>
      </w:r>
      <w:r w:rsidRPr="00F33842">
        <w:rPr>
          <w:bCs/>
          <w:sz w:val="28"/>
          <w:szCs w:val="26"/>
        </w:rPr>
        <w:t>долл. с запасами около 10 млрд.</w:t>
      </w:r>
      <w:r w:rsidR="00C41DA0" w:rsidRPr="00F33842">
        <w:rPr>
          <w:bCs/>
          <w:sz w:val="28"/>
          <w:szCs w:val="26"/>
        </w:rPr>
        <w:t xml:space="preserve"> бар</w:t>
      </w:r>
      <w:r w:rsidRPr="00F33842">
        <w:rPr>
          <w:bCs/>
          <w:sz w:val="28"/>
          <w:szCs w:val="26"/>
        </w:rPr>
        <w:t>. Наиболее вероятным вариантом объединения является покупка компании Texaco более крупной компанией Chevron за 42 млрд.</w:t>
      </w:r>
      <w:r w:rsidR="00C41DA0" w:rsidRPr="00F33842">
        <w:rPr>
          <w:bCs/>
          <w:sz w:val="28"/>
          <w:szCs w:val="26"/>
        </w:rPr>
        <w:t xml:space="preserve"> </w:t>
      </w:r>
      <w:r w:rsidRPr="00F33842">
        <w:rPr>
          <w:bCs/>
          <w:sz w:val="28"/>
          <w:szCs w:val="26"/>
        </w:rPr>
        <w:t xml:space="preserve">долл. При таком варианте боссом объединенной компании, по мнению специалистов, станет нынешний глава Chevron Кен Дерр на несколько лет, оставшихся ему до пенсии, а затем бразды </w:t>
      </w:r>
      <w:r w:rsidR="00C41DA0" w:rsidRPr="00F33842">
        <w:rPr>
          <w:bCs/>
          <w:sz w:val="28"/>
          <w:szCs w:val="26"/>
        </w:rPr>
        <w:t>правления,</w:t>
      </w:r>
      <w:r w:rsidRPr="00F33842">
        <w:rPr>
          <w:bCs/>
          <w:sz w:val="28"/>
          <w:szCs w:val="26"/>
        </w:rPr>
        <w:t xml:space="preserve"> скорее </w:t>
      </w:r>
      <w:r w:rsidR="00C41DA0" w:rsidRPr="00F33842">
        <w:rPr>
          <w:bCs/>
          <w:sz w:val="28"/>
          <w:szCs w:val="26"/>
        </w:rPr>
        <w:t>всего,</w:t>
      </w:r>
      <w:r w:rsidRPr="00F33842">
        <w:rPr>
          <w:bCs/>
          <w:sz w:val="28"/>
          <w:szCs w:val="26"/>
        </w:rPr>
        <w:t xml:space="preserve"> получит Питер Бижур из Texaco, который младше на 5 лет. </w:t>
      </w:r>
      <w:r w:rsidR="00EC724C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5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Кстати сказать, именно поглощение более крупной компанией меньшего конкурента имело место в случаях с Exxon, купившей компанию Mobil, и с British Petroleum при покупке ею Amoco и Arco.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Chevron и Texaco не новички в деле создания альянсов и укрупнения своего бизнеса. Эти компании еще в 1936 г. создали на паритетных основах совместное предприятие Caltex, которое ныне является гигантом нефтепереработки в Азии и владеет активами в Африке и на Ближнем Востоке. Также можно вспомнить, как Chevron удвоила свои нефтегазовые ресурсы в 1984 г. после рекордного приобретения компании Gulf Oil за 13 млрд.долл. Texaco в 1983 г. пыталась поглотить компанию Getty Oil, но едва не стала банкротом, после того, как суд наложил на нее штраф в 10,5 млрд.долл. за нанесение ущерба сделке Getty-Pennzoil. Оправившись от проблемы банкротства Texaco сама столкнулась с попыткой захвата со стороны корпоративного спекулянта Карла Икана.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 последнее время такие крупные компании как Mobil (после слияния с Exxon) и Unocal проявляют интерес к приобретению американской нефтяной компании Phillips (интересы в США, Северном море, Венесуэле, Мексиканском заливе, Казахстане, Китае, Африке, Австралии), которая в свою очередь получила 800 млн.долл. после слияния своих нефтеперерабатывающих и сбытовых активов с компанией Ultramar Diamond Shamrock (UDS). </w:t>
      </w:r>
      <w:r w:rsidR="00EC724C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6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Волны подобных масштабных реорганизаций деятельности американских нефтяных компаний в условиях мирового кризиса, также как и многие другие «пожарные» и долгосрочные меры призваны изменить в первую очередь структуру управления компаний, правильное построение которой является залогом успешного выживания. Представляется целесообразным рассмотреть два аспекта организации управления нефтяным бизнесом в США: </w:t>
      </w:r>
      <w:r w:rsidR="00EC724C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7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Вертикальная интеграция нефтяных компаний </w:t>
      </w:r>
    </w:p>
    <w:p w:rsidR="00BE59B6" w:rsidRPr="00F33842" w:rsidRDefault="00BE59B6" w:rsidP="00F3384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Организация внутренней структуры управления компанией </w:t>
      </w:r>
    </w:p>
    <w:p w:rsidR="00BE59B6" w:rsidRPr="00F33842" w:rsidRDefault="00C41DA0" w:rsidP="00F3384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F33842">
        <w:rPr>
          <w:rFonts w:ascii="Times New Roman" w:hAnsi="Times New Roman" w:cs="Times New Roman"/>
          <w:b w:val="0"/>
          <w:sz w:val="28"/>
          <w:szCs w:val="26"/>
        </w:rPr>
        <w:br w:type="page"/>
      </w:r>
      <w:bookmarkStart w:id="3" w:name="_Toc120944235"/>
      <w:r w:rsidRPr="00F33842">
        <w:rPr>
          <w:rFonts w:ascii="Times New Roman" w:hAnsi="Times New Roman" w:cs="Times New Roman"/>
          <w:b w:val="0"/>
          <w:sz w:val="28"/>
          <w:szCs w:val="26"/>
        </w:rPr>
        <w:t xml:space="preserve">2. </w:t>
      </w:r>
      <w:r w:rsidR="00BE59B6" w:rsidRPr="00F33842">
        <w:rPr>
          <w:rFonts w:ascii="Times New Roman" w:hAnsi="Times New Roman" w:cs="Times New Roman"/>
          <w:b w:val="0"/>
          <w:sz w:val="28"/>
          <w:szCs w:val="26"/>
        </w:rPr>
        <w:t>Принципы и практика вертикальной интеграции нефтяных компаний</w:t>
      </w:r>
      <w:bookmarkEnd w:id="3"/>
      <w:r w:rsidR="00BE59B6" w:rsidRPr="00F33842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C41DA0" w:rsidRPr="00F33842" w:rsidRDefault="00C41DA0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 настоящее время в мире насчитывается более 800 нефтяных компаний, при этом большую часть нефтяного бизнеса «делают» примерно два десятка (половина из которых – американские) интегрированных транснациональных нефтяных компаний, так называемых «главных» нефтяных компаний или «мэйджорз» (см. Таблицу 1). 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8"/>
      </w:r>
    </w:p>
    <w:p w:rsidR="00C41DA0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Таблица 1.</w:t>
      </w:r>
    </w:p>
    <w:p w:rsidR="00BE59B6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Сводный рейтинг 25 ведущих нефтегазовых компаний мира в 1997 г.</w:t>
      </w:r>
    </w:p>
    <w:p w:rsidR="00EC724C" w:rsidRPr="00F33842" w:rsidRDefault="00EC724C" w:rsidP="00F33842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7"/>
        <w:gridCol w:w="2032"/>
        <w:gridCol w:w="5765"/>
      </w:tblGrid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C724C">
              <w:rPr>
                <w:bCs/>
                <w:sz w:val="20"/>
                <w:szCs w:val="20"/>
              </w:rPr>
              <w:t>Место</w:t>
            </w: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bCs/>
                <w:sz w:val="20"/>
                <w:szCs w:val="20"/>
              </w:rPr>
              <w:t xml:space="preserve">в </w:t>
            </w:r>
            <w:r w:rsidR="00C41DA0" w:rsidRPr="00EC724C">
              <w:rPr>
                <w:bCs/>
                <w:sz w:val="20"/>
                <w:szCs w:val="20"/>
              </w:rPr>
              <w:t>2003</w:t>
            </w:r>
            <w:r w:rsidRPr="00EC724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C724C">
              <w:rPr>
                <w:bCs/>
                <w:sz w:val="20"/>
                <w:szCs w:val="20"/>
              </w:rPr>
              <w:t>Место</w:t>
            </w: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bCs/>
                <w:sz w:val="20"/>
                <w:szCs w:val="20"/>
              </w:rPr>
              <w:t xml:space="preserve">в </w:t>
            </w:r>
            <w:r w:rsidR="00C41DA0" w:rsidRPr="00EC724C">
              <w:rPr>
                <w:bCs/>
                <w:sz w:val="20"/>
                <w:szCs w:val="20"/>
              </w:rPr>
              <w:t>2004</w:t>
            </w:r>
            <w:r w:rsidRPr="00EC724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bCs/>
                <w:sz w:val="20"/>
                <w:szCs w:val="20"/>
              </w:rPr>
              <w:t>Компания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6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24C">
              <w:rPr>
                <w:sz w:val="20"/>
                <w:szCs w:val="20"/>
                <w:lang w:val="en-US"/>
              </w:rPr>
              <w:t>Petroleo de Venezuela SA (</w:t>
            </w:r>
            <w:r w:rsidRPr="00EC724C">
              <w:rPr>
                <w:sz w:val="20"/>
                <w:szCs w:val="20"/>
              </w:rPr>
              <w:t>Венесуэла</w:t>
            </w:r>
            <w:r w:rsidRPr="00EC724C">
              <w:rPr>
                <w:sz w:val="20"/>
                <w:szCs w:val="20"/>
                <w:lang w:val="en-US"/>
              </w:rPr>
              <w:t>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Royal Dutch/Shell (Нидерланды/Великобритания)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3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Exxon Corp.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4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3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24C">
              <w:rPr>
                <w:sz w:val="20"/>
                <w:szCs w:val="20"/>
                <w:lang w:val="en-US"/>
              </w:rPr>
              <w:t>British Petroleum Co.Plc. (</w:t>
            </w:r>
            <w:r w:rsidRPr="00EC724C">
              <w:rPr>
                <w:sz w:val="20"/>
                <w:szCs w:val="20"/>
              </w:rPr>
              <w:t>Великобритания</w:t>
            </w:r>
            <w:r w:rsidRPr="00EC724C">
              <w:rPr>
                <w:sz w:val="20"/>
                <w:szCs w:val="20"/>
                <w:lang w:val="en-US"/>
              </w:rPr>
              <w:t>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5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7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Petroleos Mexicanos (Мексика)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6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5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Mobil Corp.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7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8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Chevron Corp.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8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17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 xml:space="preserve">РАО Газпром (Россия) 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9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15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Texaco Inc.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10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10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Amoco Corp.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11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Kuweit Petroleum Corp. (Кувейт)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12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19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ENI (Италия)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13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9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Petroleo Brasileiro (Бразилия)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14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-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Petronas (Малайзия)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15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22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Pertamina (Индонезия)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16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11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Total (Франция)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17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12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Shell Oil Co.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18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4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Elf Aquitaine (Франция)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19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16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Atlantic Richfield – ARCO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20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21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Conoco Inc.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21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Сургутнефтегаз (Россия)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22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23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Phillips Petroleum (США)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23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20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Лукойл (Россия)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24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18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Statoil (Норвегия)</w:t>
            </w:r>
          </w:p>
        </w:tc>
      </w:tr>
      <w:tr w:rsidR="00BE59B6" w:rsidRPr="00F33842" w:rsidTr="00463CC9">
        <w:trPr>
          <w:tblCellSpacing w:w="15" w:type="dxa"/>
          <w:jc w:val="center"/>
        </w:trPr>
        <w:tc>
          <w:tcPr>
            <w:tcW w:w="9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25</w:t>
            </w:r>
          </w:p>
        </w:tc>
        <w:tc>
          <w:tcPr>
            <w:tcW w:w="105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-</w:t>
            </w:r>
          </w:p>
        </w:tc>
        <w:tc>
          <w:tcPr>
            <w:tcW w:w="3000" w:type="pct"/>
            <w:shd w:val="clear" w:color="auto" w:fill="FFFFFF"/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Repsoil (Испания)</w:t>
            </w:r>
          </w:p>
        </w:tc>
      </w:tr>
    </w:tbl>
    <w:p w:rsidR="00C41DA0" w:rsidRPr="00F33842" w:rsidRDefault="00C41DA0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К наиболее мощным нефтяным компаниям, ведущим свой бизнес по всему миру относятся: Exxon-Mobil, Chevron, Amoco (с недавнего времени BP Amoco), Texaco. Совершенно очевидно, что в современной структуре нефтяного бизнеса США (это справедливо и в мировом масштабе), которая в основном сформировалась в 30-е годы нашего века, доминируют вертикально интегрированные компании. </w:t>
      </w:r>
      <w:r w:rsidR="00EC724C">
        <w:rPr>
          <w:sz w:val="28"/>
          <w:szCs w:val="26"/>
        </w:rPr>
        <w:t>[</w:t>
      </w:r>
      <w:r w:rsidR="00CE4A84" w:rsidRPr="00F33842">
        <w:rPr>
          <w:rStyle w:val="a6"/>
          <w:sz w:val="28"/>
          <w:szCs w:val="26"/>
          <w:vertAlign w:val="baseline"/>
        </w:rPr>
        <w:footnoteReference w:id="9"/>
      </w:r>
      <w:r w:rsidR="00EC724C">
        <w:rPr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Под вертикальной интеграцией крупной промышленной (промышленно-торгово-финансовой) компании понимают финансово-экономическое объединение различных технологически взаимосвязанных производств. В нефтяной отрасли в такую интеграцию входят предприятия, составляющие последовательность стадий основного технологического процесса, а именно: разведка и добыча нефти - транспортировка - переработка - нефтехимия - сбыт нефтепродуктов и нефтехимикатов.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Преимуществом интегрированной компании является сбалансированность сбыта. Когда цена на нефть падает, прибыль добывающих подразделений уменьшается, но нефтепереработка и нефтехимические производства увеличивают прибыль, поэтому потери одного подразделения компенсируются другими подразделениями. Так, крупные компании не снижали прибыли даже при падении цен на нефть с 36 до 10 долл./</w:t>
      </w:r>
      <w:r w:rsidR="00C41DA0" w:rsidRPr="00F33842">
        <w:rPr>
          <w:bCs/>
          <w:sz w:val="28"/>
          <w:szCs w:val="26"/>
        </w:rPr>
        <w:t>бар</w:t>
      </w:r>
      <w:r w:rsidRPr="00F33842">
        <w:rPr>
          <w:bCs/>
          <w:sz w:val="28"/>
          <w:szCs w:val="26"/>
        </w:rPr>
        <w:t xml:space="preserve">. в 1981-84 гг.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Развитие нефтяного бизнеса в США с самого начала пошло по пути вертикальной интеграции. Крупнейшие нефтяные компании - Standard Oil, Gulf, Texaco и др. установили контроль за всеми секторами нефтяного дела в национальном, а затем и в международном масштабе. Такого же подхода придерживались и многие небольшие предприятия-аутсайдеры, несмотря на то что они оперировали на ограниченных территориях. </w:t>
      </w:r>
      <w:r w:rsidR="00EC724C">
        <w:rPr>
          <w:bCs/>
          <w:sz w:val="28"/>
          <w:szCs w:val="26"/>
        </w:rPr>
        <w:t>[</w:t>
      </w:r>
      <w:r w:rsidR="00CE4A84" w:rsidRPr="00F33842">
        <w:rPr>
          <w:rStyle w:val="a6"/>
          <w:bCs/>
          <w:sz w:val="28"/>
          <w:szCs w:val="26"/>
          <w:vertAlign w:val="baseline"/>
        </w:rPr>
        <w:footnoteReference w:id="10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Развитие процесса интеграции обусловлено рядом предпосылок: </w:t>
      </w:r>
    </w:p>
    <w:p w:rsidR="00C41DA0" w:rsidRPr="00F33842" w:rsidRDefault="00BE59B6" w:rsidP="00F33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Стремление нефтяных компаний к контролю над рынками сбыта конечной продукции - сначала нефтепродуктов, а затем и нефтехимикатов. </w:t>
      </w:r>
    </w:p>
    <w:p w:rsidR="00C41DA0" w:rsidRPr="00F33842" w:rsidRDefault="00BE59B6" w:rsidP="00F33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Обусловленная природными и экономическими факторами необходимость "управляемой" организации производства и сбыта. </w:t>
      </w:r>
    </w:p>
    <w:p w:rsidR="00C41DA0" w:rsidRPr="00F33842" w:rsidRDefault="00BE59B6" w:rsidP="00F33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Достижение экономии издержек, обусловленной масштабами производства при развитой вертикальной интеграции. Концентрация капитала и производства, наличие единой инфраструктуры, возможности маневра (капиталом, мощностями, потоками сырья и продукции), что способствует сокращению удельных затрат в производстве и сбытовой деятельности, росту массы и нормы прибыли. </w:t>
      </w:r>
    </w:p>
    <w:p w:rsidR="00C41DA0" w:rsidRPr="00F33842" w:rsidRDefault="00BE59B6" w:rsidP="00F33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Обеспечение в рамках вертикально-интегрированных структур контролируемых источников сырьевого обеспечения. </w:t>
      </w:r>
    </w:p>
    <w:p w:rsidR="00BE59B6" w:rsidRPr="00F33842" w:rsidRDefault="00BE59B6" w:rsidP="00F3384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Международный характер нефтяного бизнеса и его тесная связь с мировой и национальной политикой.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целом, как показывает практика, вертикальная интеграция компаний, занятых в нефтяном бизнесе, при удачном использовании предпосылок своего формирования имеет существенные конкурентные преимущества перед фирмами специализированного типа. Однако, основные предпосылки интеграционного процесса нельзя считать факторами "абсолютного действия". Они достаточно противоречивы и проявляются лишь в тенденции. Планомерность, концентрация производства и капитала, установление контроля над рынками сырья и продукции в сочетании с монополизмом отнюдь не исключают конкуренции. Крупнейшие нефтяные корпорации соперничают между собой и с независимыми компаниями-аутсайдерами. Роль конкуренции особенно возросла в 80-е годы, когда вследствие успеха энергосберегающей политики вновь стали возможны резкие изменения цен на нефть, значительно ужесточились налоговые и концессионные (лицензионные) условия в сфере нефтедобычи, повсеместно были ограничены возможности применения механизма внутрикорпоративных трансфертных цен. </w:t>
      </w:r>
      <w:r w:rsidR="00EC724C">
        <w:rPr>
          <w:sz w:val="28"/>
          <w:szCs w:val="26"/>
        </w:rPr>
        <w:t>[</w:t>
      </w:r>
      <w:r w:rsidR="00CE4A84" w:rsidRPr="00F33842">
        <w:rPr>
          <w:rStyle w:val="a6"/>
          <w:sz w:val="28"/>
          <w:szCs w:val="26"/>
          <w:vertAlign w:val="baseline"/>
        </w:rPr>
        <w:footnoteReference w:id="11"/>
      </w:r>
      <w:r w:rsidR="00EC724C">
        <w:rPr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Говоря об относительном характере предпосылок вертикальной интеграции в нефтяном бизнесе, нельзя не отметить того обстоятельства, что стремление компаний к контролю и участию во всех стадиях нефтяного бизнеса приводит к не всегда оправданному дублированию производственных и сбытовых структур.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Из американских источников известно, что уровень использования производственных мощностей в нефтеперерабатывающей промышленности </w:t>
      </w:r>
      <w:r w:rsidR="00C41DA0" w:rsidRPr="00F33842">
        <w:rPr>
          <w:bCs/>
          <w:sz w:val="28"/>
          <w:szCs w:val="26"/>
        </w:rPr>
        <w:t>США,</w:t>
      </w:r>
      <w:r w:rsidRPr="00F33842">
        <w:rPr>
          <w:bCs/>
          <w:sz w:val="28"/>
          <w:szCs w:val="26"/>
        </w:rPr>
        <w:t xml:space="preserve"> как </w:t>
      </w:r>
      <w:r w:rsidR="00C41DA0" w:rsidRPr="00F33842">
        <w:rPr>
          <w:bCs/>
          <w:sz w:val="28"/>
          <w:szCs w:val="26"/>
        </w:rPr>
        <w:t>правило,</w:t>
      </w:r>
      <w:r w:rsidRPr="00F33842">
        <w:rPr>
          <w:bCs/>
          <w:sz w:val="28"/>
          <w:szCs w:val="26"/>
        </w:rPr>
        <w:t xml:space="preserve"> не превышает 60-70 %, и лишь частично это можно объяснить необходимостью резервирования мощностей в условиях рынка. Иными словами, экономия в издержках, достигаемая внутри вертикально-интегрированных компаний, имеет своей оборотной стороной расточительное расходование ресурсов.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2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Интеграция и комбинирование в нефтяном бизнесе отнюдь не исключают и специализации, поэтому наряду с небольшими существуют и крупные специализированные компании. И </w:t>
      </w:r>
      <w:r w:rsidR="00C41DA0" w:rsidRPr="00F33842">
        <w:rPr>
          <w:bCs/>
          <w:sz w:val="28"/>
          <w:szCs w:val="26"/>
        </w:rPr>
        <w:t>те,</w:t>
      </w:r>
      <w:r w:rsidRPr="00F33842">
        <w:rPr>
          <w:bCs/>
          <w:sz w:val="28"/>
          <w:szCs w:val="26"/>
        </w:rPr>
        <w:t xml:space="preserve"> и другие, будучи самостоятельными хозяйственно-правовыми структурами, могут, тем не менее, входить в сферу влияния интегрированных компаний, например, через систему финансового участия. В нефтяном бизнесе в условиях рыночной экономики широко распространено частичное (фрагментарное) комбинирование различных сфер деятельности. Типичным примером такого рода являются связки: разведка запасов - добыча нефти, транспорт - оптовая торговля нефтью, нефте</w:t>
      </w:r>
      <w:r w:rsidR="002A74AF" w:rsidRPr="00F33842">
        <w:rPr>
          <w:bCs/>
          <w:sz w:val="28"/>
          <w:szCs w:val="26"/>
        </w:rPr>
        <w:t>-</w:t>
      </w:r>
      <w:r w:rsidRPr="00F33842">
        <w:rPr>
          <w:bCs/>
          <w:sz w:val="28"/>
          <w:szCs w:val="26"/>
        </w:rPr>
        <w:t>газо</w:t>
      </w:r>
      <w:r w:rsidR="002A74AF" w:rsidRPr="00F33842">
        <w:rPr>
          <w:bCs/>
          <w:sz w:val="28"/>
          <w:szCs w:val="26"/>
        </w:rPr>
        <w:t>-</w:t>
      </w:r>
      <w:r w:rsidRPr="00F33842">
        <w:rPr>
          <w:bCs/>
          <w:sz w:val="28"/>
          <w:szCs w:val="26"/>
        </w:rPr>
        <w:t xml:space="preserve">переработка - нефтехимия, оптовая - розничная торговля нефтепродуктами.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Специализация и частичное комбинирование, по-видимому, наиболее удобны при переработке нефти вследствие большого разнообразия процессов и технологий, необходимости производства продукции с заданными свойствами (смазочных масел, различных присадок и т.д.).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Развитие нефтяной компании по пути полной интеграции и комбинирования, масштабы производственной и сбытовой деятельности изначально обусловили исключительную важность проблемы финансирования. Уже первые нефтяные компании своим становлением обязаны мощным финансовым структурам: Standard Oil - финансовой империи Рокфеллеров, Gulf – Меллонам и т.д. Развитие интеграционного процесса в нефтяной промышленности при наличии необходимой мощной финансовой базы происходило и происходит в различных формах: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3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прямых инвестиций с созданием новых объектов в сферах производства и сбыта; </w:t>
      </w:r>
    </w:p>
    <w:p w:rsidR="00BE59B6" w:rsidRPr="00F33842" w:rsidRDefault="00BE59B6" w:rsidP="00F3384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приобретения материальных и финансовых активов существующих компаний (слияние, поглощение и т.д.); </w:t>
      </w:r>
    </w:p>
    <w:p w:rsidR="002A74AF" w:rsidRPr="00F33842" w:rsidRDefault="00BE59B6" w:rsidP="00F3384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реализация совместных проектов и о</w:t>
      </w:r>
      <w:r w:rsidR="002A74AF" w:rsidRPr="00F33842">
        <w:rPr>
          <w:sz w:val="28"/>
          <w:szCs w:val="26"/>
        </w:rPr>
        <w:t>бразование совместных компаний.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Так возникли многие ныне национализированные нефтяные компании в странах Ближнего и Среднего Востока.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результате этого процесса сложились интегрированные компании принципиально различных типов. К первому относятся компании, интегрированные по финансовому признаку, - холдинги. Классическим примером такого рода была Standard Oil of New Jersey, ныне Exxon, не занимающаяся производственными операциями, но осуществляющая контроль над более чем 300 компаниями и филиалами. </w:t>
      </w:r>
      <w:r w:rsidR="002A74AF" w:rsidRPr="00F33842">
        <w:rPr>
          <w:sz w:val="28"/>
          <w:szCs w:val="26"/>
        </w:rPr>
        <w:t>Многие,</w:t>
      </w:r>
      <w:r w:rsidRPr="00F33842">
        <w:rPr>
          <w:sz w:val="28"/>
          <w:szCs w:val="26"/>
        </w:rPr>
        <w:t xml:space="preserve"> из которых - Esso, Imperial Oil, Aramco и другие - сами были крупнейшими компаниями. Таким образом, Standard Oil of New Jersey не просто выступала в роли холдинг компании, но и взяла на себя функции "мыслить и проектировать".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Интегрированные компании второго типа являются производственными - осуществляющими разведку, добычу, транспортировку и переработку нефти, а также сбыт готовой продукции через свои филиалы и специализированные подразделения. Таких компаний в современном нефтяном бизнесе подавляющее большинство. Однако, при этом чисто производственных компаний в настоящее время практически не существует, поскольку все они в той или иной степени являются финансовыми компаниями.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 целом, в нефтяном бизнесе во многом вследствие процессов вертикальной интеграции имеет место </w:t>
      </w:r>
      <w:r w:rsidR="00C41DA0" w:rsidRPr="00F33842">
        <w:rPr>
          <w:bCs/>
          <w:sz w:val="28"/>
          <w:szCs w:val="26"/>
        </w:rPr>
        <w:t>чрезвычайно</w:t>
      </w:r>
      <w:r w:rsidRPr="00F33842">
        <w:rPr>
          <w:bCs/>
          <w:sz w:val="28"/>
          <w:szCs w:val="26"/>
        </w:rPr>
        <w:t xml:space="preserve"> сложное переплетение экономических и политических интересов. Сама вертикальная интеграция, в том числе опирающаяся на систему финансового участия и совместного владения, приобрела многоступенчатый характер, адекватный условиям современной рыночной экономики.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 тоже время, практически все крупнейшие нефтяные компании мира включают в себя звенья технологической цепочки - от скважины до бензоколонки. Как правило, в их состав входят дочерние компании, имеющие статус национальных, если они находятся в других странах. Сама вертикально-интегрированная компания выступает по отношению к ним как материнская и имеет совместные с другими фирмами предприятия. Все компании по форме собственности являются акционерными обществами.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Дочерние фирмы практически независимы, и как правило имеют собственное управление и Совет директоров. Головной офис материнской компании дает дочерним конкретные задания в соответствии с принятой стратегией достижения финансовых результатов.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Финансовая служба сосредоточена в материнской штаб-квартире и является главным связующим звеном для предприятий компании, действующих в различных отраслях и странах. Именно строгий финансовый контроль интегрирует пользующиеся значительной хозяйственной свободой подразделения фирмы и дочерних компаний.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Финансовая служба корпорации, представляющая собой разветвленную организационную структуру с многочисленными подразделениями, направляет отчетность председателю Совета директоров и главному исполнительному директору компании. Отделение финансов от производства обеспечивает их независимость и объективность. В то же время во многих компаниях финансовые службы работают совместно с производственными подразделениями.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Внутрикорпоративные финансово-контрольные системы базируются на 5-летнем стратегическом, 2-летнем оперативном и ежеквартальном планах. В центре внимания находятся собираемые на всех организационных уровнях сведения о прибылях и убытках. Основной рабочий план корпорации - 2-летний, отличительной чертой которого является скользящий характер, причем детально расписывается только первый год планируемого периода, а последующий год рассматривается </w:t>
      </w:r>
      <w:r w:rsidR="002A74AF" w:rsidRPr="00F33842">
        <w:rPr>
          <w:bCs/>
          <w:sz w:val="28"/>
          <w:szCs w:val="26"/>
        </w:rPr>
        <w:t>укрупнено</w:t>
      </w:r>
      <w:r w:rsidRPr="00F33842">
        <w:rPr>
          <w:bCs/>
          <w:sz w:val="28"/>
          <w:szCs w:val="26"/>
        </w:rPr>
        <w:t xml:space="preserve"> с последующей детализацией, что позволяет придать внутрифирменному планированию непрерывный характер и обеспечить оперативный контроль.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4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Если говорить о финансовой стратегии, то совершенно естественно, что все частные нефтяные компании США преследуют главную цель - максимизацию капитала, принадлежащего компании. В основном, нефтяные компании пользуются следующими источниками средств для финансирования своей деятельности: </w:t>
      </w:r>
    </w:p>
    <w:p w:rsidR="002A74AF" w:rsidRPr="00F33842" w:rsidRDefault="00BE59B6" w:rsidP="00F338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привлечение заемных средств, т.е. кредитов банков и других финансовых институтов; </w:t>
      </w:r>
    </w:p>
    <w:p w:rsidR="00BE59B6" w:rsidRPr="00F33842" w:rsidRDefault="00BE59B6" w:rsidP="00F338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собственный акционерный капитал, т.е. средства, получаемые от акционеров компании.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Каждая компания в своей практической деятельности определяет оптимальное с точки зрения решаемых ею задач соотношение внутренних и внешних источников финансирования своей деятельности.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Анализ финансовой ситуации вертикально-интегрированной нефтяной компании базируется на сопоставлении отдельных показателей движения наличных средств, расчете рентабельности используемого капитала и т.д. с одновременным отслеживанием положения на рынках и определении направлений и факторов успеха в работе компании. Как правило, выделяются 2 группы факторов успеха: </w:t>
      </w:r>
    </w:p>
    <w:p w:rsidR="00BE59B6" w:rsidRPr="00F33842" w:rsidRDefault="00BE59B6" w:rsidP="00F338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Внешние (экзогенные) факторы, каковыми являются мировые цены на нефть и нефтепродукты и определяемый ими уровень рентабельности. </w:t>
      </w:r>
    </w:p>
    <w:p w:rsidR="00BE59B6" w:rsidRPr="00F33842" w:rsidRDefault="00BE59B6" w:rsidP="00F338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Факторы, которые контролируются компанией (эндогенные). К ним можно отнести вопросы репутации торговой марки, занятие места на перспективных рынках, программы в области подготовки кадров, безопасности труда, охраны здоровья людей и окружающей среды, поддержание сбалансированной структуры деятельности компании (в первую очередь соотношения между добычей и переработкой нефти), снижение издержек производства, мотивация сотрудников к производительной работе, улучшение организации и системы управления.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Небольшие компании, входившие в состав ВИНК, как правило, затем объединяются в новые организационные структуры, формируя более крупные отделения. По такому пути пошли практически все нефтяные компании в Соединенных Штатах.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Одной из главных идей в проведении реорганизации было стремление избавиться от бюрократических излишеств в аппарате управления. Для этого была проведена большая работа по изменению потока циркуляции информации внутри компании с тем, чтобы информацию получали те, кому она необходима. Были разработаны соответствующие процедуры работ и определена степень ответственности каждого работника аппарата управления.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Главный смысл разделения роли штаб-квартиры (материнской компании) и входящих в ее состав компаний и отделений состоит в том, что первая определяет стратегию, а текущая работа сконцентрирована в низовых звеньях. Управляющие из штаб-квартиры не имеют права, за редким исключением, требовать от нижестоящего подразделения информацию, которая не подпадает под категорию "стратегия". Входящие в компанию международные и национальные подразделения действуют в значительной степени автономно, но придерживаются общей стратегии.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Таким образом, анализ процессов управления показывает, что интеграция отдельных производств позволяет повысить их жизнеспособность за счет широких возможностей перелива капитала, а также увеличивает эффективность доведения до государственного уровня интересов производителей. Таким образом, становится очевидной эффективность организации производства в крупной нефтяной компании в форме акционерного общества с вертикально интегрированной структурой управления. </w:t>
      </w:r>
    </w:p>
    <w:p w:rsidR="00BE59B6" w:rsidRPr="00EC724C" w:rsidRDefault="002A74AF" w:rsidP="00EC724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F33842">
        <w:rPr>
          <w:rFonts w:ascii="Times New Roman" w:hAnsi="Times New Roman"/>
          <w:b w:val="0"/>
          <w:sz w:val="28"/>
          <w:szCs w:val="26"/>
        </w:rPr>
        <w:br w:type="page"/>
      </w:r>
      <w:bookmarkStart w:id="4" w:name="_Toc120944236"/>
      <w:r w:rsidRPr="00EC724C">
        <w:rPr>
          <w:rFonts w:ascii="Times New Roman" w:hAnsi="Times New Roman"/>
          <w:sz w:val="28"/>
          <w:szCs w:val="26"/>
        </w:rPr>
        <w:t xml:space="preserve">3. </w:t>
      </w:r>
      <w:r w:rsidR="00BE59B6" w:rsidRPr="00EC724C">
        <w:rPr>
          <w:rFonts w:ascii="Times New Roman" w:hAnsi="Times New Roman" w:cs="Times New Roman"/>
          <w:sz w:val="28"/>
          <w:szCs w:val="26"/>
        </w:rPr>
        <w:t>Организация внутренней структуры управления</w:t>
      </w:r>
      <w:bookmarkEnd w:id="4"/>
    </w:p>
    <w:p w:rsidR="002A74AF" w:rsidRPr="00F33842" w:rsidRDefault="002A74AF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Важнейшим фактором развития вертикально интегрированных компаний является рациональная организационная структура. На Рис. 1-4 показаны основные виды организационных структур промышленных (нефтяных) фирм: </w:t>
      </w:r>
      <w:r w:rsidR="00EC724C">
        <w:rPr>
          <w:sz w:val="28"/>
          <w:szCs w:val="26"/>
        </w:rPr>
        <w:t>[</w:t>
      </w:r>
      <w:r w:rsidR="002A1993" w:rsidRPr="00F33842">
        <w:rPr>
          <w:rStyle w:val="a6"/>
          <w:sz w:val="28"/>
          <w:szCs w:val="26"/>
          <w:vertAlign w:val="baseline"/>
        </w:rPr>
        <w:footnoteReference w:id="15"/>
      </w:r>
      <w:r w:rsidR="00EC724C">
        <w:rPr>
          <w:sz w:val="28"/>
          <w:szCs w:val="26"/>
        </w:rPr>
        <w:t>]</w:t>
      </w:r>
    </w:p>
    <w:p w:rsidR="00BE59B6" w:rsidRPr="00F33842" w:rsidRDefault="00BE59B6" w:rsidP="00F338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Иерархическая, </w:t>
      </w:r>
    </w:p>
    <w:p w:rsidR="00BE59B6" w:rsidRPr="00F33842" w:rsidRDefault="00BE59B6" w:rsidP="00F338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Функциональная, </w:t>
      </w:r>
    </w:p>
    <w:p w:rsidR="00BE59B6" w:rsidRPr="00F33842" w:rsidRDefault="00BE59B6" w:rsidP="00F338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Матричная, </w:t>
      </w:r>
    </w:p>
    <w:p w:rsidR="00BE59B6" w:rsidRPr="00F33842" w:rsidRDefault="00BE59B6" w:rsidP="00F338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Дивизиональная.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Практически эти структуры являются вариантами известной модели «рациональной бюрократии», разработанной в начале ХХ в. Причина такого длительного и широкомасштабного использования «бюрократической» структуры состоит в том, что ее свойства вполне соответствуют требованиям промышленных фирм, компаний сферы услуг и всех видов государственных </w:t>
      </w:r>
      <w:r w:rsidR="002A74AF" w:rsidRPr="00F33842">
        <w:rPr>
          <w:sz w:val="28"/>
          <w:szCs w:val="26"/>
        </w:rPr>
        <w:t>учреждений</w:t>
      </w:r>
      <w:r w:rsidRPr="00F33842">
        <w:rPr>
          <w:sz w:val="28"/>
          <w:szCs w:val="26"/>
        </w:rPr>
        <w:t xml:space="preserve">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Можно выделить несколько стадий в развитии систем организации и управления нефтяными компаниями (кстати, в общем случае характерных и для других отраслей промышленности). На первой (начальной) стадии небольшая компания с простой неформальной структурой находится под прямым руководством бизнесмена-основателя. Втор</w:t>
      </w:r>
      <w:r w:rsidR="002A74AF" w:rsidRPr="00F33842">
        <w:rPr>
          <w:bCs/>
          <w:sz w:val="28"/>
          <w:szCs w:val="26"/>
        </w:rPr>
        <w:t xml:space="preserve">ая стадия – крупная корпорация. </w:t>
      </w:r>
    </w:p>
    <w:p w:rsidR="00BE59B6" w:rsidRDefault="00EC724C" w:rsidP="00F33842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Рис.1 </w:t>
      </w:r>
      <w:r w:rsidR="00BE59B6" w:rsidRPr="00F33842">
        <w:rPr>
          <w:sz w:val="28"/>
          <w:szCs w:val="26"/>
        </w:rPr>
        <w:t>Иерархическая организационная структура</w:t>
      </w:r>
    </w:p>
    <w:p w:rsidR="00EC724C" w:rsidRPr="00F33842" w:rsidRDefault="00EC724C" w:rsidP="00F33842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4"/>
        <w:gridCol w:w="382"/>
        <w:gridCol w:w="289"/>
        <w:gridCol w:w="289"/>
        <w:gridCol w:w="382"/>
        <w:gridCol w:w="204"/>
        <w:gridCol w:w="300"/>
        <w:gridCol w:w="382"/>
        <w:gridCol w:w="382"/>
        <w:gridCol w:w="290"/>
        <w:gridCol w:w="290"/>
        <w:gridCol w:w="383"/>
        <w:gridCol w:w="383"/>
        <w:gridCol w:w="198"/>
        <w:gridCol w:w="290"/>
        <w:gridCol w:w="300"/>
        <w:gridCol w:w="204"/>
        <w:gridCol w:w="383"/>
        <w:gridCol w:w="845"/>
        <w:gridCol w:w="198"/>
        <w:gridCol w:w="568"/>
        <w:gridCol w:w="383"/>
        <w:gridCol w:w="290"/>
        <w:gridCol w:w="290"/>
        <w:gridCol w:w="383"/>
        <w:gridCol w:w="760"/>
      </w:tblGrid>
      <w:tr w:rsidR="00BE59B6" w:rsidRPr="00EC724C">
        <w:trPr>
          <w:tblCellSpacing w:w="7" w:type="dxa"/>
        </w:trPr>
        <w:tc>
          <w:tcPr>
            <w:tcW w:w="0" w:type="auto"/>
            <w:gridSpan w:val="26"/>
            <w:tcBorders>
              <w:top w:val="outset" w:sz="6" w:space="0" w:color="000000"/>
              <w:bottom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Высшая цель организации</w:t>
            </w:r>
          </w:p>
        </w:tc>
      </w:tr>
      <w:tr w:rsidR="00BE59B6" w:rsidRPr="00EC724C">
        <w:trPr>
          <w:tblCellSpacing w:w="7" w:type="dxa"/>
        </w:trPr>
        <w:tc>
          <w:tcPr>
            <w:tcW w:w="650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EC724C">
        <w:trPr>
          <w:tblCellSpacing w:w="7" w:type="dxa"/>
        </w:trPr>
        <w:tc>
          <w:tcPr>
            <w:tcW w:w="1450" w:type="pct"/>
            <w:gridSpan w:val="8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Цель 1</w:t>
            </w:r>
          </w:p>
        </w:tc>
        <w:tc>
          <w:tcPr>
            <w:tcW w:w="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Цель 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Цель 3</w:t>
            </w:r>
          </w:p>
        </w:tc>
      </w:tr>
      <w:tr w:rsidR="00BE59B6" w:rsidRPr="00EC724C">
        <w:trPr>
          <w:tblCellSpacing w:w="7" w:type="dxa"/>
        </w:trPr>
        <w:tc>
          <w:tcPr>
            <w:tcW w:w="650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Под</w:t>
            </w:r>
          </w:p>
        </w:tc>
        <w:tc>
          <w:tcPr>
            <w:tcW w:w="4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цели</w:t>
            </w:r>
          </w:p>
        </w:tc>
        <w:tc>
          <w:tcPr>
            <w:tcW w:w="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Под</w:t>
            </w:r>
          </w:p>
        </w:tc>
        <w:tc>
          <w:tcPr>
            <w:tcW w:w="4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цели</w:t>
            </w:r>
          </w:p>
        </w:tc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Под</w:t>
            </w:r>
          </w:p>
        </w:tc>
        <w:tc>
          <w:tcPr>
            <w:tcW w:w="8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цели</w:t>
            </w:r>
          </w:p>
        </w:tc>
      </w:tr>
      <w:tr w:rsidR="00BE59B6" w:rsidRPr="00EC724C">
        <w:trPr>
          <w:tblCellSpacing w:w="7" w:type="dxa"/>
        </w:trPr>
        <w:tc>
          <w:tcPr>
            <w:tcW w:w="3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1.1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1.2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1.3</w:t>
            </w:r>
          </w:p>
        </w:tc>
        <w:tc>
          <w:tcPr>
            <w:tcW w:w="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2.1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2.2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2.3</w:t>
            </w:r>
          </w:p>
        </w:tc>
        <w:tc>
          <w:tcPr>
            <w:tcW w:w="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3.1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3.2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3.3</w:t>
            </w:r>
          </w:p>
        </w:tc>
      </w:tr>
    </w:tbl>
    <w:p w:rsidR="002A74AF" w:rsidRPr="00EC724C" w:rsidRDefault="002A74AF" w:rsidP="00EC724C">
      <w:pPr>
        <w:spacing w:line="360" w:lineRule="auto"/>
        <w:jc w:val="both"/>
        <w:rPr>
          <w:sz w:val="20"/>
          <w:szCs w:val="20"/>
        </w:rPr>
      </w:pPr>
    </w:p>
    <w:p w:rsidR="00BE59B6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Рис. 2 Функциональная организационная структура</w:t>
      </w:r>
    </w:p>
    <w:p w:rsidR="00EC724C" w:rsidRPr="00F33842" w:rsidRDefault="00EC724C" w:rsidP="00F33842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1"/>
        <w:gridCol w:w="1344"/>
        <w:gridCol w:w="672"/>
        <w:gridCol w:w="1439"/>
        <w:gridCol w:w="1516"/>
        <w:gridCol w:w="954"/>
        <w:gridCol w:w="984"/>
        <w:gridCol w:w="1282"/>
      </w:tblGrid>
      <w:tr w:rsidR="00BE59B6" w:rsidRPr="00EC724C" w:rsidTr="00EC724C">
        <w:trPr>
          <w:trHeight w:val="231"/>
          <w:tblCellSpacing w:w="7" w:type="dxa"/>
        </w:trPr>
        <w:tc>
          <w:tcPr>
            <w:tcW w:w="4985" w:type="pct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Высший руководящий орган компании</w:t>
            </w:r>
          </w:p>
        </w:tc>
      </w:tr>
      <w:tr w:rsidR="00BE59B6" w:rsidRPr="00EC724C">
        <w:trPr>
          <w:tblCellSpacing w:w="7" w:type="dxa"/>
        </w:trPr>
        <w:tc>
          <w:tcPr>
            <w:tcW w:w="7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  <w:tc>
          <w:tcPr>
            <w:tcW w:w="1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  <w:tc>
          <w:tcPr>
            <w:tcW w:w="17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</w:tr>
      <w:tr w:rsidR="00BE59B6" w:rsidRPr="00EC724C">
        <w:trPr>
          <w:tblCellSpacing w:w="7" w:type="dxa"/>
        </w:trPr>
        <w:tc>
          <w:tcPr>
            <w:tcW w:w="143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  <w:tc>
          <w:tcPr>
            <w:tcW w:w="15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 </w:t>
            </w:r>
          </w:p>
        </w:tc>
        <w:tc>
          <w:tcPr>
            <w:tcW w:w="11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Маркетинг</w:t>
            </w:r>
          </w:p>
        </w:tc>
      </w:tr>
    </w:tbl>
    <w:p w:rsidR="002A74AF" w:rsidRPr="00EC724C" w:rsidRDefault="002A74AF" w:rsidP="00EC724C">
      <w:pPr>
        <w:spacing w:line="360" w:lineRule="auto"/>
        <w:jc w:val="both"/>
        <w:rPr>
          <w:sz w:val="20"/>
          <w:szCs w:val="20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Рис.3 Матричная организационная структура</w:t>
      </w:r>
    </w:p>
    <w:p w:rsidR="002A74AF" w:rsidRPr="00F33842" w:rsidRDefault="002A74AF" w:rsidP="00F33842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1"/>
        <w:gridCol w:w="680"/>
        <w:gridCol w:w="1343"/>
        <w:gridCol w:w="1438"/>
        <w:gridCol w:w="489"/>
        <w:gridCol w:w="1628"/>
        <w:gridCol w:w="1343"/>
        <w:gridCol w:w="1350"/>
      </w:tblGrid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Высший руководящий орган компании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Исследования</w:t>
            </w: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 разработки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Маркетинг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Управление нововведениями в рамках продуктовой группы А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Инвестиционный проект А1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Инвестиционный проект А2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Управление нововведениями в рамках продуктовой группы Б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Инвестиционный проект Б1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Инвестиционный проект Б2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Управление нововведениями в рамках продуктовой группы В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A74AF" w:rsidRPr="00F33842" w:rsidRDefault="002A74AF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BE59B6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Рис. 4 Дивизиональная организационная структура</w:t>
      </w:r>
    </w:p>
    <w:p w:rsidR="00EC724C" w:rsidRPr="00F33842" w:rsidRDefault="00EC724C" w:rsidP="00F33842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4"/>
        <w:gridCol w:w="654"/>
        <w:gridCol w:w="330"/>
        <w:gridCol w:w="42"/>
        <w:gridCol w:w="213"/>
        <w:gridCol w:w="117"/>
        <w:gridCol w:w="841"/>
        <w:gridCol w:w="42"/>
        <w:gridCol w:w="42"/>
        <w:gridCol w:w="1129"/>
        <w:gridCol w:w="213"/>
        <w:gridCol w:w="1206"/>
        <w:gridCol w:w="841"/>
        <w:gridCol w:w="1328"/>
        <w:gridCol w:w="1320"/>
      </w:tblGrid>
      <w:tr w:rsidR="00BE59B6" w:rsidRPr="00F33842">
        <w:trPr>
          <w:tblCellSpacing w:w="7" w:type="dxa"/>
          <w:jc w:val="center"/>
        </w:trPr>
        <w:tc>
          <w:tcPr>
            <w:tcW w:w="0" w:type="auto"/>
            <w:gridSpan w:val="15"/>
            <w:tcBorders>
              <w:top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Высший руководящий орган компании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F33842" w:rsidRDefault="00BE59B6" w:rsidP="00F33842">
            <w:pPr>
              <w:spacing w:line="360" w:lineRule="auto"/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8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360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Группа А</w:t>
            </w: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Группа Б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Группа В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F33842" w:rsidRDefault="00BE59B6" w:rsidP="00F33842">
            <w:pPr>
              <w:spacing w:line="360" w:lineRule="auto"/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F33842" w:rsidRDefault="00BE59B6" w:rsidP="00F33842">
            <w:pPr>
              <w:spacing w:line="360" w:lineRule="auto"/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14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30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Отделение 1</w:t>
            </w:r>
          </w:p>
        </w:tc>
        <w:tc>
          <w:tcPr>
            <w:tcW w:w="11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Отделение 2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1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Исследования</w:t>
            </w: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 разработки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Исследования</w:t>
            </w:r>
          </w:p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и разработки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1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6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Производство</w:t>
            </w:r>
          </w:p>
        </w:tc>
      </w:tr>
      <w:tr w:rsidR="00BE59B6" w:rsidRPr="00F33842">
        <w:trPr>
          <w:tblCellSpacing w:w="7" w:type="dxa"/>
          <w:jc w:val="center"/>
        </w:trPr>
        <w:tc>
          <w:tcPr>
            <w:tcW w:w="1200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Маркетинг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59B6" w:rsidRPr="00EC724C" w:rsidRDefault="00BE59B6" w:rsidP="00EC72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24C">
              <w:rPr>
                <w:sz w:val="20"/>
                <w:szCs w:val="20"/>
              </w:rPr>
              <w:t>Маркетинг</w:t>
            </w:r>
          </w:p>
        </w:tc>
      </w:tr>
    </w:tbl>
    <w:p w:rsidR="002A74AF" w:rsidRPr="00F33842" w:rsidRDefault="002A74AF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Следующая стратегии роста в своей отрасли, переходит на функциональную организационную структуру управления. До конца 50-х гг. большинство крупных американских нефтяных компаний развивались в рамках функциональной структуры управления. Третья стадия – крупная диверсифицированная корпорация, ведущая разведку и добычу углеводородного сырья в различных регионах мира и выпускающая широкую номенклатуру нефтепродуктов для различных отраслевых и географических рынков, как правило, работает в рамках дивизиональной структуры управления.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Анализ форм внутренней организационной структуры управления крупными нефтяными компаниями и современных тенденций управления показывает, что в последние два десятилетия произошел переход от линейно-функциональных типов структур управления к дивизиональным. Основными причинами массового перехода крупных компаний к дивизиональной структуре управления является растущая диверсификация бизнеса и трудности в управлении из одного центра технологически (функционально) различными или географически удаленными предприятиями.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По мере промышленного развития в 60-х годах появилась потребность в новых более гибких типах организационных структур, которые по сравнению с «бюрократическими» моделями лучше приспособлены к быстрой смене внешних условий и широкому внедрению прогрессивных технологий. Такие структуры называют адаптивными или органическими, т.к. они дают возможность быстрой модификации в соответствии с внешними условиями. Основные типы органических структур – проектные, матричные и конгломеративные.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6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Проектная организация, получившая распространение с начала 70-х гг., – это временная структура, создаваемая для решения конкретной задачи. Такая организация собирает в одну команду наиболее квалифицированных сотрудников компании для реализации сложного проекта в установленные сроки с заданным уровнем качества.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7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 матричной организации члены рабочей группы подчиняются как руководителю проекта, так и руководителям тех функциональных отделов, в которых они работают постоянно. Руководитель проекта наделен так называемыми проектными полномочиями, которые могут покрывать всю линейную власть над всеми частями проекта или же ограничиваются штабными и диспетчерскими функциями. Главный недостаток матричной структуры – ее сложность из-за наложения вертикальных и горизонтальных полномочий, что плохо согласуется с принципом единоначалия.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Организация конгломератного типа не является жесткой и упорядоченной системой, скорее вся организация приобретает форму и структуру, которые наилучшим образом соответствуют требованиям ситуации или конкретного проекта. Так, в одном отделении компании может применяться дивизиональная структура, в другом отделении – функциональная, а в третьем отделении – проектная или матричная организация. Руководство высшего звена компании отвечает за долгосрочное планирование, разработку политики, за координацию и контроль действий в рамках всей компании. Эту центральную группу окружает ряд фирм, которые, как правило, являются либо независимыми экономическими единицами, либо фактически самостоятельными фирмами. Эти фирмы почти полностью автономны в оперативных решениях и подчинены головной компании в основном в вопросах финансов. Планирование подразумевает, что они достигнут намеченных показателей прибыльности и удержат затраты на уровне, установленном для всего конгломерата высшим руководством. Выполнение этих обязанностей целиком возлагается на руководство соответствующей экономической единицы. Одной из важных причин, по которой компании, входящие в состав конгломерата, сохраняют свои собственные организационные структуры, является </w:t>
      </w:r>
      <w:r w:rsidR="002A74AF" w:rsidRPr="00F33842">
        <w:rPr>
          <w:bCs/>
          <w:sz w:val="28"/>
          <w:szCs w:val="26"/>
        </w:rPr>
        <w:t>то,</w:t>
      </w:r>
      <w:r w:rsidRPr="00F33842">
        <w:rPr>
          <w:bCs/>
          <w:sz w:val="28"/>
          <w:szCs w:val="26"/>
        </w:rPr>
        <w:t xml:space="preserve"> что они имеют возможность быстро свертывать и развертывать деловую активность в различных областях с минимальным нарушением сложившихся связей.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8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Разумеется, не существует единой, оптимальной для всех случаев структуры организации, и на практике нефтедобытчикам или транспортникам, или операторам заправочных станций приходится выбирать организационную структуру адекватную стратегическим планам компании и обеспечивающую эффективное взаимодействие с окружающей средой и достижение поставленных целей. Поскольку в секторах нефтяного бизнеса на протяжении всего технологического цикла (от разведки до сбыта нефтепродуктов) существуют серьезные различия, компании, работающие по всему циклу, либо же выбравшие отдельные его сектора (например, связки: разведка запасов - добыча нефти, транспорт - оптовая торговля нефтью, нефтегазопереработка - нефтехимия, оптовая - розничная торговля нефтепродуктами), применяют сложную организационную структуру, комбинирующую необходимые качества моделей различных типов.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Важным фактором при выборе той или иной организационной структуры является ее соответствие стратегии деятельности и развития компании. Анализ деятельности американских нефтяных корпораций показывает, что эволюции организационных структур и стратегий переплетаются в тесной зависимости. При этом стратегия компании является основным фактором, определяющим ее структуру, и поэтому естественно, что многоцелевая стратегия усложняет организационную структуру компании.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Как правило, стратегия американских нефтяных компаний направлена на расширение масштабов операций, рост продаж и прибыли. Однако, в реальных условиях следование такой стратегии может быть ограничено многочисленными факторами, основными из которых являются: насыщенность рынка, конкуренция с производителями аналогичных нефтепродуктов, возможность попадания под действие антимонопольного законодательства при попытках вытеснения с рынка конкурентов, нанесение ущерба окружающей среде и др.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Ослабить действие подобных ограничивающих факторов можно с помощью следующих статегических подходов: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19"/>
      </w:r>
      <w:r w:rsidR="00EC724C">
        <w:rPr>
          <w:bCs/>
          <w:sz w:val="28"/>
          <w:szCs w:val="26"/>
        </w:rPr>
        <w:t>]</w:t>
      </w:r>
    </w:p>
    <w:p w:rsidR="00BE59B6" w:rsidRPr="00F33842" w:rsidRDefault="00BE59B6" w:rsidP="00F33842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проникновение на новые географические рынки; </w:t>
      </w:r>
    </w:p>
    <w:p w:rsidR="00BE59B6" w:rsidRPr="00F33842" w:rsidRDefault="00BE59B6" w:rsidP="00F33842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разработка и предложение на существующий или новый рынки новых типов и сортов нефтепродуктов; </w:t>
      </w:r>
    </w:p>
    <w:p w:rsidR="00BE59B6" w:rsidRPr="00F33842" w:rsidRDefault="00BE59B6" w:rsidP="00F33842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приобретение у другой компании технологии производства перспективной продукции или слияние с фирмой-изготовителем в целях расширения номенклатуры выпускаемой продукции (этот путь является более быстрым по сравнению с разработкой новой продукции собственными силами, однако требует привлечения значительных финансовых ресурсов).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Как показывает практика, на выбор стратегии оказывают влияние не только изменения внешней экономической среды, но и размеры компании, объемы продаж и прибыли, что в свою очередь влияет и на организационную структуру, совершенствование которой повышает эффективность выполнения стратегических задач.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При создании новой компании ее задачи, как правило, достаточно скромны: добыча углеводородного сырья и его реализация на местном или региональном рынке (могут быть вариации, связанные с нефтепереработкой, сервисными операциями и т.д.). По мере расширения масштабов добычи углеводородного сырья, его переработки и сбыта, одному руководителю становится не по силам выполнение управляющих функций, и тогда у него появляются заместители. Как правило, первоначально эти заместители не имеют строго очерченной функциональной специализации.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На втором этапе, при завоевании фирмой национального рынка, усложняются функции и работа ее менеджеров: контроль и организация различных направлений деятельности (нефтедобыча, эксплуатация оборудования, маркетинг, научно-технические исследования, финансы, кадровая работа и т.д.) требуют квалифицированного подхода и постоянного внимания. Заместители директора компании принимают на себя руководство функциональными подразделениями, а основной задачей директора становится координация их деятельности. Как правило, в американских нефтяных компаниях «старшего» директора называют президентом, его заместителей вице-президентами с указанием функции возглавляемого подразделения. На пути дальнейшего роста корпорации, перед ее руководством неизбежно встает необходимость выбрать один из двух возможных путей: </w:t>
      </w:r>
    </w:p>
    <w:p w:rsidR="00BE59B6" w:rsidRPr="00F33842" w:rsidRDefault="00BE59B6" w:rsidP="00F3384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выход со своей обычной продукцией на мировой рынок, либо </w:t>
      </w:r>
    </w:p>
    <w:p w:rsidR="00BE59B6" w:rsidRPr="00F33842" w:rsidRDefault="00BE59B6" w:rsidP="00F3384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расширение номенклатуры выпускаемой продукции в рамках национального рынка.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Одновременное следование этим двум стратегиям является тяжелой нагрузкой для компании.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Третий этап развития компании связан с ее выходом на международный рынок. На этом этапе президент компании организует международное отделение, во главе которого становится вице-президент, равный по своему положению в корпоративном «Табеле о рангах» вице-президентам функциональных подразделений. С развитием международного отделения, его вице-президенту необходимы помощники, владеющие информацией по специфике операций компании в различных регионах мира. </w:t>
      </w:r>
      <w:r w:rsidR="002A74AF" w:rsidRPr="00F33842">
        <w:rPr>
          <w:bCs/>
          <w:sz w:val="28"/>
          <w:szCs w:val="26"/>
        </w:rPr>
        <w:t>Т</w:t>
      </w:r>
      <w:r w:rsidRPr="00F33842">
        <w:rPr>
          <w:bCs/>
          <w:sz w:val="28"/>
          <w:szCs w:val="26"/>
        </w:rPr>
        <w:t xml:space="preserve">аким </w:t>
      </w:r>
      <w:r w:rsidR="002A74AF" w:rsidRPr="00F33842">
        <w:rPr>
          <w:bCs/>
          <w:sz w:val="28"/>
          <w:szCs w:val="26"/>
        </w:rPr>
        <w:t>образом,</w:t>
      </w:r>
      <w:r w:rsidRPr="00F33842">
        <w:rPr>
          <w:bCs/>
          <w:sz w:val="28"/>
          <w:szCs w:val="26"/>
        </w:rPr>
        <w:t xml:space="preserve"> в компании появляются подразделения, созданные по географическому принципу и отвечающие за отдельные регионы (Северное море, Юго-Восточная Азия и т.д.), а позднее и за отдельные страны. По мере расширения международных операций, международное отделение приобретает все больший вес и значение для компании, а организационная структура с наличием международного отделения становится неэффективной, т.к. координируя работу вице-президентов, сам президент не может уделять этому отделению достаточно внимания. Тогда происходит реорганизация верхних уровней управления компании по географическому принципу, причем решение финансовых вопросов остается централизованным. В ведение заместителей региональных вице-президентов по финансам передается лишь определение типа источника финансирования операций.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Четвертый этап развития компании связан с диверсификацией ее деятельности на национальном рынке. На данном этапе, в дополнение к существующим функциональным подразделениям создаются подразделения, отвечающие за выпуск новой продукции. Возглавляющие эти отделения вице-президенты находятся на том же управленческом уровне, что и вице-президенты функциональных подразделений. По мере успешного роста продуктовых отделений, в компании снова назревает необходимость реорганизации. При этом финансовые вопросы, как правило, решаются централизованно. </w:t>
      </w:r>
      <w:r w:rsidR="00EC724C">
        <w:rPr>
          <w:bCs/>
          <w:sz w:val="28"/>
          <w:szCs w:val="26"/>
        </w:rPr>
        <w:t>[</w:t>
      </w:r>
      <w:r w:rsidR="002A1993" w:rsidRPr="00F33842">
        <w:rPr>
          <w:rStyle w:val="a6"/>
          <w:bCs/>
          <w:sz w:val="28"/>
          <w:szCs w:val="26"/>
          <w:vertAlign w:val="baseline"/>
        </w:rPr>
        <w:footnoteReference w:id="20"/>
      </w:r>
      <w:r w:rsidR="00EC724C">
        <w:rPr>
          <w:bCs/>
          <w:sz w:val="28"/>
          <w:szCs w:val="26"/>
        </w:rPr>
        <w:t>]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Пятый этап развития компании связан с реализацией стратегической задачи выхода на международный рынок с несколькими видами продукции (или сервисных операций) и требует более сложной организационной структуры. В конце 80-х гг. большинство американских нефтяных компаний были организованы по продуктовому принципу, причем в каждом продуктовом отделении было подразделение, отвечающее за добычу (переработку) и реализацию нефти (нефтепродуктов) на международном рынке. В конце 80-х – начале 90-х гг. широко проявилась тенденция создания отделений по географическому принципу. Сторонники такой системы организации отмечают, что комплексный подход к производству и реализации нескольких видов продукции в одном регионе более экономичен. Однако, не существует жестких правил выбора конкретного типа организационной структуры компании, решающей сложные стратегические задачи на международном рынке. Поэтому наиболее целесообразным представляется комбинация продуктового и географического принципов в зависимости от стратегических интересов и реальных возможностей каждой конкретной компании. 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>В этой связи заслуживает внимания опыт корпораций, которые создают одновременно две управленческие иерархии, при этом наделяя соответствующих руководителей равными полномочиями. В такой ситуации региональный руководитель, например, решает конкретные проблемы, связанные с продукцией «А», только совместно с менеджером, отвечающим за продукцию «А» в масштабах всей фирмы. При этом менеджеры одного уровня, как правило, образуют координационные советы, на которых регулярно обсуждаются общие для них проблемы в рамках своей компетенции.</w:t>
      </w:r>
    </w:p>
    <w:p w:rsidR="002A74AF" w:rsidRPr="00F33842" w:rsidRDefault="00BE59B6" w:rsidP="00F33842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F33842">
        <w:rPr>
          <w:bCs/>
          <w:sz w:val="28"/>
          <w:szCs w:val="26"/>
        </w:rPr>
        <w:t xml:space="preserve">На шестом этапе развития компании после выхода на международный рынок и при наличии успеха обычно имеет место постепенный рост количества заграничных филиалов. Под влиянием этого фактора происходят изменения в организационной структуре компании, проявляющиеся в реализации различных механизмов интеграции новых заграничных подразделений в систему общефирменного управления. </w:t>
      </w:r>
    </w:p>
    <w:p w:rsidR="00BE59B6" w:rsidRPr="00EC724C" w:rsidRDefault="002A74AF" w:rsidP="00EC724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F33842">
        <w:rPr>
          <w:rFonts w:ascii="Times New Roman" w:hAnsi="Times New Roman"/>
          <w:b w:val="0"/>
          <w:bCs w:val="0"/>
          <w:sz w:val="28"/>
          <w:szCs w:val="26"/>
        </w:rPr>
        <w:br w:type="page"/>
      </w:r>
      <w:bookmarkStart w:id="5" w:name="_Toc120944237"/>
      <w:r w:rsidRPr="00EC724C">
        <w:rPr>
          <w:rFonts w:ascii="Times New Roman" w:hAnsi="Times New Roman"/>
          <w:bCs w:val="0"/>
          <w:sz w:val="28"/>
          <w:szCs w:val="26"/>
        </w:rPr>
        <w:t xml:space="preserve">4. </w:t>
      </w:r>
      <w:r w:rsidR="00BE59B6" w:rsidRPr="00EC724C">
        <w:rPr>
          <w:rFonts w:ascii="Times New Roman" w:hAnsi="Times New Roman" w:cs="Times New Roman"/>
          <w:sz w:val="28"/>
          <w:szCs w:val="26"/>
        </w:rPr>
        <w:t>Стратегия крупных нефтяных компаний США в период кризиса</w:t>
      </w:r>
      <w:bookmarkEnd w:id="5"/>
    </w:p>
    <w:p w:rsidR="002A74AF" w:rsidRPr="00EC724C" w:rsidRDefault="002A74AF" w:rsidP="00EC724C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Будет справедливым сказать, что в 90-х годах крупные нефтяные компании придерживались так называемой универсальной стратегии, которая заключается в следующем: </w:t>
      </w:r>
      <w:r w:rsidR="00EC724C">
        <w:rPr>
          <w:sz w:val="28"/>
          <w:szCs w:val="26"/>
        </w:rPr>
        <w:t>[</w:t>
      </w:r>
      <w:r w:rsidR="002A1993" w:rsidRPr="00F33842">
        <w:rPr>
          <w:rStyle w:val="a6"/>
          <w:sz w:val="28"/>
          <w:szCs w:val="26"/>
          <w:vertAlign w:val="baseline"/>
        </w:rPr>
        <w:footnoteReference w:id="21"/>
      </w:r>
      <w:r w:rsidR="00EC724C">
        <w:rPr>
          <w:sz w:val="28"/>
          <w:szCs w:val="26"/>
        </w:rPr>
        <w:t>]</w:t>
      </w:r>
    </w:p>
    <w:p w:rsidR="00BE59B6" w:rsidRPr="00F33842" w:rsidRDefault="00BE59B6" w:rsidP="00F33842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быть глобальными, географически диверсифицированными, функционально организованными, базирующими свою деятельность на высокотехнологичных производствах и финансовой устойчивости; </w:t>
      </w:r>
    </w:p>
    <w:p w:rsidR="00BE59B6" w:rsidRPr="00F33842" w:rsidRDefault="00BE59B6" w:rsidP="00F33842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агрессивно управлять финансовым портфелем, реструктурировать активы; </w:t>
      </w:r>
    </w:p>
    <w:p w:rsidR="00BE59B6" w:rsidRPr="00F33842" w:rsidRDefault="00BE59B6" w:rsidP="00F33842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расширять основные производственные циклы с высокой отдачей капитала, обеспечивать в этих производствах сокращение затрат; </w:t>
      </w:r>
    </w:p>
    <w:p w:rsidR="00BE59B6" w:rsidRPr="00F33842" w:rsidRDefault="00BE59B6" w:rsidP="00F33842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совершенствовать систему управления путем изучения и применения лучшего опыта и достижений практической деятельности, реинж</w:t>
      </w:r>
      <w:r w:rsidR="002A74AF" w:rsidRPr="00F33842">
        <w:rPr>
          <w:sz w:val="28"/>
          <w:szCs w:val="26"/>
        </w:rPr>
        <w:t>и</w:t>
      </w:r>
      <w:r w:rsidRPr="00F33842">
        <w:rPr>
          <w:sz w:val="28"/>
          <w:szCs w:val="26"/>
        </w:rPr>
        <w:t xml:space="preserve">ниринга и реструктуризации компаний. </w:t>
      </w:r>
    </w:p>
    <w:p w:rsidR="00BE59B6" w:rsidRPr="00F33842" w:rsidRDefault="00BE59B6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сложных условиях действующих в </w:t>
      </w:r>
      <w:r w:rsidR="002A74AF" w:rsidRPr="00F33842">
        <w:rPr>
          <w:sz w:val="28"/>
          <w:szCs w:val="26"/>
        </w:rPr>
        <w:t>мире,</w:t>
      </w:r>
      <w:r w:rsidRPr="00F33842">
        <w:rPr>
          <w:sz w:val="28"/>
          <w:szCs w:val="26"/>
        </w:rPr>
        <w:t xml:space="preserve"> как общего экономического кризиса, так и более узкого кризиса нефтяных цен, все нефтяные компании США адаптируют свою стратегию и организационные структуры, минимизируя потери </w:t>
      </w:r>
      <w:r w:rsidR="002A74AF" w:rsidRPr="00F33842">
        <w:rPr>
          <w:sz w:val="28"/>
          <w:szCs w:val="26"/>
        </w:rPr>
        <w:t>и,</w:t>
      </w:r>
      <w:r w:rsidRPr="00F33842">
        <w:rPr>
          <w:sz w:val="28"/>
          <w:szCs w:val="26"/>
        </w:rPr>
        <w:t xml:space="preserve"> стремясь сохранить свои позиции на международном рынке. Учитывая вышесказанное, можно ожидать, что в таких специфических условиях крупные нефтяные компании США: </w:t>
      </w:r>
    </w:p>
    <w:p w:rsidR="00E10D8B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Примут меры для регулирования объёмов добычи нефти, позволяющие уменьшить «переполнение» рынка. При этом</w:t>
      </w:r>
      <w:r w:rsidR="00E10D8B" w:rsidRPr="00F33842">
        <w:rPr>
          <w:sz w:val="28"/>
          <w:szCs w:val="26"/>
        </w:rPr>
        <w:t xml:space="preserve"> деятельность компаний будет по </w:t>
      </w:r>
      <w:r w:rsidRPr="00F33842">
        <w:rPr>
          <w:sz w:val="28"/>
          <w:szCs w:val="26"/>
        </w:rPr>
        <w:t xml:space="preserve">возможности переноситься в те регионы, где издержки минимальны. </w:t>
      </w:r>
    </w:p>
    <w:p w:rsidR="00E10D8B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Усилят внимание к добыче и переработке попутного нефтяного и природного газа, производству и сбыту сжиженного природного газа (LPG), строительству трубопроводов, переработке природного газа в жидкость. В связи с падением цен на нефть и газ, компании увеличивают затраты в производство нефтепродуктов повышенного качества и с улучшенными экологическими характеристиками, а также дорогостоящих топлив и масел специального назначения. </w:t>
      </w:r>
    </w:p>
    <w:p w:rsidR="00E10D8B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Укрепят свои нефтегазовые отделения, поскольку в периоды падения цен на нефть и газ напротив цены на нефтехимические и химические продукты, производимые из нефтяного и газового сырья, не снижаются или снижаются существенно меньше, чем цены на «сырые» нефть и газ. </w:t>
      </w:r>
    </w:p>
    <w:p w:rsidR="00E10D8B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Будут стремиться максимально использовать эффект от комбинирования нефте- и газопереработки, нефтехимии, поскольку важным направлением, где можно ожидать синергетического эффекта, является производство электроэнергии на установках комбинированного энергетического цикла, сооружаемых нефтегазовыми компаниями. </w:t>
      </w:r>
    </w:p>
    <w:p w:rsidR="00E10D8B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области сбыта нефтепродуктов будут стремиться сохранить лидерство на завоёванных рынках и благодаря конкурентным преимуществам своей продукции укрепиться на новых рынках. </w:t>
      </w:r>
    </w:p>
    <w:p w:rsidR="00BE59B6" w:rsidRPr="00F33842" w:rsidRDefault="00BE59B6" w:rsidP="00F33842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>Придавая важнейшее значение эффективности организации и управления бизнесом, будут искат</w:t>
      </w:r>
      <w:r w:rsidR="00E10D8B" w:rsidRPr="00F33842">
        <w:rPr>
          <w:sz w:val="28"/>
          <w:szCs w:val="26"/>
        </w:rPr>
        <w:t>ь возможности для перспективной реструктуризации</w:t>
      </w:r>
      <w:r w:rsidRPr="00F33842">
        <w:rPr>
          <w:sz w:val="28"/>
          <w:szCs w:val="26"/>
        </w:rPr>
        <w:t xml:space="preserve">, слияний, поглощений, приобретений, образования альянсов и стратегических союзов. В области диверсификации компании будут избавляться от непрофильных, а также малорентабельных направлений деятельности, при </w:t>
      </w:r>
      <w:r w:rsidR="00E10D8B" w:rsidRPr="00F33842">
        <w:rPr>
          <w:sz w:val="28"/>
          <w:szCs w:val="26"/>
        </w:rPr>
        <w:t>этом,</w:t>
      </w:r>
      <w:r w:rsidRPr="00F33842">
        <w:rPr>
          <w:sz w:val="28"/>
          <w:szCs w:val="26"/>
        </w:rPr>
        <w:t xml:space="preserve"> стараясь сохранить и усилить ядро компании и те направления бизнеса, где они имеют преимущества над конкурентами, а также развивая новые направления (электроэнергетика, газ, химия). </w:t>
      </w:r>
    </w:p>
    <w:p w:rsidR="00BA0A72" w:rsidRPr="00EC724C" w:rsidRDefault="00E10D8B" w:rsidP="00EC724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F33842">
        <w:rPr>
          <w:rFonts w:ascii="Times New Roman" w:hAnsi="Times New Roman"/>
          <w:b w:val="0"/>
          <w:sz w:val="28"/>
          <w:szCs w:val="26"/>
        </w:rPr>
        <w:br w:type="page"/>
      </w:r>
      <w:bookmarkStart w:id="6" w:name="_Toc120944238"/>
      <w:r w:rsidRPr="00EC724C">
        <w:rPr>
          <w:rFonts w:ascii="Times New Roman" w:hAnsi="Times New Roman"/>
          <w:sz w:val="28"/>
          <w:szCs w:val="26"/>
        </w:rPr>
        <w:t>Заключение</w:t>
      </w:r>
      <w:bookmarkEnd w:id="6"/>
    </w:p>
    <w:p w:rsidR="00E10D8B" w:rsidRPr="00F33842" w:rsidRDefault="00E10D8B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В современных экономических условиях основной задачей стратегического управления является разработка стратегического плана действий и поиск наиболее выгодных и рентабельных вариантов его реализации.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Разработка стратегического плана, окончательный вариант которого должен обосновываться обширными исследованиями и фактическими данными, является сложнейшей проблемой. Чтобы эффективно функционировать в условиях жесткой конкуренции, ВИНК должна постоянно заниматься сбором и анализом огромного количества информации об отрасли, рынке, конкурентах и других факторах.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Стратегические планы должны быть разработаны так, чтобы не только оставаться целостными в течение длительных периодов времени, но и быть достаточно гибкими, чтобы при необходимости можно было осуществить их модификацию и переориентацию. Общий стратегический план следует рассматривать как программу, в рамках которой осуществляется деятельность ВИНК в течение заранее определенного периода времени. При этом необходимо отдавать себе отчет в том, что конфликтная и постоянно меняющаяся деловая и социальная обстановка делает постоянные корректировки стратегического плана неизбежными.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Современный темп увеличения знаний является настолько высоким, что стратегическое планирование представляется единственным способом формального прогнозирования будущих проблем и возможностей, и, следовательно, дает основу для принятия соответствующих управленческих решений. Кроме того, формальное планирование способствует снижению рисков при принятии управленческих решений, в том числе из-за рассмотрения ошибочной или недостоверной информации о возможностях корпорации или о внешней ситуации. Планирование, поскольку оно служит для формулирования целей, помогает участникам всех бизнес-процессов создать единство общей цели внутри нефтяной компании.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Широко распространенной методологической ошибкой, возникающей при стратегическом управлении развитием ВИНК, является то, что рассматриваются отдельные аспекты развития и обособленно решаются частные задачи (развитие производственной технологической базы, формирование инвестиционной программы, интенсификация производства), что приводит к несогласованности, а часто и к нереализуемости принимаемых управленческих решений. Учитывая это, с целью повышения эффективности и скоординированности управленческих решений, развитие ВИНК должно рассматриваться как единый кросс-функциональный бизнес-процесс. Указанный процесс охватывает анализ рыночного окружения системы, формирование, согласование и оптимизацию вариантов "технологического" развития и финансово-экономических схем их реализации. При этом учитываются результаты операционной и финансовой деятельности компании, действующей на основе единой методологии и современных информационных технологий управления.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Как правило, стратегия нефтяных компаний направлена на расширение масштабов операций, рост продаж и прибыли. Однако в реальных условиях следование такой стратегии может быть ограничено многочисленными факторами, основными из которых являются: насыщенность рынка, конкуренция с производителями аналогичных нефтепродуктов, возможность попадания под действие антимонопольного законодательства при попытках вытеснения с рынка конкурентов, нанесение ущерба окружающей среде и др. </w:t>
      </w:r>
    </w:p>
    <w:p w:rsidR="001D4D70" w:rsidRPr="00F33842" w:rsidRDefault="001D4D70" w:rsidP="00F33842">
      <w:pPr>
        <w:spacing w:line="360" w:lineRule="auto"/>
        <w:ind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Ослабить действие подобных ограничивающих факторов можно с помощью следующих стратегических подходов: </w:t>
      </w:r>
    </w:p>
    <w:p w:rsidR="001D4D70" w:rsidRPr="00F33842" w:rsidRDefault="001D4D70" w:rsidP="00F33842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Проникновение на новые географические рынки. </w:t>
      </w:r>
    </w:p>
    <w:p w:rsidR="001D4D70" w:rsidRPr="00F33842" w:rsidRDefault="001D4D70" w:rsidP="00F33842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Разработка и предложение на существующий или новый рынок новых типов и сортов нефтепродуктов. </w:t>
      </w:r>
    </w:p>
    <w:p w:rsidR="001D4D70" w:rsidRPr="00EC724C" w:rsidRDefault="001D4D70" w:rsidP="00F33842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EC724C">
        <w:rPr>
          <w:sz w:val="28"/>
          <w:szCs w:val="26"/>
        </w:rPr>
        <w:t xml:space="preserve">Приобретение у другой компании технологии производства перспективной продукции или слияние с фирмой-изготовителем в целях расширения номенклатуры выпускаемой продукции (этот путь является более быстрым по сравнению с разработкой новой продукции собственными силами, однако требует привлечения значительных финансовых ресурсов). </w:t>
      </w:r>
    </w:p>
    <w:p w:rsidR="00E10D8B" w:rsidRPr="00EC724C" w:rsidRDefault="00E10D8B" w:rsidP="00EC724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F33842">
        <w:rPr>
          <w:rFonts w:ascii="Times New Roman" w:hAnsi="Times New Roman"/>
          <w:b w:val="0"/>
          <w:sz w:val="28"/>
          <w:szCs w:val="26"/>
        </w:rPr>
        <w:br w:type="page"/>
      </w:r>
      <w:bookmarkStart w:id="7" w:name="_Toc120944239"/>
      <w:r w:rsidRPr="00EC724C">
        <w:rPr>
          <w:rFonts w:ascii="Times New Roman" w:hAnsi="Times New Roman"/>
          <w:sz w:val="28"/>
          <w:szCs w:val="26"/>
        </w:rPr>
        <w:t>Список литературы</w:t>
      </w:r>
      <w:bookmarkEnd w:id="7"/>
    </w:p>
    <w:p w:rsidR="00E10D8B" w:rsidRPr="00F33842" w:rsidRDefault="00E10D8B" w:rsidP="00F33842">
      <w:pPr>
        <w:spacing w:line="360" w:lineRule="auto"/>
        <w:ind w:firstLine="709"/>
        <w:jc w:val="both"/>
        <w:rPr>
          <w:sz w:val="28"/>
          <w:szCs w:val="26"/>
        </w:rPr>
      </w:pP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Бандурин А. В. Деятельность корпораций. - М.: 1999 г. 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Басалай С. И. Механизмы управления финансовыми ресурсами корпорации. - М.: 2001 г. 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bCs/>
          <w:sz w:val="28"/>
          <w:szCs w:val="26"/>
        </w:rPr>
        <w:t xml:space="preserve">Буш Дж., Джонстон Д. </w:t>
      </w:r>
      <w:r w:rsidRPr="00F33842">
        <w:rPr>
          <w:sz w:val="28"/>
          <w:szCs w:val="26"/>
        </w:rPr>
        <w:t xml:space="preserve">Управление финансами в международной нефтяной компании: </w:t>
      </w:r>
      <w:r w:rsidRPr="00002849">
        <w:rPr>
          <w:sz w:val="28"/>
          <w:szCs w:val="26"/>
        </w:rPr>
        <w:t>Коллективная монография «Политика США в меняющемся мире» под редакцией к.и.н. Подлесного П.Т.</w:t>
      </w:r>
      <w:r w:rsidRPr="00F33842">
        <w:rPr>
          <w:sz w:val="28"/>
          <w:szCs w:val="26"/>
        </w:rPr>
        <w:t xml:space="preserve"> Москва, «Наука», 2004 г., 333 стр.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Перевод с английского. </w:t>
      </w:r>
      <w:r w:rsidRPr="00002849">
        <w:rPr>
          <w:bCs/>
          <w:sz w:val="28"/>
          <w:szCs w:val="26"/>
        </w:rPr>
        <w:t>"Олимп-Бизнес"</w:t>
      </w:r>
      <w:r w:rsidRPr="00F33842">
        <w:rPr>
          <w:sz w:val="28"/>
          <w:szCs w:val="26"/>
        </w:rPr>
        <w:t xml:space="preserve">, 2003.  432с. 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02849">
        <w:rPr>
          <w:sz w:val="28"/>
          <w:szCs w:val="26"/>
        </w:rPr>
        <w:t>Учебник «Экономика США» под ред. Супяна В.Б.</w:t>
      </w:r>
      <w:r w:rsidRPr="00F33842">
        <w:rPr>
          <w:sz w:val="28"/>
          <w:szCs w:val="26"/>
        </w:rPr>
        <w:t xml:space="preserve"> С.-Петербург, «Питер», 2003 г., 650 с.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Хелферт Э. Техника финансового анализа. - М.: Аудит, ЮНИТИ, 1996. </w:t>
      </w:r>
    </w:p>
    <w:p w:rsidR="00FB13D1" w:rsidRPr="00F33842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F33842">
        <w:rPr>
          <w:sz w:val="28"/>
          <w:szCs w:val="26"/>
        </w:rPr>
        <w:t xml:space="preserve">Шестаков Н. В. Современные достижения в разработке и внедрении информационных технологий управления в нефтегазовом комплексе. Interface. 2000. </w:t>
      </w:r>
    </w:p>
    <w:p w:rsidR="00E10D8B" w:rsidRPr="00EC724C" w:rsidRDefault="00FB13D1" w:rsidP="00F3384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002849">
        <w:rPr>
          <w:sz w:val="28"/>
          <w:szCs w:val="26"/>
        </w:rPr>
        <w:t>http://www.iskran.ru/</w:t>
      </w:r>
      <w:bookmarkStart w:id="8" w:name="_GoBack"/>
      <w:bookmarkEnd w:id="8"/>
    </w:p>
    <w:sectPr w:rsidR="00E10D8B" w:rsidRPr="00EC724C" w:rsidSect="00F3384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C9" w:rsidRDefault="00463CC9">
      <w:r>
        <w:separator/>
      </w:r>
    </w:p>
  </w:endnote>
  <w:endnote w:type="continuationSeparator" w:id="0">
    <w:p w:rsidR="00463CC9" w:rsidRDefault="004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F5" w:rsidRDefault="004A30F5" w:rsidP="00F6087A">
    <w:pPr>
      <w:pStyle w:val="a8"/>
      <w:framePr w:wrap="around" w:vAnchor="text" w:hAnchor="margin" w:xAlign="right" w:y="1"/>
      <w:rPr>
        <w:rStyle w:val="aa"/>
      </w:rPr>
    </w:pPr>
  </w:p>
  <w:p w:rsidR="004A30F5" w:rsidRDefault="004A30F5" w:rsidP="004A30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F5" w:rsidRDefault="00002849" w:rsidP="00F6087A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4A30F5" w:rsidRDefault="004A30F5" w:rsidP="004A30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C9" w:rsidRDefault="00463CC9">
      <w:r>
        <w:separator/>
      </w:r>
    </w:p>
  </w:footnote>
  <w:footnote w:type="continuationSeparator" w:id="0">
    <w:p w:rsidR="00463CC9" w:rsidRDefault="00463CC9">
      <w:r>
        <w:continuationSeparator/>
      </w:r>
    </w:p>
  </w:footnote>
  <w:footnote w:id="1">
    <w:p w:rsidR="00463CC9" w:rsidRDefault="00CE4A84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Бандурин А. В. Деятельнос</w:t>
      </w:r>
      <w:r w:rsidR="00FB13D1" w:rsidRPr="00FB13D1">
        <w:rPr>
          <w:sz w:val="20"/>
          <w:szCs w:val="20"/>
        </w:rPr>
        <w:t xml:space="preserve">ть корпораций. - М.: </w:t>
      </w:r>
      <w:smartTag w:uri="urn:schemas-microsoft-com:office:smarttags" w:element="metricconverter">
        <w:smartTagPr>
          <w:attr w:name="ProductID" w:val="1999 г"/>
        </w:smartTagPr>
        <w:r w:rsidR="00FB13D1" w:rsidRPr="00FB13D1">
          <w:rPr>
            <w:sz w:val="20"/>
            <w:szCs w:val="20"/>
          </w:rPr>
          <w:t>1999 г</w:t>
        </w:r>
      </w:smartTag>
      <w:r w:rsidR="00FB13D1" w:rsidRPr="00FB13D1">
        <w:rPr>
          <w:sz w:val="20"/>
          <w:szCs w:val="20"/>
        </w:rPr>
        <w:t xml:space="preserve">. </w:t>
      </w:r>
    </w:p>
  </w:footnote>
  <w:footnote w:id="2">
    <w:p w:rsidR="00463CC9" w:rsidRDefault="00CE4A84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="00FB13D1" w:rsidRPr="00FB13D1">
        <w:rPr>
          <w:sz w:val="20"/>
          <w:szCs w:val="20"/>
        </w:rPr>
        <w:t>Там же</w:t>
      </w:r>
      <w:r w:rsidRPr="00FB13D1">
        <w:rPr>
          <w:sz w:val="20"/>
          <w:szCs w:val="20"/>
        </w:rPr>
        <w:t xml:space="preserve"> </w:t>
      </w:r>
    </w:p>
  </w:footnote>
  <w:footnote w:id="3">
    <w:p w:rsidR="00463CC9" w:rsidRDefault="00CE4A84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</w:footnote>
  <w:footnote w:id="4">
    <w:p w:rsidR="00463CC9" w:rsidRDefault="00CE4A84" w:rsidP="00FB13D1">
      <w:pPr>
        <w:pStyle w:val="a4"/>
        <w:jc w:val="both"/>
      </w:pPr>
      <w:r w:rsidRPr="00FB13D1">
        <w:rPr>
          <w:rStyle w:val="a6"/>
        </w:rPr>
        <w:footnoteRef/>
      </w:r>
      <w:r w:rsidRPr="00FB13D1">
        <w:t xml:space="preserve"> Там же</w:t>
      </w:r>
    </w:p>
  </w:footnote>
  <w:footnote w:id="5">
    <w:p w:rsidR="00CE4A84" w:rsidRPr="00FB13D1" w:rsidRDefault="00CE4A84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="00FB13D1" w:rsidRPr="00002849">
        <w:rPr>
          <w:sz w:val="20"/>
          <w:szCs w:val="20"/>
        </w:rPr>
        <w:t>Там</w:t>
      </w:r>
      <w:r w:rsidR="00FB13D1" w:rsidRPr="00FB13D1">
        <w:rPr>
          <w:sz w:val="20"/>
          <w:szCs w:val="20"/>
        </w:rPr>
        <w:t xml:space="preserve"> же</w:t>
      </w:r>
    </w:p>
    <w:p w:rsidR="00463CC9" w:rsidRDefault="00463CC9" w:rsidP="00FB13D1">
      <w:pPr>
        <w:jc w:val="both"/>
      </w:pPr>
    </w:p>
  </w:footnote>
  <w:footnote w:id="6">
    <w:p w:rsidR="00463CC9" w:rsidRDefault="00CE4A84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FB13D1">
        <w:rPr>
          <w:bCs/>
          <w:sz w:val="20"/>
          <w:szCs w:val="20"/>
        </w:rPr>
        <w:t xml:space="preserve">Буш Дж., Джонстон Д. </w:t>
      </w:r>
      <w:r w:rsidRPr="00FB13D1">
        <w:rPr>
          <w:sz w:val="20"/>
          <w:szCs w:val="20"/>
        </w:rPr>
        <w:t xml:space="preserve">Управление финансами в международной нефтяной компании: Перевод с английского. </w:t>
      </w:r>
      <w:r w:rsidRPr="00002849">
        <w:rPr>
          <w:bCs/>
          <w:sz w:val="20"/>
          <w:szCs w:val="20"/>
        </w:rPr>
        <w:t>"Олимп-Бизнес"</w:t>
      </w:r>
      <w:r w:rsidRPr="00FB13D1">
        <w:rPr>
          <w:sz w:val="20"/>
          <w:szCs w:val="20"/>
        </w:rPr>
        <w:t xml:space="preserve">, 2003.  432с. </w:t>
      </w:r>
    </w:p>
  </w:footnote>
  <w:footnote w:id="7">
    <w:p w:rsidR="00CE4A84" w:rsidRPr="00FB13D1" w:rsidRDefault="00CE4A84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Коллективная монография «Политика США в меняющемся мире» под редакцией к.и.н. Подлесного П.Т.</w:t>
      </w:r>
      <w:r w:rsidRPr="00FB13D1">
        <w:rPr>
          <w:sz w:val="20"/>
          <w:szCs w:val="20"/>
        </w:rPr>
        <w:t xml:space="preserve"> Москва, «Наука», </w:t>
      </w:r>
      <w:smartTag w:uri="urn:schemas-microsoft-com:office:smarttags" w:element="metricconverter">
        <w:smartTagPr>
          <w:attr w:name="ProductID" w:val="2004 г"/>
        </w:smartTagPr>
        <w:r w:rsidRPr="00FB13D1">
          <w:rPr>
            <w:sz w:val="20"/>
            <w:szCs w:val="20"/>
          </w:rPr>
          <w:t>2004 г</w:t>
        </w:r>
      </w:smartTag>
      <w:r w:rsidRPr="00FB13D1">
        <w:rPr>
          <w:sz w:val="20"/>
          <w:szCs w:val="20"/>
        </w:rPr>
        <w:t>., 333 стр.</w:t>
      </w:r>
    </w:p>
    <w:p w:rsidR="00463CC9" w:rsidRDefault="00463CC9" w:rsidP="00FB13D1">
      <w:pPr>
        <w:jc w:val="both"/>
      </w:pPr>
    </w:p>
  </w:footnote>
  <w:footnote w:id="8">
    <w:p w:rsidR="00CE4A84" w:rsidRPr="00FB13D1" w:rsidRDefault="00CE4A84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  <w:p w:rsidR="00463CC9" w:rsidRDefault="00463CC9" w:rsidP="00FB13D1">
      <w:pPr>
        <w:jc w:val="both"/>
      </w:pPr>
    </w:p>
  </w:footnote>
  <w:footnote w:id="9">
    <w:p w:rsidR="00463CC9" w:rsidRDefault="00CE4A84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Учебник «Экономика США» под ред. Супяна В.Б.</w:t>
      </w:r>
      <w:r w:rsidRPr="00FB13D1">
        <w:rPr>
          <w:sz w:val="20"/>
          <w:szCs w:val="20"/>
        </w:rPr>
        <w:t xml:space="preserve"> С.-Петербург, «Питер», </w:t>
      </w:r>
      <w:smartTag w:uri="urn:schemas-microsoft-com:office:smarttags" w:element="metricconverter">
        <w:smartTagPr>
          <w:attr w:name="ProductID" w:val="2003 г"/>
        </w:smartTagPr>
        <w:r w:rsidRPr="00FB13D1">
          <w:rPr>
            <w:sz w:val="20"/>
            <w:szCs w:val="20"/>
          </w:rPr>
          <w:t>2003 г</w:t>
        </w:r>
      </w:smartTag>
      <w:r w:rsidRPr="00FB13D1">
        <w:rPr>
          <w:sz w:val="20"/>
          <w:szCs w:val="20"/>
        </w:rPr>
        <w:t>., 650 с.</w:t>
      </w:r>
    </w:p>
  </w:footnote>
  <w:footnote w:id="10">
    <w:p w:rsidR="00463CC9" w:rsidRDefault="00CE4A84" w:rsidP="00EC724C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FB13D1">
        <w:rPr>
          <w:bCs/>
          <w:sz w:val="20"/>
          <w:szCs w:val="20"/>
        </w:rPr>
        <w:t xml:space="preserve">Буш Дж., Джонстон Д. </w:t>
      </w:r>
      <w:r w:rsidRPr="00FB13D1">
        <w:rPr>
          <w:sz w:val="20"/>
          <w:szCs w:val="20"/>
        </w:rPr>
        <w:t xml:space="preserve">Управление финансами в международной нефтяной компании: Перевод с английского. </w:t>
      </w:r>
      <w:r w:rsidRPr="00002849">
        <w:rPr>
          <w:bCs/>
          <w:sz w:val="20"/>
          <w:szCs w:val="20"/>
        </w:rPr>
        <w:t>"Олимп-Бизнес"</w:t>
      </w:r>
      <w:r w:rsidRPr="00FB13D1">
        <w:rPr>
          <w:sz w:val="20"/>
          <w:szCs w:val="20"/>
        </w:rPr>
        <w:t xml:space="preserve">, 2003.  432с. </w:t>
      </w:r>
    </w:p>
  </w:footnote>
  <w:footnote w:id="11">
    <w:p w:rsidR="00463CC9" w:rsidRDefault="00CE4A84" w:rsidP="00EC724C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="002A1993" w:rsidRPr="00002849">
        <w:rPr>
          <w:sz w:val="20"/>
          <w:szCs w:val="20"/>
        </w:rPr>
        <w:t>Учебник «Экономика США» под ред. Супяна В.Б.</w:t>
      </w:r>
      <w:r w:rsidR="002A1993" w:rsidRPr="00FB13D1">
        <w:rPr>
          <w:sz w:val="20"/>
          <w:szCs w:val="20"/>
        </w:rPr>
        <w:t xml:space="preserve"> С.-Петербург, «Питер», </w:t>
      </w:r>
      <w:smartTag w:uri="urn:schemas-microsoft-com:office:smarttags" w:element="metricconverter">
        <w:smartTagPr>
          <w:attr w:name="ProductID" w:val="2003 г"/>
        </w:smartTagPr>
        <w:r w:rsidR="002A1993" w:rsidRPr="00FB13D1">
          <w:rPr>
            <w:sz w:val="20"/>
            <w:szCs w:val="20"/>
          </w:rPr>
          <w:t>2003 г</w:t>
        </w:r>
      </w:smartTag>
      <w:r w:rsidR="002A1993" w:rsidRPr="00FB13D1">
        <w:rPr>
          <w:sz w:val="20"/>
          <w:szCs w:val="20"/>
        </w:rPr>
        <w:t>., 650 с.</w:t>
      </w:r>
    </w:p>
  </w:footnote>
  <w:footnote w:id="12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Учебник «Экономика США» под ред. Супяна В.Б.</w:t>
      </w:r>
      <w:r w:rsidRPr="00FB13D1">
        <w:rPr>
          <w:sz w:val="20"/>
          <w:szCs w:val="20"/>
        </w:rPr>
        <w:t xml:space="preserve"> С.-Петербург, «Питер», </w:t>
      </w:r>
      <w:smartTag w:uri="urn:schemas-microsoft-com:office:smarttags" w:element="metricconverter">
        <w:smartTagPr>
          <w:attr w:name="ProductID" w:val="2003 г"/>
        </w:smartTagPr>
        <w:r w:rsidRPr="00FB13D1">
          <w:rPr>
            <w:sz w:val="20"/>
            <w:szCs w:val="20"/>
          </w:rPr>
          <w:t>2003 г</w:t>
        </w:r>
      </w:smartTag>
      <w:r w:rsidRPr="00FB13D1">
        <w:rPr>
          <w:sz w:val="20"/>
          <w:szCs w:val="20"/>
        </w:rPr>
        <w:t>., 650 с.</w:t>
      </w:r>
    </w:p>
    <w:p w:rsidR="00463CC9" w:rsidRDefault="00463CC9" w:rsidP="00FB13D1">
      <w:pPr>
        <w:jc w:val="both"/>
      </w:pPr>
    </w:p>
  </w:footnote>
  <w:footnote w:id="13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FB13D1">
        <w:rPr>
          <w:bCs/>
          <w:sz w:val="20"/>
          <w:szCs w:val="20"/>
        </w:rPr>
        <w:t xml:space="preserve">Буш Дж., Джонстон Д. </w:t>
      </w:r>
      <w:r w:rsidRPr="00FB13D1">
        <w:rPr>
          <w:sz w:val="20"/>
          <w:szCs w:val="20"/>
        </w:rPr>
        <w:t xml:space="preserve">Управление финансами в международной нефтяной компании: Перевод с английского. </w:t>
      </w:r>
      <w:r w:rsidRPr="00002849">
        <w:rPr>
          <w:bCs/>
          <w:sz w:val="20"/>
          <w:szCs w:val="20"/>
        </w:rPr>
        <w:t>"Олимп-Бизнес"</w:t>
      </w:r>
      <w:r w:rsidRPr="00FB13D1">
        <w:rPr>
          <w:sz w:val="20"/>
          <w:szCs w:val="20"/>
        </w:rPr>
        <w:t xml:space="preserve">, 2003.  432с. </w:t>
      </w:r>
    </w:p>
    <w:p w:rsidR="00463CC9" w:rsidRDefault="00463CC9" w:rsidP="00FB13D1">
      <w:pPr>
        <w:jc w:val="both"/>
      </w:pPr>
    </w:p>
  </w:footnote>
  <w:footnote w:id="14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Бандурин А. В. Деятельность корпораций. - М.: </w:t>
      </w:r>
      <w:smartTag w:uri="urn:schemas-microsoft-com:office:smarttags" w:element="metricconverter">
        <w:smartTagPr>
          <w:attr w:name="ProductID" w:val="1999 г"/>
        </w:smartTagPr>
        <w:r w:rsidRPr="00FB13D1">
          <w:rPr>
            <w:sz w:val="20"/>
            <w:szCs w:val="20"/>
          </w:rPr>
          <w:t>1999 г</w:t>
        </w:r>
      </w:smartTag>
      <w:r w:rsidRPr="00FB13D1">
        <w:rPr>
          <w:sz w:val="20"/>
          <w:szCs w:val="20"/>
        </w:rPr>
        <w:t xml:space="preserve">. </w:t>
      </w:r>
    </w:p>
    <w:p w:rsidR="00463CC9" w:rsidRDefault="00463CC9" w:rsidP="00FB13D1">
      <w:pPr>
        <w:jc w:val="both"/>
      </w:pPr>
    </w:p>
  </w:footnote>
  <w:footnote w:id="15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  <w:p w:rsidR="002A1993" w:rsidRPr="00FB13D1" w:rsidRDefault="002A1993" w:rsidP="00FB13D1">
      <w:pPr>
        <w:jc w:val="both"/>
        <w:rPr>
          <w:sz w:val="20"/>
          <w:szCs w:val="20"/>
        </w:rPr>
      </w:pPr>
    </w:p>
    <w:p w:rsidR="00463CC9" w:rsidRDefault="00463CC9" w:rsidP="00FB13D1">
      <w:pPr>
        <w:jc w:val="both"/>
      </w:pPr>
    </w:p>
  </w:footnote>
  <w:footnote w:id="16">
    <w:p w:rsidR="00463CC9" w:rsidRDefault="002A1993" w:rsidP="00FB13D1">
      <w:pPr>
        <w:jc w:val="both"/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</w:footnote>
  <w:footnote w:id="17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="00FB13D1" w:rsidRPr="00002849">
        <w:rPr>
          <w:sz w:val="20"/>
          <w:szCs w:val="20"/>
        </w:rPr>
        <w:t>Там</w:t>
      </w:r>
      <w:r w:rsidR="00FB13D1" w:rsidRPr="00FB13D1">
        <w:rPr>
          <w:sz w:val="20"/>
          <w:szCs w:val="20"/>
        </w:rPr>
        <w:t xml:space="preserve"> же</w:t>
      </w:r>
    </w:p>
    <w:p w:rsidR="00463CC9" w:rsidRDefault="00463CC9" w:rsidP="00FB13D1">
      <w:pPr>
        <w:jc w:val="both"/>
      </w:pPr>
    </w:p>
  </w:footnote>
  <w:footnote w:id="18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  <w:p w:rsidR="00463CC9" w:rsidRDefault="00463CC9" w:rsidP="00FB13D1">
      <w:pPr>
        <w:jc w:val="both"/>
      </w:pPr>
    </w:p>
  </w:footnote>
  <w:footnote w:id="19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  <w:p w:rsidR="00463CC9" w:rsidRDefault="00463CC9" w:rsidP="00FB13D1">
      <w:pPr>
        <w:jc w:val="both"/>
      </w:pPr>
    </w:p>
  </w:footnote>
  <w:footnote w:id="20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http://www.iskran.ru/</w:t>
      </w:r>
    </w:p>
    <w:p w:rsidR="00463CC9" w:rsidRDefault="00463CC9" w:rsidP="00FB13D1">
      <w:pPr>
        <w:jc w:val="both"/>
      </w:pPr>
    </w:p>
  </w:footnote>
  <w:footnote w:id="21">
    <w:p w:rsidR="002A1993" w:rsidRPr="00FB13D1" w:rsidRDefault="002A1993" w:rsidP="00FB13D1">
      <w:pPr>
        <w:jc w:val="both"/>
        <w:rPr>
          <w:sz w:val="20"/>
          <w:szCs w:val="20"/>
        </w:rPr>
      </w:pPr>
      <w:r w:rsidRPr="00FB13D1">
        <w:rPr>
          <w:rStyle w:val="a6"/>
          <w:sz w:val="20"/>
          <w:szCs w:val="20"/>
        </w:rPr>
        <w:footnoteRef/>
      </w:r>
      <w:r w:rsidRPr="00FB13D1">
        <w:rPr>
          <w:sz w:val="20"/>
          <w:szCs w:val="20"/>
        </w:rPr>
        <w:t xml:space="preserve"> </w:t>
      </w:r>
      <w:r w:rsidRPr="00002849">
        <w:rPr>
          <w:sz w:val="20"/>
          <w:szCs w:val="20"/>
        </w:rPr>
        <w:t>Учебник «Экономика США» под ред. Супяна В.Б.</w:t>
      </w:r>
      <w:r w:rsidRPr="00FB13D1">
        <w:rPr>
          <w:sz w:val="20"/>
          <w:szCs w:val="20"/>
        </w:rPr>
        <w:t xml:space="preserve"> С.-Петербург, «Питер», </w:t>
      </w:r>
      <w:smartTag w:uri="urn:schemas-microsoft-com:office:smarttags" w:element="metricconverter">
        <w:smartTagPr>
          <w:attr w:name="ProductID" w:val="2003 г"/>
        </w:smartTagPr>
        <w:r w:rsidRPr="00FB13D1">
          <w:rPr>
            <w:sz w:val="20"/>
            <w:szCs w:val="20"/>
          </w:rPr>
          <w:t>2003 г</w:t>
        </w:r>
      </w:smartTag>
      <w:r w:rsidRPr="00FB13D1">
        <w:rPr>
          <w:sz w:val="20"/>
          <w:szCs w:val="20"/>
        </w:rPr>
        <w:t>., 650 с.</w:t>
      </w:r>
    </w:p>
    <w:p w:rsidR="00463CC9" w:rsidRDefault="00463CC9" w:rsidP="00FB13D1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7F5"/>
    <w:multiLevelType w:val="hybridMultilevel"/>
    <w:tmpl w:val="59E64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A18BE"/>
    <w:multiLevelType w:val="multilevel"/>
    <w:tmpl w:val="C70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F1173"/>
    <w:multiLevelType w:val="hybridMultilevel"/>
    <w:tmpl w:val="AD1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E96544"/>
    <w:multiLevelType w:val="hybridMultilevel"/>
    <w:tmpl w:val="37A07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15CA7"/>
    <w:multiLevelType w:val="multilevel"/>
    <w:tmpl w:val="8C7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251A22"/>
    <w:multiLevelType w:val="hybridMultilevel"/>
    <w:tmpl w:val="983A8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16FB9"/>
    <w:multiLevelType w:val="multilevel"/>
    <w:tmpl w:val="BE24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7B79F8"/>
    <w:multiLevelType w:val="multilevel"/>
    <w:tmpl w:val="F4FE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806FD2"/>
    <w:multiLevelType w:val="hybridMultilevel"/>
    <w:tmpl w:val="30F2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6A1DFF"/>
    <w:multiLevelType w:val="hybridMultilevel"/>
    <w:tmpl w:val="9B8C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07C8D"/>
    <w:multiLevelType w:val="hybridMultilevel"/>
    <w:tmpl w:val="C1F45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6108A"/>
    <w:multiLevelType w:val="hybridMultilevel"/>
    <w:tmpl w:val="6AE4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D23A57"/>
    <w:multiLevelType w:val="hybridMultilevel"/>
    <w:tmpl w:val="CF7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D328C"/>
    <w:multiLevelType w:val="hybridMultilevel"/>
    <w:tmpl w:val="DDBE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827BE"/>
    <w:multiLevelType w:val="hybridMultilevel"/>
    <w:tmpl w:val="F7760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AA557B"/>
    <w:multiLevelType w:val="multilevel"/>
    <w:tmpl w:val="0DA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BA197C"/>
    <w:multiLevelType w:val="hybridMultilevel"/>
    <w:tmpl w:val="A4CCD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DB05A6"/>
    <w:multiLevelType w:val="multilevel"/>
    <w:tmpl w:val="BEC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212109"/>
    <w:multiLevelType w:val="multilevel"/>
    <w:tmpl w:val="130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061B60"/>
    <w:multiLevelType w:val="multilevel"/>
    <w:tmpl w:val="C3AC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E825E9"/>
    <w:multiLevelType w:val="hybridMultilevel"/>
    <w:tmpl w:val="4FB68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674E4"/>
    <w:multiLevelType w:val="multilevel"/>
    <w:tmpl w:val="4DC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A61DE2"/>
    <w:multiLevelType w:val="multilevel"/>
    <w:tmpl w:val="447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4"/>
  </w:num>
  <w:num w:numId="5">
    <w:abstractNumId w:val="6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15"/>
  </w:num>
  <w:num w:numId="11">
    <w:abstractNumId w:val="2"/>
  </w:num>
  <w:num w:numId="12">
    <w:abstractNumId w:val="14"/>
  </w:num>
  <w:num w:numId="13">
    <w:abstractNumId w:val="9"/>
  </w:num>
  <w:num w:numId="14">
    <w:abstractNumId w:val="20"/>
  </w:num>
  <w:num w:numId="15">
    <w:abstractNumId w:val="5"/>
  </w:num>
  <w:num w:numId="16">
    <w:abstractNumId w:val="0"/>
  </w:num>
  <w:num w:numId="17">
    <w:abstractNumId w:val="11"/>
  </w:num>
  <w:num w:numId="18">
    <w:abstractNumId w:val="8"/>
  </w:num>
  <w:num w:numId="19">
    <w:abstractNumId w:val="13"/>
  </w:num>
  <w:num w:numId="20">
    <w:abstractNumId w:val="10"/>
  </w:num>
  <w:num w:numId="21">
    <w:abstractNumId w:val="1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0B1"/>
    <w:rsid w:val="00002849"/>
    <w:rsid w:val="001D4D70"/>
    <w:rsid w:val="00290188"/>
    <w:rsid w:val="00297B4F"/>
    <w:rsid w:val="002A1993"/>
    <w:rsid w:val="002A74AF"/>
    <w:rsid w:val="00381483"/>
    <w:rsid w:val="00463CC9"/>
    <w:rsid w:val="004A30F5"/>
    <w:rsid w:val="006B70B1"/>
    <w:rsid w:val="00834454"/>
    <w:rsid w:val="00AC0B94"/>
    <w:rsid w:val="00AF54AF"/>
    <w:rsid w:val="00BA0A72"/>
    <w:rsid w:val="00BE59B6"/>
    <w:rsid w:val="00C41DA0"/>
    <w:rsid w:val="00CE4A84"/>
    <w:rsid w:val="00DF35EF"/>
    <w:rsid w:val="00E10D8B"/>
    <w:rsid w:val="00EC724C"/>
    <w:rsid w:val="00F33842"/>
    <w:rsid w:val="00F6087A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D9D8F1-9329-4E48-89CE-43B9C0BB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E59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59B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59B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BE59B6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E4A84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</w:style>
  <w:style w:type="character" w:styleId="a6">
    <w:name w:val="footnote reference"/>
    <w:uiPriority w:val="99"/>
    <w:semiHidden/>
    <w:rsid w:val="00CE4A84"/>
    <w:rPr>
      <w:rFonts w:cs="Times New Roman"/>
      <w:vertAlign w:val="superscript"/>
    </w:rPr>
  </w:style>
  <w:style w:type="character" w:styleId="a7">
    <w:name w:val="Hyperlink"/>
    <w:uiPriority w:val="99"/>
    <w:rsid w:val="00CE4A84"/>
    <w:rPr>
      <w:rFonts w:cs="Times New Roman"/>
      <w:color w:val="CC3333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FB13D1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FB13D1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FB13D1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FB13D1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FB13D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FB13D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FB13D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FB13D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FB13D1"/>
    <w:pPr>
      <w:ind w:left="1920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4A30F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A30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6811</Words>
  <Characters>38825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1999 г</vt:lpstr>
    </vt:vector>
  </TitlesOfParts>
  <Company/>
  <LinksUpToDate>false</LinksUpToDate>
  <CharactersWithSpaces>45545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г</dc:title>
  <dc:subject/>
  <dc:creator>master</dc:creator>
  <cp:keywords/>
  <dc:description/>
  <cp:lastModifiedBy>Irina</cp:lastModifiedBy>
  <cp:revision>2</cp:revision>
  <cp:lastPrinted>2005-11-28T10:29:00Z</cp:lastPrinted>
  <dcterms:created xsi:type="dcterms:W3CDTF">2014-08-09T11:10:00Z</dcterms:created>
  <dcterms:modified xsi:type="dcterms:W3CDTF">2014-08-09T11:10:00Z</dcterms:modified>
</cp:coreProperties>
</file>