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81" w:rsidRPr="00AC7CFF" w:rsidRDefault="009A5F82" w:rsidP="00AC7CF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7CFF">
        <w:rPr>
          <w:rFonts w:ascii="Times New Roman" w:hAnsi="Times New Roman"/>
          <w:b/>
          <w:sz w:val="28"/>
          <w:szCs w:val="28"/>
        </w:rPr>
        <w:t>Кафедра:</w:t>
      </w:r>
      <w:r w:rsidR="00AC7CFF">
        <w:rPr>
          <w:rFonts w:ascii="Times New Roman" w:hAnsi="Times New Roman"/>
          <w:b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sz w:val="28"/>
          <w:szCs w:val="28"/>
        </w:rPr>
        <w:t>Бизнес</w:t>
      </w:r>
      <w:r w:rsidR="00AC7CFF">
        <w:rPr>
          <w:rFonts w:ascii="Times New Roman" w:hAnsi="Times New Roman"/>
          <w:b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sz w:val="28"/>
          <w:szCs w:val="28"/>
        </w:rPr>
        <w:t>и</w:t>
      </w:r>
      <w:r w:rsidR="00AC7CFF">
        <w:rPr>
          <w:rFonts w:ascii="Times New Roman" w:hAnsi="Times New Roman"/>
          <w:b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sz w:val="28"/>
          <w:szCs w:val="28"/>
        </w:rPr>
        <w:t>менеджмент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7CFF" w:rsidRP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 w:rsidRPr="00AC7CFF">
        <w:rPr>
          <w:rFonts w:ascii="Times New Roman" w:hAnsi="Times New Roman"/>
          <w:b/>
          <w:sz w:val="28"/>
          <w:szCs w:val="72"/>
        </w:rPr>
        <w:t>КУРСОВАЯ</w:t>
      </w:r>
      <w:r w:rsidR="00AC7CFF">
        <w:rPr>
          <w:rFonts w:ascii="Times New Roman" w:hAnsi="Times New Roman"/>
          <w:b/>
          <w:sz w:val="28"/>
          <w:szCs w:val="72"/>
        </w:rPr>
        <w:t xml:space="preserve"> </w:t>
      </w:r>
      <w:r w:rsidRPr="00AC7CFF">
        <w:rPr>
          <w:rFonts w:ascii="Times New Roman" w:hAnsi="Times New Roman"/>
          <w:b/>
          <w:sz w:val="28"/>
          <w:szCs w:val="72"/>
        </w:rPr>
        <w:t>РАБОТА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aps/>
          <w:kern w:val="2"/>
          <w:sz w:val="28"/>
          <w:szCs w:val="32"/>
        </w:rPr>
      </w:pPr>
      <w:r w:rsidRPr="00AC7CFF">
        <w:rPr>
          <w:rFonts w:ascii="Times New Roman" w:hAnsi="Times New Roman"/>
          <w:b/>
          <w:sz w:val="28"/>
          <w:szCs w:val="28"/>
        </w:rPr>
        <w:t>На</w:t>
      </w:r>
      <w:r w:rsidR="00AC7CFF">
        <w:rPr>
          <w:rFonts w:ascii="Times New Roman" w:hAnsi="Times New Roman"/>
          <w:b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sz w:val="28"/>
          <w:szCs w:val="28"/>
        </w:rPr>
        <w:t>тему:</w:t>
      </w:r>
      <w:r w:rsidR="00AC7CFF">
        <w:rPr>
          <w:rFonts w:ascii="Times New Roman" w:hAnsi="Times New Roman"/>
          <w:b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Тарифные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обоснования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в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обязательном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социальном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страховании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от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несчастных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случаев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на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производстве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и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профессиональных</w:t>
      </w:r>
      <w:r w:rsidR="00AC7CFF">
        <w:rPr>
          <w:rFonts w:ascii="Times New Roman" w:hAnsi="Times New Roman"/>
          <w:b/>
          <w:caps/>
          <w:kern w:val="2"/>
          <w:sz w:val="28"/>
          <w:szCs w:val="32"/>
        </w:rPr>
        <w:t xml:space="preserve"> </w:t>
      </w:r>
      <w:r w:rsidRPr="00AC7CFF">
        <w:rPr>
          <w:rFonts w:ascii="Times New Roman" w:hAnsi="Times New Roman"/>
          <w:b/>
          <w:caps/>
          <w:kern w:val="2"/>
          <w:sz w:val="28"/>
          <w:szCs w:val="32"/>
        </w:rPr>
        <w:t>заболеваний</w:t>
      </w:r>
    </w:p>
    <w:p w:rsidR="009A5F82" w:rsidRPr="00AC7CFF" w:rsidRDefault="00AC7CFF" w:rsidP="00AC7CF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Содержание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hd w:val="clear" w:color="auto" w:fill="FFFFFF"/>
        <w:tabs>
          <w:tab w:val="right" w:leader="dot" w:pos="9582"/>
        </w:tabs>
        <w:spacing w:after="0"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Введение</w:t>
      </w:r>
    </w:p>
    <w:p w:rsidR="009A5F82" w:rsidRPr="00AC7CFF" w:rsidRDefault="009A5F82" w:rsidP="00AC7CFF">
      <w:pPr>
        <w:keepNext/>
        <w:widowControl w:val="0"/>
        <w:shd w:val="clear" w:color="auto" w:fill="FFFFFF"/>
        <w:tabs>
          <w:tab w:val="right" w:leader="dot" w:pos="95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1.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Общая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характеристика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</w:p>
    <w:p w:rsidR="009A5F82" w:rsidRPr="00AC7CFF" w:rsidRDefault="009A5F82" w:rsidP="00AC7CFF">
      <w:pPr>
        <w:keepNext/>
        <w:widowControl w:val="0"/>
        <w:tabs>
          <w:tab w:val="right" w:leader="dot" w:pos="95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2.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Методические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формирования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особенности</w:t>
      </w:r>
    </w:p>
    <w:p w:rsidR="009A5F82" w:rsidRPr="00AC7CFF" w:rsidRDefault="009A5F82" w:rsidP="00AC7CFF">
      <w:pPr>
        <w:keepNext/>
        <w:widowControl w:val="0"/>
        <w:tabs>
          <w:tab w:val="right" w:leader="dot" w:pos="958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Заключение</w:t>
      </w:r>
    </w:p>
    <w:p w:rsidR="009A5F82" w:rsidRPr="00AC7CFF" w:rsidRDefault="00AC7CFF" w:rsidP="00AC7CF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kern w:val="2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5F82" w:rsidRPr="00AC7CFF">
        <w:rPr>
          <w:rFonts w:ascii="Times New Roman" w:hAnsi="Times New Roman"/>
          <w:b/>
          <w:caps/>
          <w:kern w:val="2"/>
          <w:sz w:val="28"/>
          <w:szCs w:val="24"/>
        </w:rPr>
        <w:t>Введение</w:t>
      </w:r>
    </w:p>
    <w:p w:rsidR="009A5F82" w:rsidRPr="00AC7CFF" w:rsidRDefault="009A5F82" w:rsidP="00AC7CFF">
      <w:pPr>
        <w:keepNext/>
        <w:widowControl w:val="0"/>
        <w:tabs>
          <w:tab w:val="left" w:leader="dot" w:pos="9582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4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C7CFF">
        <w:rPr>
          <w:rFonts w:ascii="Times New Roman" w:hAnsi="Times New Roman"/>
          <w:sz w:val="28"/>
          <w:szCs w:val="24"/>
        </w:rPr>
        <w:t>Тарифные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обоснования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страховании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от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несчастных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случаев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производстве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профзаболеваний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–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это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актуальная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научная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проблема,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решение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которой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может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значительной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мере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обеспечить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эффективность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использования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финансовых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потоков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системы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социального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страхования.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Часть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этих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потоков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формируется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за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счет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взносов,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имеющих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внушительные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размеры.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Например,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2007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г.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величина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бюджете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Фонда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социального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страхования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(ФСС)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составила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43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374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194,0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Для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сравнения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отметим,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что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объем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поступлений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(ЕСН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взносов)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систему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ФСС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РФ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2007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г.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(204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222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255,2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сопоставим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расходами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федерального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бюджета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образование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(277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939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330,1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здравоохранение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(206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373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527,5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больше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чем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все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ассигнования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строке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«Транспорт»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(184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877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444,8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содержание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органов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безопасности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(113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244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321,3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органов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внутренних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дел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(185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572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584,0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Style w:val="a8"/>
          <w:rFonts w:ascii="Times New Roman" w:hAnsi="Times New Roman"/>
          <w:sz w:val="28"/>
          <w:szCs w:val="24"/>
        </w:rPr>
        <w:footnoteReference w:id="1"/>
      </w:r>
      <w:r w:rsidRPr="00AC7CFF">
        <w:rPr>
          <w:rFonts w:ascii="Times New Roman" w:hAnsi="Times New Roman"/>
          <w:sz w:val="28"/>
          <w:szCs w:val="24"/>
        </w:rPr>
        <w:t>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Объем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взносов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страхованию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от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несчастных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случаев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производстве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профессиональных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заболеваний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ФСС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РФ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2007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г.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больше,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чем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расходы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федерального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бюджета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РФ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статьям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«Культура»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(35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757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689,2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«Жилищное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хозяйство»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(40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619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673,5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«Предупреждение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ликвидация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последствий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чрезвычайных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ситуаций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стихийных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бедствий,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гражданская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оборона»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(40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249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394,6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тыс.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руб.)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Style w:val="a8"/>
          <w:rFonts w:ascii="Times New Roman" w:hAnsi="Times New Roman"/>
          <w:sz w:val="28"/>
          <w:szCs w:val="24"/>
        </w:rPr>
        <w:footnoteReference w:id="2"/>
      </w:r>
      <w:r w:rsidRPr="00AC7CFF">
        <w:rPr>
          <w:rFonts w:ascii="Times New Roman" w:hAnsi="Times New Roman"/>
          <w:sz w:val="28"/>
          <w:szCs w:val="24"/>
        </w:rPr>
        <w:t>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C7CFF">
        <w:rPr>
          <w:rFonts w:ascii="Times New Roman" w:hAnsi="Times New Roman"/>
          <w:sz w:val="28"/>
          <w:szCs w:val="24"/>
        </w:rPr>
        <w:t>Известно,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что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размер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взносов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определяется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помощи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тарифов.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социальном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страховании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от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несчастных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случаев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производстве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и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профессиональных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заболеваний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определение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страховых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тарифов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пока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является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объектом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актуарных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вычислений,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сам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тариф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еще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не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структурирован.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Решению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этих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научных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задач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посвящена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данная</w:t>
      </w:r>
      <w:r w:rsidR="00AC7CFF">
        <w:rPr>
          <w:rFonts w:ascii="Times New Roman" w:hAnsi="Times New Roman"/>
          <w:sz w:val="28"/>
          <w:szCs w:val="24"/>
        </w:rPr>
        <w:t xml:space="preserve"> </w:t>
      </w:r>
      <w:r w:rsidRPr="00AC7CFF">
        <w:rPr>
          <w:rFonts w:ascii="Times New Roman" w:hAnsi="Times New Roman"/>
          <w:sz w:val="28"/>
          <w:szCs w:val="24"/>
        </w:rPr>
        <w:t>работа.</w:t>
      </w:r>
    </w:p>
    <w:p w:rsidR="009A5F82" w:rsidRPr="00AC7CFF" w:rsidRDefault="00AC7CFF" w:rsidP="00AC7CF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1.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Общая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характеристика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вида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страхования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от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несчастных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случаев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на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производстве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и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профессиональных</w:t>
      </w:r>
      <w:r w:rsidRPr="00AC7CFF">
        <w:rPr>
          <w:rFonts w:ascii="Times New Roman" w:hAnsi="Times New Roman"/>
          <w:b/>
          <w:caps/>
          <w:kern w:val="2"/>
          <w:sz w:val="28"/>
          <w:szCs w:val="28"/>
        </w:rPr>
        <w:t xml:space="preserve"> </w:t>
      </w:r>
      <w:r w:rsidR="009A5F82" w:rsidRPr="00AC7CFF">
        <w:rPr>
          <w:rFonts w:ascii="Times New Roman" w:hAnsi="Times New Roman"/>
          <w:b/>
          <w:caps/>
          <w:kern w:val="2"/>
          <w:sz w:val="28"/>
          <w:szCs w:val="28"/>
        </w:rPr>
        <w:t>заболеваний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системы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Охарактеризовать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значит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выделить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специфические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полагаем,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общим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свойствам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относятся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делают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собственно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страховым.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Специфическими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будут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наделяет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система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нашу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задачу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входит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доказательство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положения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специфические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проявляются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признаки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иногда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помощи.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Известно,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понимают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некоторым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категориям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граждан,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источником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государственные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региональные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бюджеты.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производятся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независимо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уровня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граждан.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категории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последних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могут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относиться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ветераны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Великой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Отечественной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войны,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ветераны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службы,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участники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ликвидаций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последствий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крупномасштабных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катастроф,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аварий,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военнослужащие,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государственные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служащие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заранее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определены,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правило,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законодательном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виде.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помощь,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финансируется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бюджета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ориентируется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индивидуальную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нуждаемость.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Цель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выдачи,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правило,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восстановлением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уровня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человека,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когда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уровень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падает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определенного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минимума.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Выявление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специфических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исследуемого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проводили,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применяя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нормативные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документы,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используются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регулировании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процессов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«Об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обязательном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24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июля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1998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3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Общими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изучаемого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наш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взгляд,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являются: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1.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Использование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методов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формировании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фондов,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предназначены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пострадавшим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гражданам.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2.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Проведение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исключительно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наступлении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3.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Обязанность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размещать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свободные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резервов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целью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инвестиционный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доход,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дополнительным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источником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пополнения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фондов,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используемых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4.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Участие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полученных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счет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проведение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предупредительных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мероприятий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области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охраны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персонала.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Указанные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позволяют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реализовать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чисто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функции: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перераспределительную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рисковую),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инвестиционную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превентивную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предупредительную).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Проявление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перераспределительной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обязаны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уплачивать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распространяется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действие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пострадавшие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результате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качестве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выступают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работодатели.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качестве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во-первых,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физические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выполняющие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основании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договора,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заключенного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страхователем;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во-вторых,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физические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осужденные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лишению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свободы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привлекаемые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страхователем.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наступлении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предусматривает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несколько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(см.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1):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1.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назначаемое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выплачиваемое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счет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2.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(единовременная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ежемесячная).</w:t>
      </w:r>
    </w:p>
    <w:p w:rsidR="009A5F82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3.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дополнительных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медицинской,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наличии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прямых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последствий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случая.</w:t>
      </w:r>
    </w:p>
    <w:p w:rsidR="00AC7CFF" w:rsidRPr="00AC7CFF" w:rsidRDefault="00AC7CFF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5713"/>
        <w:gridCol w:w="2027"/>
      </w:tblGrid>
      <w:tr w:rsidR="009A5F82" w:rsidRPr="00AC7CFF" w:rsidTr="00AC7CFF">
        <w:tc>
          <w:tcPr>
            <w:tcW w:w="1582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713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Виды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обеспечения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обязательств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обязательному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социальному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страхованию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несчастных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случаев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br/>
              <w:t>на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производстве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профзаболеваний</w:t>
            </w:r>
          </w:p>
        </w:tc>
        <w:tc>
          <w:tcPr>
            <w:tcW w:w="2027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A5F82" w:rsidRPr="00AC7CFF" w:rsidRDefault="003B1A74" w:rsidP="00AC7CFF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kern w:val="2"/>
          <w:sz w:val="20"/>
          <w:szCs w:val="20"/>
        </w:rPr>
      </w:pPr>
      <w:r>
        <w:rPr>
          <w:noProof/>
          <w:lang w:eastAsia="ru-RU"/>
        </w:rPr>
        <w:pict>
          <v:line id="_x0000_s1026" style="position:absolute;left:0;text-align:left;z-index:251653632;mso-position-horizontal-relative:text;mso-position-vertical-relative:text" from="224.4pt,.85pt" to="224.4pt,54.85pt">
            <v:stroke endarrow="block"/>
          </v:line>
        </w:pict>
      </w:r>
      <w:r>
        <w:rPr>
          <w:noProof/>
          <w:lang w:eastAsia="ru-RU"/>
        </w:rPr>
        <w:pict>
          <v:line id="_x0000_s1027" style="position:absolute;left:0;text-align:left;z-index:251652608;mso-position-horizontal-relative:text;mso-position-vertical-relative:text" from="224.4pt,.85pt" to="289.85pt,9.85pt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flip:x;z-index:251651584;mso-position-horizontal-relative:text;mso-position-vertical-relative:text" from="158.95pt,.85pt" to="224.4pt,9.8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2080"/>
        <w:gridCol w:w="3720"/>
      </w:tblGrid>
      <w:tr w:rsidR="009A5F82" w:rsidRPr="00AC7CFF" w:rsidTr="00AC7CFF">
        <w:tc>
          <w:tcPr>
            <w:tcW w:w="338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Пособие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временной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нетрудоспособности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Оплата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дополнительных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расходов</w:t>
            </w:r>
          </w:p>
        </w:tc>
      </w:tr>
    </w:tbl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kern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5020"/>
        <w:gridCol w:w="2382"/>
      </w:tblGrid>
      <w:tr w:rsidR="009A5F82" w:rsidRPr="00AC7CFF" w:rsidTr="00AC7CFF">
        <w:tc>
          <w:tcPr>
            <w:tcW w:w="192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Страховые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выплаты</w:t>
            </w:r>
          </w:p>
        </w:tc>
        <w:tc>
          <w:tcPr>
            <w:tcW w:w="2382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A5F82" w:rsidRPr="00AC7CFF" w:rsidRDefault="003B1A74" w:rsidP="00AC7CFF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kern w:val="2"/>
          <w:sz w:val="20"/>
          <w:szCs w:val="20"/>
        </w:rPr>
      </w:pPr>
      <w:r>
        <w:rPr>
          <w:noProof/>
          <w:lang w:eastAsia="ru-RU"/>
        </w:rPr>
        <w:pict>
          <v:line id="_x0000_s1029" style="position:absolute;left:0;text-align:left;z-index:251655680;mso-position-horizontal-relative:text;mso-position-vertical-relative:text" from="224.4pt,1.85pt" to="345.95pt,10.85pt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left:0;text-align:left;flip:x;z-index:251654656;mso-position-horizontal-relative:text;mso-position-vertical-relative:text" from="158.95pt,1.85pt" to="224.4pt,10.8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140"/>
        <w:gridCol w:w="1340"/>
        <w:gridCol w:w="880"/>
        <w:gridCol w:w="3122"/>
      </w:tblGrid>
      <w:tr w:rsidR="009A5F82" w:rsidRPr="00AC7CFF" w:rsidTr="00AC7CFF"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Единовременная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страховая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выплата</w:t>
            </w: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Ежемесячная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страховая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выплата</w:t>
            </w:r>
          </w:p>
        </w:tc>
      </w:tr>
    </w:tbl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kern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080"/>
        <w:gridCol w:w="866"/>
        <w:gridCol w:w="880"/>
        <w:gridCol w:w="3370"/>
      </w:tblGrid>
      <w:tr w:rsidR="009A5F82" w:rsidRPr="00AC7CFF" w:rsidTr="00AC7CFF"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Определяется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соответствии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степенью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утраты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профессиональной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трудоспособности,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исходя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из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60-кратного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МРОТ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Определяется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как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доля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среднего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месячного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заработка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застрахованного,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исчисленная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степенью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утраты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им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профессиональной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трудоспособности</w:t>
            </w:r>
          </w:p>
        </w:tc>
      </w:tr>
    </w:tbl>
    <w:p w:rsidR="009A5F82" w:rsidRPr="00AC7CFF" w:rsidRDefault="003B1A74" w:rsidP="00AC7CFF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kern w:val="2"/>
          <w:sz w:val="20"/>
          <w:szCs w:val="20"/>
        </w:rPr>
      </w:pPr>
      <w:r>
        <w:rPr>
          <w:noProof/>
          <w:lang w:eastAsia="ru-RU"/>
        </w:rPr>
        <w:pict>
          <v:line id="_x0000_s1031" style="position:absolute;left:0;text-align:left;z-index:251656704;mso-position-horizontal-relative:text;mso-position-vertical-relative:text" from="102.85pt,.6pt" to="102.85pt,18.6pt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left:0;text-align:left;z-index:251657728;mso-position-horizontal-relative:text;mso-position-vertical-relative:text" from="374pt,.6pt" to="374pt,18.6pt">
            <v:stroke endarrow="block"/>
          </v:line>
        </w:pic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080"/>
        <w:gridCol w:w="866"/>
        <w:gridCol w:w="3370"/>
        <w:gridCol w:w="1308"/>
      </w:tblGrid>
      <w:tr w:rsidR="009A5F82" w:rsidRPr="00AC7CFF" w:rsidTr="00AC7CFF"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 w:val="restart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Выплачивается:</w:t>
            </w:r>
          </w:p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-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застрахованному;</w:t>
            </w:r>
          </w:p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-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либо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случае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смерти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застрахованного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лицам,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имеющим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на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это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vMerge w:val="restart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Выплачивается:</w:t>
            </w:r>
          </w:p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-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застрахованному;</w:t>
            </w:r>
          </w:p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-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либо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случае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смерти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застрахованного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лицам,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имеющим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на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это</w:t>
            </w:r>
            <w:r w:rsidR="00AC7CFF"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9A5F82" w:rsidRPr="00AC7CFF" w:rsidTr="00AC7CFF"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vMerge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9A5F82" w:rsidRPr="00AC7CFF" w:rsidTr="00AC7CFF"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70" w:type="dxa"/>
            <w:vMerge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b/>
          <w:bCs/>
          <w:kern w:val="2"/>
          <w:sz w:val="28"/>
          <w:szCs w:val="26"/>
        </w:rPr>
      </w:pPr>
      <w:r w:rsidRPr="00AC7CFF">
        <w:rPr>
          <w:b/>
          <w:bCs/>
          <w:kern w:val="2"/>
          <w:sz w:val="28"/>
          <w:szCs w:val="26"/>
        </w:rPr>
        <w:t>Рис.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1.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Виды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обеспечения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обязательств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по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обязательному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социальному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страхованию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b/>
          <w:bCs/>
          <w:kern w:val="2"/>
          <w:sz w:val="28"/>
          <w:szCs w:val="26"/>
        </w:rPr>
      </w:pPr>
      <w:r w:rsidRPr="00AC7CFF">
        <w:rPr>
          <w:b/>
          <w:bCs/>
          <w:kern w:val="2"/>
          <w:sz w:val="28"/>
          <w:szCs w:val="26"/>
        </w:rPr>
        <w:t>от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несчастных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случаев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на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производстве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и</w:t>
      </w:r>
      <w:r w:rsidR="00AC7CFF">
        <w:rPr>
          <w:b/>
          <w:bCs/>
          <w:kern w:val="2"/>
          <w:sz w:val="28"/>
          <w:szCs w:val="26"/>
        </w:rPr>
        <w:t xml:space="preserve"> </w:t>
      </w:r>
      <w:r w:rsidRPr="00AC7CFF">
        <w:rPr>
          <w:b/>
          <w:bCs/>
          <w:kern w:val="2"/>
          <w:sz w:val="28"/>
          <w:szCs w:val="26"/>
        </w:rPr>
        <w:t>профзаболеваний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b/>
          <w:bCs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перечисленных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собственно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лица.</w:t>
      </w:r>
    </w:p>
    <w:p w:rsidR="009A5F82" w:rsidRPr="00AC7CFF" w:rsidRDefault="009A5F82" w:rsidP="00AC7CFF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AC7CFF">
        <w:rPr>
          <w:b w:val="0"/>
          <w:kern w:val="2"/>
          <w:sz w:val="28"/>
          <w:szCs w:val="28"/>
        </w:rPr>
        <w:t>Пособие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по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временной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нетрудоспособности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компенсирует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утраченный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пострадавшим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заработок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при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временном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освобождении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от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работы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в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связи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со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страховым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случаем.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Отличительными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свойствами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этого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пособия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являются</w:t>
      </w:r>
      <w:r w:rsidR="00AC7CFF">
        <w:rPr>
          <w:b w:val="0"/>
          <w:kern w:val="2"/>
          <w:sz w:val="28"/>
          <w:szCs w:val="28"/>
        </w:rPr>
        <w:t xml:space="preserve"> </w:t>
      </w:r>
      <w:r w:rsidRPr="00AC7CFF">
        <w:rPr>
          <w:b w:val="0"/>
          <w:kern w:val="2"/>
          <w:sz w:val="28"/>
          <w:szCs w:val="28"/>
        </w:rPr>
        <w:t>следующие: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1.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2.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выплачивается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среднего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зависит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непрерывного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стажа.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3.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выплачивается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независимо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срока,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потерпевший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проработал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предприятии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страхователя.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4.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выплачивается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весь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период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вплоть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выздоровления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установления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стойкой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причем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период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никаким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сроком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ограничен.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5.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дня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выплачивается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счет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РФ,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счет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страховщика.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Таким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образом,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компенсирует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утраченный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результате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заработок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касается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здесь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следует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отметить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несколько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важных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обстоятельств.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существует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разница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между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базой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расчета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60-кратный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МРОТ,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другом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среднемесячный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заработок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установлено,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пострадавшим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может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одновременно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назначаться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единовременная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ежемесячная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другом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назначаются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заключению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учреждения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медико-социальной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экспертизы,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устанавливает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степень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Ежемесячные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назначаются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весь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срок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исключением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периода,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когда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получал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другая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назначается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если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последний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письменном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заявит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необходимости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случаем.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−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собственно,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само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возмещение,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могут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имеющие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право.</w:t>
      </w:r>
    </w:p>
    <w:p w:rsidR="009A5F82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Для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сравнения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приведем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схему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возможных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(см.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2).</w:t>
      </w:r>
    </w:p>
    <w:p w:rsidR="00AC7CFF" w:rsidRPr="00AC7CFF" w:rsidRDefault="00AC7CFF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Ind w:w="1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0"/>
      </w:tblGrid>
      <w:tr w:rsidR="009A5F82" w:rsidRPr="00AC7CFF" w:rsidTr="003A32E6">
        <w:trPr>
          <w:trHeight w:val="300"/>
        </w:trPr>
        <w:tc>
          <w:tcPr>
            <w:tcW w:w="5730" w:type="dxa"/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  <w:r w:rsidRPr="00AC7CFF">
              <w:rPr>
                <w:b w:val="0"/>
                <w:sz w:val="28"/>
              </w:rPr>
              <w:t>Возможные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страховые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выплаты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при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страховании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br/>
              <w:t>от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несчастного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случая</w:t>
            </w:r>
          </w:p>
        </w:tc>
      </w:tr>
    </w:tbl>
    <w:p w:rsidR="009A5F82" w:rsidRPr="00AC7CFF" w:rsidRDefault="003B1A74" w:rsidP="00AC7CFF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>
        <w:rPr>
          <w:noProof/>
        </w:rPr>
        <w:pict>
          <v:line id="_x0000_s1033" style="position:absolute;left:0;text-align:left;z-index:251649536;mso-position-horizontal-relative:text;mso-position-vertical-relative:text" from="205.7pt,3.65pt" to="294.3pt,25.3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z-index:251650560;mso-position-horizontal-relative:text;mso-position-vertical-relative:text" from="205.7pt,3.65pt" to="413.4pt,18.9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47488;mso-position-horizontal-relative:text;mso-position-vertical-relative:text" from="58.95pt,3.65pt" to="205.7pt,18.1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48512;mso-position-horizontal-relative:text;mso-position-vertical-relative:text" from="177.65pt,3.65pt" to="207.05pt,23.1pt">
            <v:stroke endarrow="block"/>
          </v:line>
        </w:pict>
      </w:r>
    </w:p>
    <w:p w:rsidR="009A5F82" w:rsidRPr="00AC7CFF" w:rsidRDefault="009A5F82" w:rsidP="00AC7CFF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36"/>
        <w:gridCol w:w="1995"/>
        <w:gridCol w:w="236"/>
        <w:gridCol w:w="2160"/>
        <w:gridCol w:w="236"/>
        <w:gridCol w:w="2205"/>
      </w:tblGrid>
      <w:tr w:rsidR="009A5F82" w:rsidRPr="00AC7CFF" w:rsidTr="003A32E6">
        <w:trPr>
          <w:trHeight w:val="240"/>
        </w:trPr>
        <w:tc>
          <w:tcPr>
            <w:tcW w:w="2010" w:type="dxa"/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  <w:r w:rsidRPr="00AC7CFF">
              <w:rPr>
                <w:b w:val="0"/>
                <w:sz w:val="28"/>
              </w:rPr>
              <w:t>Выплата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br/>
              <w:t>капитала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br/>
              <w:t>в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случае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смерти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</w:p>
        </w:tc>
        <w:tc>
          <w:tcPr>
            <w:tcW w:w="1995" w:type="dxa"/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  <w:r w:rsidRPr="00AC7CFF">
              <w:rPr>
                <w:b w:val="0"/>
                <w:sz w:val="28"/>
              </w:rPr>
              <w:t>Выплата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капитала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в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случае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частичной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инвалидности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</w:p>
        </w:tc>
        <w:tc>
          <w:tcPr>
            <w:tcW w:w="2160" w:type="dxa"/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  <w:r w:rsidRPr="00AC7CFF">
              <w:rPr>
                <w:b w:val="0"/>
                <w:sz w:val="28"/>
              </w:rPr>
              <w:t>Выплата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ежедневной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суммы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в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случае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временной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недееспособности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</w:p>
        </w:tc>
        <w:tc>
          <w:tcPr>
            <w:tcW w:w="2205" w:type="dxa"/>
          </w:tcPr>
          <w:p w:rsidR="009A5F82" w:rsidRPr="00AC7CFF" w:rsidRDefault="009A5F82" w:rsidP="00AC7CFF">
            <w:pPr>
              <w:pStyle w:val="a3"/>
              <w:keepNext/>
              <w:widowControl w:val="0"/>
              <w:spacing w:line="360" w:lineRule="auto"/>
              <w:ind w:firstLine="709"/>
              <w:jc w:val="both"/>
              <w:rPr>
                <w:b w:val="0"/>
                <w:sz w:val="28"/>
              </w:rPr>
            </w:pPr>
            <w:r w:rsidRPr="00AC7CFF">
              <w:rPr>
                <w:b w:val="0"/>
                <w:sz w:val="28"/>
              </w:rPr>
              <w:t>Оплата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медицинской</w:t>
            </w:r>
            <w:r w:rsidR="00AC7CFF">
              <w:rPr>
                <w:b w:val="0"/>
                <w:sz w:val="28"/>
              </w:rPr>
              <w:t xml:space="preserve"> </w:t>
            </w:r>
            <w:r w:rsidRPr="00AC7CFF">
              <w:rPr>
                <w:b w:val="0"/>
                <w:sz w:val="28"/>
              </w:rPr>
              <w:t>помощи</w:t>
            </w:r>
          </w:p>
        </w:tc>
      </w:tr>
    </w:tbl>
    <w:p w:rsidR="009A5F82" w:rsidRPr="00AC7CFF" w:rsidRDefault="009A5F82" w:rsidP="00AC7CFF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  <w:szCs w:val="26"/>
        </w:rPr>
      </w:pPr>
      <w:r w:rsidRPr="00AC7CFF">
        <w:rPr>
          <w:b w:val="0"/>
          <w:sz w:val="28"/>
          <w:szCs w:val="26"/>
        </w:rPr>
        <w:t>Рис.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2.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Возможные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страховые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выплаты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при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страховании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от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несчастного</w:t>
      </w:r>
      <w:r w:rsidR="00AC7CFF">
        <w:rPr>
          <w:b w:val="0"/>
          <w:sz w:val="28"/>
          <w:szCs w:val="26"/>
        </w:rPr>
        <w:t xml:space="preserve"> </w:t>
      </w:r>
      <w:r w:rsidRPr="00AC7CFF">
        <w:rPr>
          <w:b w:val="0"/>
          <w:sz w:val="28"/>
          <w:szCs w:val="26"/>
        </w:rPr>
        <w:t>случая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схеме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возмещения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(см.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соответствует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капитала.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Однако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рассчитывается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величина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возмещения,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чаще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страхователь)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выбирать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сам.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существует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прямая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зависимость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между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платежа.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выше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больше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платеж.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Поэтому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выбор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зависит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материального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благосостояния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(страхователя).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образом,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потребности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возможности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человека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составляют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основной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критерий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мотивации.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обязательном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понятие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отсутствует.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Кроме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хотя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закреплены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практике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применяются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виде.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9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установлено,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устанавливается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100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%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среднего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Однако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ежегодно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принимаемыми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федеральными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бюджете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норма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фактически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отменяется.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Вместо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вводится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фиксированная,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месячная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величина,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выше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может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быть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соответствующими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установлена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2007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16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2005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480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4"/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касается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единовременной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величина,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установленная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60-кратного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МРОТ,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ежегодно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отменяется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бюджете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единовременной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2007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составил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46,9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тыс.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(вместо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66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тыс.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руб.).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Максимальный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ежемесячной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устанавливается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ежегодными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бюджете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РФ.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2007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могла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превышать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36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тыс.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наступлении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заканчивается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смертью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страхователя),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наследники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выгодоприобретатели)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возмещение,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превышающее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суммы.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Однако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если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наступает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круг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могущих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претендовать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единовременную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выплату,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ежемесячные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довольно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широк.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Сюда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включаются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наследники,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иждивенцы.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имеющим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единовременную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относятся:</w:t>
      </w:r>
    </w:p>
    <w:p w:rsidR="009A5F82" w:rsidRPr="00AC7CFF" w:rsidRDefault="009A5F82" w:rsidP="00AC7CFF">
      <w:pPr>
        <w:keepNext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нетрудоспособные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состоящие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иждивении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умершего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имевшие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дню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содержания;</w:t>
      </w:r>
    </w:p>
    <w:p w:rsidR="009A5F82" w:rsidRPr="00AC7CFF" w:rsidRDefault="009A5F82" w:rsidP="00AC7CFF">
      <w:pPr>
        <w:keepNext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ребенок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умершего,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родившийся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смерти;</w:t>
      </w:r>
    </w:p>
    <w:p w:rsidR="009A5F82" w:rsidRPr="00AC7CFF" w:rsidRDefault="009A5F82" w:rsidP="00AC7CFF">
      <w:pPr>
        <w:keepNext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один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родителей,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занят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уходом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состоящими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иждивении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умершего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детьми,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внуками,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братьями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сестрами,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достигшими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14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лет;</w:t>
      </w:r>
    </w:p>
    <w:p w:rsidR="009A5F82" w:rsidRPr="00AC7CFF" w:rsidRDefault="009A5F82" w:rsidP="00AC7CFF">
      <w:pPr>
        <w:keepNext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состоявшие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иждивении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умершего,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ставшие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5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дня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Если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получал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ежемесячную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выплату,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будут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имеющие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право.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несовершеннолетние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достижения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возраста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18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лет;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учащиеся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старше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18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окончания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учебы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учебных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заведениях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очной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форме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более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23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лет.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приводим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здесь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списка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имеющих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поскольку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гораздо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шире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представили.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Однако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приведенный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список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свидетельствует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скрытом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включает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себя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своеобразные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пенсии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кормильца.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западной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практике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покрываются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добровольным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пенсионным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страхованием,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будем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говорить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ниже.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Помимо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пособия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наступлении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дополнительных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медицинской,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реабилитацией.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закреплены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8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включают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себя: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1.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восстановления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установления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стойкой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2.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Приобретение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лекарств,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изделий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назначения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индивидуального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ухода.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3.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Посторонний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(специальный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бытовой)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уход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числе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осуществляемый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членами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семьи.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4.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Проезд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необходимых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проезд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сопровождающего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отдельных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реабилитации.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5.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организациях,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оказывающих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санаторно-курортные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услуги,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числе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путевке,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включая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проживания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питания,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необходимых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проезда,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проживания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питания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сопровождающего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отпуска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(сверх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ежегодного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оплачиваемого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отпуска)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весь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период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проезда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месту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обратно.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6.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Изготовление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ремонт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протезов,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протезно-ортопедических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изделий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ортезов.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7.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техническими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ремонт.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8.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транспортными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наличии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соответствующих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показаний,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текущий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капитальный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ремонт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горюче-смазочные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материалы.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9.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(переобучение).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Порядок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дополнительных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регулируется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специальным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документом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Порядком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дополнительных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медицинскую,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пострадавших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результате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утвержденным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Постановлением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Правительства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РФ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28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апреля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2001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332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5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Анализ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внушительного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перечня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мероприятий,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оплачивает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страховщик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РФ,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выявляет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несколько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важных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аспектов.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Во-первых,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никакое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смогло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поскольку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включает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себя,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стороны,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разнородные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другой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компенсацию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утраченного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разнообразные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реабилитационные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действия.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хоть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восстановлением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здоровья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пострадавшего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относятся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жизни,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когда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трудоспособность.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здесь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следует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отметить,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современная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наука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различает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понятия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«трудоспособность»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«профессиональная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трудоспособность».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трудоспособностью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понимают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«способность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человека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выполнять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операции,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участвовать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деятельности.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Определяется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возрастом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состоянием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здоровья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человека»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6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трудоспособностью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«способность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человека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выполнению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определенной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квалификации,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объема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качества»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(ст.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3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125-ФЗ).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направлен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восстановление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основные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отечественном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рынке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ориентируются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процессы,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восстановлением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таковой.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Во-вторых,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вышеперечисленным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мероприятиям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хотя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осуществляется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счет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РФ,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фонды,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идет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формируются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счет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работодателей.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если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применить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процессу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нормы,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применяемые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страхованию,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имущественные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интересы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работодателей,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капитального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текущего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ремонта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транспортных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период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горюче-смазочные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материалы,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сопровождающих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осуществляют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специальный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бытовой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уход,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подобное,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увидеть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трудно.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особое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значение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приобретает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мнение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Л.С.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Мамута,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подчеркивает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статей: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«Целесообразно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гражданско-нравственно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положение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вещей,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члены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государственно-организованного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общества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помогают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людям,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объективно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способным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нормально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трудиться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содержать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себя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(постоянно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временно).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Однако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нельзя,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по-моему,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столь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позитивно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оценить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ситуацию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поддержки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тех,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вполне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людьми.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подобная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вообще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место?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Менее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каждого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человека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(независимо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размера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личного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вклада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создаваемый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кооперацией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суммарный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фонд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жизненных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благ)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“право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достойную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жизнь”,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“право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реализацию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“я”»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7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Эти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аргументы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связываем,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числе,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объектом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обязательного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зафиксирован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3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объектом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выступают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имущественные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интересы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работодателя,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хотя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страхователем,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плательщиком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«имущественные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интересы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физических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утратой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физическими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здоровья,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либо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смертью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вследствие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заболевания».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подчеркнем,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носители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имущественных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интересов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участвуют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оплате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взносов.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Проведенный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анализ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проявления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перераспределительной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(рисковой)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соответствии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показывает,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здесь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нарушается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принцип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эквивалентности.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говорят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ведущие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методологи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области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В.Д.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Роик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подчеркивает: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«…страховые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должны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стремиться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эквивалентности,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хотя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достигают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отношению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друг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другу,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(доходу),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исчисляются.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Обычно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коэффициент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замещения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платы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варьирует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диапазоне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50–70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%»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8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касается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сочетания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свойств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исследуемом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приходится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признать,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большую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системы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следует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считать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нестраховым.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Чисто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внешние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признаки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свидетельствуют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процессе,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детали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отношений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между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субъектами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говорят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лишь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видимость,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называемая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«страховая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оболочка»,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имеющая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содержание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несколько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слоев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похожей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матрешку.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представляется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совершенно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справедливым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утверждение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принципиальным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недостаткам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отечественной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системы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защиты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следует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отнести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зачастую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отсутствует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реальное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разделение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институтов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помощи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государственного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9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Попутно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отметим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западных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странах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вопрос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решен,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причем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традиционном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коммерческом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отрасли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личного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жизни,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страхователям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Германии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предлагается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целый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продуктовый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ряд,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способный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финансовую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поддержку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утраты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«Добровольное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нетрудоспособности»,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ренты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уходу».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Причем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существуют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основные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дополнительные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трудоспособности.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рамках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пенсии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предлагается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«Добровольное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ренты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оставшихся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членов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семьи»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10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некоторых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существует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возможность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освобождения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обязательного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путем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заключения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договоров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добровольного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включают,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числе,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«Добровольное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случаев»,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«Страхование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потребности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уходе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результате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болезни,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инвалидности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старости»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11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отечественном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рынке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многие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страховщики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лицензию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добровольному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медицинскому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(ДМС).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рамках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ДМС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можно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дополнительного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лекарственного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непредвиденного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необходимости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реабилитационных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мероприятий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стационаре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амбулаторного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весьма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дороги.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средняя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величина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тарифов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может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колебаться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13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56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%.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30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50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тыс.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может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составлять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4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28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тыс.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Страховщики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продаже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продуктов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используют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рассрочку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платежа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пролонгированный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срок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действия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договоров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введение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тарифов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невозможно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из-за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того,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средняя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заработная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плата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работников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народном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хозяйстве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практически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отраслей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позволила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вносить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высокие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взносы.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Еще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важной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характеристикой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превентивная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закона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№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125-ФЗ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заявлена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основных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задач,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сформулированных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следующим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образом: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«Обеспечение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предупредительных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сокращению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травматизма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заболеваний».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Превентивная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основном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реализуется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отдельных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категорий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предотвращению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травматизма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профзаболеваемости.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2006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выделил,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обучающие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организации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освоили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около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млрд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руб.,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позволило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провести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свыше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1,8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млн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наших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сограждан»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12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направлении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прямо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наступлением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формами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лишь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обеспечивают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профилактику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риска.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Наши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исследования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показывают,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некоторые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авторы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ошибочно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относят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превентивную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инвестиционным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процессам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системе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Карпенко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статей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прямо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указывает,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профилактику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травматизма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«обладают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отчетливо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выраженными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инвестиционными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чертами»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13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мнению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автора,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аргументами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пользу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вывода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служит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подобные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«наиболее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экономически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перспективны».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Однако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полагаем,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указанных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рассуждениях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отсутствуют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конкретные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том,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категория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затрат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может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приносить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реальный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инвестиционный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доход.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Инвестиционными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несчастных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случаев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могут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быть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расходы,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связанные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размещением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свободных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средств.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Именно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указываются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доходной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бюджета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ФСС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РФ.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проведение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никакого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инвестиционного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дохода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приносят.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Они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лишь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способствуют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более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ответственному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поведению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застрахованных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лиц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страхователей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своих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рабочих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местах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сознательному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использованию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знаний,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направленных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безопасность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процессов.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Организация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финансовых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потоков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реализации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превентивной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регулируется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ежегодными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Правилами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финансирования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предупредительных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сокращению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травматизма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заболеваний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работников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санаторно-курортного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работников,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занятых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работах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вредными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(или)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опасными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производственными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факторами,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утверждаемыми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Минздравсоцразвития.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соответствии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ними,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например,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2007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работодатели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могли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использовать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меры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профилактики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более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%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сумм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взносов,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начисленных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2006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г.,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за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вычетом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расходов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выплату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указанному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Наши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наблюдения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показывают,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документ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более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интересует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работодателя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обеспечения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работников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предприятия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соответствующим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санаторно-курортным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лечением.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Вопросы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профилактики,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правило,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отходят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второй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план.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вывод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подтверждается,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справочными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данными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некоторых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научных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статей,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которых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подчеркивается,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реализация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превентивной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рамках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изучаемого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вида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носит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весьма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весьма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формальный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характер.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этом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говорят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данные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контингенте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обучаемого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персонала.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Около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70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%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некоторых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регионах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–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90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%)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обученных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включены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первые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класса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риска,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время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как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последние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10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классов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(наиболее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травмоопасные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производства)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представлены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всего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15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%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слушателей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курсов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профилактике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производственного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травматизма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Style w:val="a8"/>
          <w:rFonts w:ascii="Times New Roman" w:hAnsi="Times New Roman"/>
          <w:kern w:val="2"/>
          <w:sz w:val="28"/>
          <w:szCs w:val="28"/>
        </w:rPr>
        <w:footnoteReference w:id="14"/>
      </w:r>
      <w:r w:rsidRPr="00AC7CFF">
        <w:rPr>
          <w:rFonts w:ascii="Times New Roman" w:hAnsi="Times New Roman"/>
          <w:kern w:val="2"/>
          <w:sz w:val="28"/>
          <w:szCs w:val="28"/>
        </w:rPr>
        <w:t>.</w:t>
      </w:r>
    </w:p>
    <w:p w:rsidR="009A5F82" w:rsidRPr="00AC7CFF" w:rsidRDefault="009A5F82" w:rsidP="00AC7CFF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7CFF">
        <w:rPr>
          <w:rFonts w:ascii="Times New Roman" w:hAnsi="Times New Roman"/>
          <w:kern w:val="2"/>
          <w:sz w:val="28"/>
          <w:szCs w:val="28"/>
        </w:rPr>
        <w:t>Одной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проблем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реализации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превентивной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функции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является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нехватка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обучающих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центров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недостаточно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высокая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квалификация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работников.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Волгоградской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области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эта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проблема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также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существует.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ее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решении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принят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подход,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когда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поддержку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получают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сильные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центры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обучения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охране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труда.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частности,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Волгоградским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региональным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отделением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Фонда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социального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страхования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рекомендуется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работа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пяти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таких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обучающих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организаций: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Учебно-методического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центра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Облсовпрофа,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ГУОУ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«Волгоградский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государственный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учебно-курсовой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комбинат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администрации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Волгоградской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области»,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Учебного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пункта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ООО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«Учебный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центр»,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НОУ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«Учебный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центр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“Политпроф”»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и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НП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«Автотранспортный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союз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Волгоградской</w:t>
      </w:r>
      <w:r w:rsidR="00AC7C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C7CFF">
        <w:rPr>
          <w:rFonts w:ascii="Times New Roman" w:hAnsi="Times New Roman"/>
          <w:kern w:val="2"/>
          <w:sz w:val="28"/>
          <w:szCs w:val="28"/>
        </w:rPr>
        <w:t>области».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C7CFF">
        <w:rPr>
          <w:rFonts w:ascii="Times New Roman" w:hAnsi="Times New Roman"/>
          <w:b/>
          <w:caps/>
          <w:sz w:val="28"/>
          <w:szCs w:val="28"/>
        </w:rPr>
        <w:t>2.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Методические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принципы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формирования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страховых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тарифов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в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социальном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страховании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от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несчастных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случаев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на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производстве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и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профессиональных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заболеваний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и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их</w:t>
      </w:r>
      <w:r w:rsidR="00AC7CFF" w:rsidRPr="00AC7CF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C7CFF">
        <w:rPr>
          <w:rFonts w:ascii="Times New Roman" w:hAnsi="Times New Roman"/>
          <w:b/>
          <w:caps/>
          <w:sz w:val="28"/>
          <w:szCs w:val="28"/>
        </w:rPr>
        <w:t>особенности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любой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технологии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большое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значение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помощи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премия,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платой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приобретаемый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продукт.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Средства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перераспределяются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системе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ФСС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таким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образом,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начинает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выступать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донором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всей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системы.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свидетельствует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действующая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позволяет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накапливать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суммы,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избыточные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выполнения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системой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ФСС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обязательств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перед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страхователями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застрахованными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лицами.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Поэтому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встает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задача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исследования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проводятся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самого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исследование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должно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ответить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вопросы,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насколько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корректны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применяемые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(или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соответствуют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положениям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теории?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Рабочая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гипотеза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состоит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применяемые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недостаточно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корректны.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подтверждения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необходимо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обратиться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практике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выявить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специфические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аспекты,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отличают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методику,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применяемую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рисковом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используются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методики,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рекомендуются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надзорным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органом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качестве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базовых.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страховщиков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обязательными,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практика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показывает,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именно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используют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этапе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получения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лицензии,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своей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дальнейшей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практической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работе.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Кроме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существуют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методики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построения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накопительного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однако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оставляем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без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внимания,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поскольку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относится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рисковому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страхованию.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нашего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исследования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принципиально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важными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методическими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аспектами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следующие.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1.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Состав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строение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2.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лежащий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структурных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элементов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тарифа.</w:t>
      </w:r>
    </w:p>
    <w:p w:rsidR="009A5F82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следующее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строение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(см.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3).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Нетто-ставка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рисковая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часть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используется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формирования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резервов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может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состоять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нескольких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частей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зависимости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обязательств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страховщика,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зафиксированных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договоре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Нетто-ставка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зависит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вероятности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наступления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случая.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может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изменяться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страховщиком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произвольно.</w:t>
      </w:r>
    </w:p>
    <w:p w:rsidR="00AC7CFF" w:rsidRP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9A5F82" w:rsidRPr="00AC7CFF" w:rsidTr="001B2029"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тариф-брутто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A5F82" w:rsidRPr="00AC7CFF" w:rsidRDefault="003B1A74" w:rsidP="00AC7CF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_x0000_s1037" style="position:absolute;left:0;text-align:left;z-index:251663872;mso-position-horizontal-relative:text;mso-position-vertical-relative:text" from="233.75pt,-.1pt" to="374pt,8.9pt">
            <v:stroke endarrow="block"/>
          </v:line>
        </w:pict>
      </w:r>
      <w:r>
        <w:rPr>
          <w:noProof/>
          <w:lang w:eastAsia="ru-RU"/>
        </w:rPr>
        <w:pict>
          <v:line id="_x0000_s1038" style="position:absolute;left:0;text-align:left;flip:x;z-index:251662848;mso-position-horizontal-relative:text;mso-position-vertical-relative:text" from="130.9pt,-.1pt" to="233.75pt,8.9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9A5F82" w:rsidRPr="00AC7CFF" w:rsidTr="001B2029">
        <w:tc>
          <w:tcPr>
            <w:tcW w:w="319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Нетто-ставка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A5F82" w:rsidRPr="00AC7CFF" w:rsidRDefault="003B1A74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39" style="position:absolute;left:0;text-align:left;flip:x;z-index:251658752;mso-position-horizontal-relative:text;mso-position-vertical-relative:text" from="27.55pt,12.6pt" to="223.9pt,39.6pt">
                  <v:stroke endarrow="block"/>
                </v:line>
              </w:pict>
            </w:r>
          </w:p>
        </w:tc>
        <w:tc>
          <w:tcPr>
            <w:tcW w:w="3191" w:type="dxa"/>
          </w:tcPr>
          <w:p w:rsidR="009A5F82" w:rsidRPr="00AC7CFF" w:rsidRDefault="003B1A74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40" style="position:absolute;left:0;text-align:left;z-index:251660800;mso-position-horizontal-relative:text;mso-position-vertical-relative:text" from="64.4pt,12.6pt" to="120.5pt,39.6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41" style="position:absolute;left:0;text-align:left;flip:x;z-index:251659776;mso-position-horizontal-relative:text;mso-position-vertical-relative:text" from="-1.05pt,12.6pt" to="64.4pt,39.6pt">
                  <v:stroke endarrow="block"/>
                </v:line>
              </w:pict>
            </w:r>
            <w:r w:rsidR="009A5F82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Нагрузка</w:t>
            </w:r>
          </w:p>
        </w:tc>
      </w:tr>
    </w:tbl>
    <w:p w:rsidR="009A5F82" w:rsidRPr="00AC7CFF" w:rsidRDefault="003B1A74" w:rsidP="00AC7CF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line id="_x0000_s1042" style="position:absolute;left:0;text-align:left;z-index:251661824;mso-position-horizontal-relative:text;mso-position-vertical-relative:text" from="65.45pt,2.25pt" to="65.45pt,29.25pt">
            <v:stroke endarrow="block"/>
          </v:line>
        </w:pict>
      </w:r>
    </w:p>
    <w:p w:rsidR="009A5F82" w:rsidRPr="00AC7CFF" w:rsidRDefault="009A5F82" w:rsidP="00AC7CF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1181"/>
        <w:gridCol w:w="1293"/>
        <w:gridCol w:w="435"/>
        <w:gridCol w:w="1927"/>
        <w:gridCol w:w="1215"/>
        <w:gridCol w:w="1319"/>
      </w:tblGrid>
      <w:tr w:rsidR="009A5F82" w:rsidRPr="00AC7CFF" w:rsidTr="001B2029">
        <w:tc>
          <w:tcPr>
            <w:tcW w:w="2327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Формируется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обеспечения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обязательств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страховым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выплатам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ведение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Резерв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предупредительных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</w:tr>
    </w:tbl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AC7CFF">
        <w:rPr>
          <w:rFonts w:ascii="Times New Roman" w:hAnsi="Times New Roman"/>
          <w:sz w:val="28"/>
          <w:szCs w:val="26"/>
        </w:rPr>
        <w:t>Рис.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3.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Состав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страхового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тарифа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Чем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выше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больше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будет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тариф-нетто.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Нетто-ставка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обычно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следующим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образом: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Тн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=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Р(А)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×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×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100,</w:t>
      </w:r>
    </w:p>
    <w:p w:rsidR="00AC7CFF" w:rsidRDefault="00AC7CFF" w:rsidP="00AC7CFF">
      <w:pPr>
        <w:keepNext/>
        <w:widowControl w:val="0"/>
        <w:tabs>
          <w:tab w:val="left" w:pos="1122"/>
          <w:tab w:val="left" w:pos="1496"/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tabs>
          <w:tab w:val="left" w:pos="1122"/>
          <w:tab w:val="left" w:pos="1496"/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где</w:t>
      </w:r>
      <w:r w:rsidRPr="00AC7CFF">
        <w:rPr>
          <w:rFonts w:ascii="Times New Roman" w:hAnsi="Times New Roman"/>
          <w:sz w:val="28"/>
          <w:szCs w:val="28"/>
        </w:rPr>
        <w:tab/>
        <w:t>А</w:t>
      </w:r>
      <w:r w:rsidRPr="00AC7CFF">
        <w:rPr>
          <w:rFonts w:ascii="Times New Roman" w:hAnsi="Times New Roman"/>
          <w:sz w:val="28"/>
          <w:szCs w:val="28"/>
        </w:rPr>
        <w:tab/>
        <w:t>–</w:t>
      </w:r>
      <w:r w:rsidRPr="00AC7CFF">
        <w:rPr>
          <w:rFonts w:ascii="Times New Roman" w:hAnsi="Times New Roman"/>
          <w:sz w:val="28"/>
          <w:szCs w:val="28"/>
        </w:rPr>
        <w:tab/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случай;</w:t>
      </w:r>
    </w:p>
    <w:p w:rsidR="009A5F82" w:rsidRPr="00AC7CFF" w:rsidRDefault="009A5F82" w:rsidP="00AC7CFF">
      <w:pPr>
        <w:keepNext/>
        <w:widowControl w:val="0"/>
        <w:tabs>
          <w:tab w:val="left" w:pos="748"/>
          <w:tab w:val="left" w:pos="1496"/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Р(А)</w:t>
      </w:r>
      <w:r w:rsidRPr="00AC7CFF">
        <w:rPr>
          <w:rFonts w:ascii="Times New Roman" w:hAnsi="Times New Roman"/>
          <w:sz w:val="28"/>
          <w:szCs w:val="28"/>
        </w:rPr>
        <w:tab/>
        <w:t>–</w:t>
      </w:r>
      <w:r w:rsidRPr="00AC7CFF">
        <w:rPr>
          <w:rFonts w:ascii="Times New Roman" w:hAnsi="Times New Roman"/>
          <w:sz w:val="28"/>
          <w:szCs w:val="28"/>
        </w:rPr>
        <w:tab/>
        <w:t>вероятность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случая;</w:t>
      </w:r>
    </w:p>
    <w:p w:rsidR="009A5F82" w:rsidRPr="00AC7CFF" w:rsidRDefault="009A5F82" w:rsidP="00AC7CFF">
      <w:pPr>
        <w:keepNext/>
        <w:widowControl w:val="0"/>
        <w:tabs>
          <w:tab w:val="left" w:pos="935"/>
          <w:tab w:val="left" w:pos="1496"/>
          <w:tab w:val="left" w:pos="18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К</w:t>
      </w:r>
      <w:r w:rsidRPr="00AC7CFF">
        <w:rPr>
          <w:rFonts w:ascii="Times New Roman" w:hAnsi="Times New Roman"/>
          <w:sz w:val="28"/>
          <w:szCs w:val="28"/>
        </w:rPr>
        <w:tab/>
        <w:t>–</w:t>
      </w:r>
      <w:r w:rsidRPr="00AC7CFF">
        <w:rPr>
          <w:rFonts w:ascii="Times New Roman" w:hAnsi="Times New Roman"/>
          <w:sz w:val="28"/>
          <w:szCs w:val="28"/>
        </w:rPr>
        <w:tab/>
        <w:t>коэффициент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отношения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средней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средней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один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договор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(убыточность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суммы).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вероятности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страховщики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используют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статистику: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например,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аварий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дорогах,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пожаров,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Однако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принципиально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важной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гомогенность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исследуемых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совокупностей.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Группы,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определяется,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должны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однородными.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Поэтому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неслучайно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отдельно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детей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взрослых.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причине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существуют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два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автономных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детей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взрослых.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гомогенности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ключевым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может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нарушаться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обстоятельствах.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Другим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важным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эквивалентности,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выражаемый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формулой: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ΣСП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=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ΣСВ,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где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ΣСП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платежи;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ΣСВ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выплаты.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Нагрузка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ценовая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часть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может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изменяться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целью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снижения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самого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большое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значение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условиях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конкуренции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рынке.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Если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продукт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пользуется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спросом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рынке,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величина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нагрузки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может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увеличиваться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счет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включения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прибыли.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наконец,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еще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один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важен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замкнутости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раскладке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ущерба.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Замкнутая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раскладка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ущерба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основана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вероятности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того,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пострадавших,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правило,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меньше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участников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особенно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если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участников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велико.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ориентируются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фонды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будут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расходоваться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только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компенсацию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ущербов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страхователей,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лиц,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уплачивающих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взносы.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общем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относится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сфере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математиков-актуариев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специалистов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области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финансовой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математики.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проводится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дисциплин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самостоятельным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научным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направлением.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Проведенный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анализ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показывает,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принципиально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отличаются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описанных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выше.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соответствии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3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№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125-ФЗ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ставка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начисленной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труда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всем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основаниям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(дохода)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застрахованных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лиц.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Ставки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установлены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Федеральным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декабря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2005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№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179-ФЗ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«О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обязательное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2006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г.»</w:t>
      </w:r>
      <w:r w:rsidRPr="00AC7CFF">
        <w:rPr>
          <w:rStyle w:val="a8"/>
          <w:rFonts w:ascii="Times New Roman" w:hAnsi="Times New Roman"/>
          <w:sz w:val="28"/>
          <w:szCs w:val="28"/>
        </w:rPr>
        <w:footnoteReference w:id="15"/>
      </w:r>
      <w:r w:rsidRPr="00AC7CFF">
        <w:rPr>
          <w:rFonts w:ascii="Times New Roman" w:hAnsi="Times New Roman"/>
          <w:sz w:val="28"/>
          <w:szCs w:val="28"/>
        </w:rPr>
        <w:t>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2007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остаются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неизменными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продолжают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действовать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размерах,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установлены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указанным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выше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законом.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№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179-ФЗ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выделено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32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каждому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присвоен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(см.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табл.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1).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Классификация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утверждена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</w:t>
      </w:r>
      <w:r w:rsidRPr="00AC7CFF">
        <w:rPr>
          <w:rFonts w:ascii="Times New Roman" w:hAnsi="Times New Roman"/>
          <w:bCs/>
          <w:sz w:val="28"/>
          <w:szCs w:val="28"/>
        </w:rPr>
        <w:t>риказом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Министерства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здравоохранения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социального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развития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РФ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от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10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января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2006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г.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№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8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«Об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утверждении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Классификации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видов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экономической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деятельности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по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классам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риска»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(с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изменениями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от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3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апреля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2006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г.)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Style w:val="a8"/>
          <w:rFonts w:ascii="Times New Roman" w:hAnsi="Times New Roman"/>
          <w:bCs/>
          <w:sz w:val="28"/>
          <w:szCs w:val="28"/>
        </w:rPr>
        <w:footnoteReference w:id="16"/>
      </w:r>
      <w:r w:rsidRPr="00AC7CFF">
        <w:rPr>
          <w:rFonts w:ascii="Times New Roman" w:hAnsi="Times New Roman"/>
          <w:bCs/>
          <w:sz w:val="28"/>
          <w:szCs w:val="28"/>
        </w:rPr>
        <w:t>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документе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выделено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600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введения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действовала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другая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тарифная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система.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включала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себя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только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распределены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отраслям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подотраслям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экономики.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после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введения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системы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2006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стали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низкий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Законом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№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179-ФЗ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установлено,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категории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уплачивают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60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величины.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категориям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относятся: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1.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Организации,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начисляют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доход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1-й,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2-й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3-й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групп.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2.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Работодатели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организациях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также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организациях,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где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представители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составляют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менее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80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3.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Работодатели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организаций,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уставный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капитал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полностью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состоит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вкладов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общественных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организаций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среднесписочная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численность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составляет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менее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50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заработной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фонде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труда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составляет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менее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25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4.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Работодатели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учреждений,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созданы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достижения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образовательных,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физкультурно-спортивных,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научных,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информационных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целей,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также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оказания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правовой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помощи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инвалидам,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детям-инвалидам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родителям,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единственными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собственниками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общественные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организации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инвалидов.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Таблица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Класс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931"/>
        <w:gridCol w:w="2778"/>
        <w:gridCol w:w="930"/>
        <w:gridCol w:w="931"/>
        <w:gridCol w:w="2961"/>
      </w:tblGrid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риска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общем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объеме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Класс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риска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общем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объеме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A5F82" w:rsidRPr="00AC7CFF" w:rsidTr="001B2029"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80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299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таблицы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хорошо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видно,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ниже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большее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включает.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Если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провести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ранжирование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зависимости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количества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получим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следующее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распределение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(см.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табл.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2).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Таблица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Зависимость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862"/>
      </w:tblGrid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Размер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страхового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тарифа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Доля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видов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общем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объеме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75,3</w:t>
            </w:r>
          </w:p>
        </w:tc>
      </w:tr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3,1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7,4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A5F82" w:rsidRPr="00AC7CFF" w:rsidTr="001B2029"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8,1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862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</w:tbl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Самой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обширной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группой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(свыше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700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разновидностей)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группа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1-го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установлен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0,2.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Сюда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относятся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такие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издательская;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оптовая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торговля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через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агентов;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пансионатов,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домов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отдыха,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пионерских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лагерей;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ресторанов,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баров,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кафе;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транспортирование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по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трубопроводам;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деятельность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туристических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агентств;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страхование;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все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виды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образовательной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деятельности;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деятельность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судов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органов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власти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на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всех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уровнях;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медицинская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деятельность;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деятельность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области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спорта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т.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д.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Удельный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вес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видов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экономической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деятельности,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включенных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1-й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класс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риска,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составляет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45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%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всех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видов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экономической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деятельности.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C7CFF">
        <w:rPr>
          <w:rFonts w:ascii="Times New Roman" w:hAnsi="Times New Roman"/>
          <w:noProof/>
          <w:sz w:val="28"/>
          <w:szCs w:val="28"/>
        </w:rPr>
        <w:t>Класс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риска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29-й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включает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только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один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вид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–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добычу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обогащение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медной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руды.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Для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него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установлен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тариф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размере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6,7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%.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Самый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высокий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тариф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–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8,5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%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включает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такие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виды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деятельности,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как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охота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разведение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диких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животных,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включая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предоставление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услуг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этих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областях;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добыча,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обогащение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агломерация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каменного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угля;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добыча,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обогащение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агломерация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бурого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угля,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добыча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руд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цветных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металлов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–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никелевой,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кобальтовой,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свинцово-цинковой,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оловянной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(кроме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урановой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ториевой);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добыча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обогащение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титаномагниевого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сырья,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вольфраммолибденовой,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сурьмяно-ртутных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и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прочих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руд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цветных</w:t>
      </w:r>
      <w:r w:rsidR="00AC7CFF">
        <w:rPr>
          <w:rFonts w:ascii="Times New Roman" w:hAnsi="Times New Roman"/>
          <w:noProof/>
          <w:sz w:val="28"/>
          <w:szCs w:val="28"/>
        </w:rPr>
        <w:t xml:space="preserve"> </w:t>
      </w:r>
      <w:r w:rsidRPr="00AC7CFF">
        <w:rPr>
          <w:rFonts w:ascii="Times New Roman" w:hAnsi="Times New Roman"/>
          <w:noProof/>
          <w:sz w:val="28"/>
          <w:szCs w:val="28"/>
        </w:rPr>
        <w:t>металлов.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Класс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соответствии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Правилами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отнесения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видов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экономической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деятельности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к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классу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риска,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утвержденными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Постановлением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Правительства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РФ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от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1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декабря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2005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г.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№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713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Style w:val="a8"/>
          <w:rFonts w:ascii="Times New Roman" w:hAnsi="Times New Roman"/>
          <w:bCs/>
          <w:sz w:val="28"/>
          <w:szCs w:val="28"/>
        </w:rPr>
        <w:footnoteReference w:id="17"/>
      </w:r>
      <w:r w:rsidRPr="00AC7CFF">
        <w:rPr>
          <w:rFonts w:ascii="Times New Roman" w:hAnsi="Times New Roman"/>
          <w:bCs/>
          <w:sz w:val="28"/>
          <w:szCs w:val="28"/>
        </w:rPr>
        <w:t>.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В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этом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bCs/>
          <w:sz w:val="28"/>
          <w:szCs w:val="28"/>
        </w:rPr>
        <w:t>документе</w:t>
      </w:r>
      <w:r w:rsidR="00AC7CFF">
        <w:rPr>
          <w:rFonts w:ascii="Times New Roman" w:hAnsi="Times New Roman"/>
          <w:bCs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исходят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величины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интегрального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показателя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учитывающего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уровень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производственного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травматизма,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заболеваемости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расходов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обеспечение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страхованию,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сложившийся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страхователей.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Интегральный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показатель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формуле: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3B1A74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pt">
            <v:imagedata r:id="rId7" o:title=""/>
          </v:shape>
        </w:pict>
      </w:r>
      <w:r w:rsidR="009A5F82" w:rsidRPr="00AC7CFF">
        <w:rPr>
          <w:rFonts w:ascii="Times New Roman" w:hAnsi="Times New Roman"/>
          <w:sz w:val="28"/>
          <w:szCs w:val="28"/>
        </w:rPr>
        <w:t>,</w:t>
      </w:r>
    </w:p>
    <w:p w:rsidR="00AC7CFF" w:rsidRDefault="00AC7CFF" w:rsidP="00AC7CFF">
      <w:pPr>
        <w:keepNext/>
        <w:widowControl w:val="0"/>
        <w:tabs>
          <w:tab w:val="left" w:pos="1683"/>
          <w:tab w:val="left" w:pos="2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tabs>
          <w:tab w:val="left" w:pos="1683"/>
          <w:tab w:val="left" w:pos="2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где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Ип</w:t>
      </w:r>
      <w:r w:rsidRPr="00AC7CFF">
        <w:rPr>
          <w:rFonts w:ascii="Times New Roman" w:hAnsi="Times New Roman"/>
          <w:sz w:val="28"/>
          <w:szCs w:val="28"/>
        </w:rPr>
        <w:tab/>
        <w:t>–</w:t>
      </w:r>
      <w:r w:rsidRPr="00AC7CFF">
        <w:rPr>
          <w:rFonts w:ascii="Times New Roman" w:hAnsi="Times New Roman"/>
          <w:sz w:val="28"/>
          <w:szCs w:val="28"/>
        </w:rPr>
        <w:tab/>
        <w:t>интегральный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показатель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выраженный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процентах;</w:t>
      </w:r>
    </w:p>
    <w:p w:rsidR="009A5F82" w:rsidRPr="00AC7CFF" w:rsidRDefault="009A5F82" w:rsidP="00AC7CFF">
      <w:pPr>
        <w:keepNext/>
        <w:widowControl w:val="0"/>
        <w:tabs>
          <w:tab w:val="left" w:pos="1683"/>
          <w:tab w:val="left" w:pos="2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Евв</w:t>
      </w:r>
      <w:r w:rsidRPr="00AC7CFF">
        <w:rPr>
          <w:rFonts w:ascii="Times New Roman" w:hAnsi="Times New Roman"/>
          <w:sz w:val="28"/>
          <w:szCs w:val="28"/>
        </w:rPr>
        <w:tab/>
        <w:t>–</w:t>
      </w:r>
      <w:r w:rsidRPr="00AC7CFF">
        <w:rPr>
          <w:rFonts w:ascii="Times New Roman" w:hAnsi="Times New Roman"/>
          <w:sz w:val="28"/>
          <w:szCs w:val="28"/>
        </w:rPr>
        <w:tab/>
        <w:t>общая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расходов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обеспечение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истекшем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календарном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году;</w:t>
      </w:r>
    </w:p>
    <w:p w:rsidR="009A5F82" w:rsidRPr="00AC7CFF" w:rsidRDefault="009A5F82" w:rsidP="00AC7CFF">
      <w:pPr>
        <w:keepNext/>
        <w:widowControl w:val="0"/>
        <w:tabs>
          <w:tab w:val="left" w:pos="1683"/>
          <w:tab w:val="left" w:pos="205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Ефот</w:t>
      </w:r>
      <w:r w:rsidRPr="00AC7CFF">
        <w:rPr>
          <w:rFonts w:ascii="Times New Roman" w:hAnsi="Times New Roman"/>
          <w:sz w:val="28"/>
          <w:szCs w:val="28"/>
        </w:rPr>
        <w:tab/>
        <w:t>–</w:t>
      </w:r>
      <w:r w:rsidRPr="00AC7CFF">
        <w:rPr>
          <w:rFonts w:ascii="Times New Roman" w:hAnsi="Times New Roman"/>
          <w:sz w:val="28"/>
          <w:szCs w:val="28"/>
        </w:rPr>
        <w:tab/>
        <w:t>размер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фонда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труда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начислены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обязательное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истекшем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календарном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году.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изменении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величины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интегрального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показателя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Министерство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здравоохранения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развития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Российской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Федерации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представлению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Фонда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Российской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Федерации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принимает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решение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отнесении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другому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классу.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отнесении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другому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Изменение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течение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текущего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влечет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установленного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отношении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такого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страхователя.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поводу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возмещения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настоящее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время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некоторые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противоречия.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области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специалисты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по-разному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свою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позицию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относительно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эквивалентности.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добавить,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курсах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эквивалентности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относится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исключительно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индивидуальному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основе.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«индивидуальное»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антоним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поскольку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могут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коллективные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защиты,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которые,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менее,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относятся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страхованию.)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утверждается,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вместо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действуют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солидарности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субсидарности.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солидарности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распределения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финансовых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средств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качестве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помощи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только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зависимости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нуждаемости,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без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уплачиваемых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гражданами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налогов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(например,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фиксированные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пособия).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субсидарности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распределения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финансовых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средств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качестве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помощи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зависимости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нуждаемости,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учетом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того,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выплат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страхователями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страховщиками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самостоятельно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устанавливаются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границы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доходов,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страхователи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платить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взносы.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Сравнение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двух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показывает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следующее.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1.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расчете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тарифов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производстве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определяется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вероятность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наступления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случая.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есть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важнейший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принцип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связи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вероятностным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движением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денежной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формы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стоимости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расчетах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отсутствует,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что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делает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саму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методику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расчета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нестраховой.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3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закона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№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125-ФЗ,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содержит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определения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основных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понятий,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используемых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нем,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термин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«вероятность»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встречается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лишь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один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раз,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когда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определение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профессионального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риска: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«Профессиональный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–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вероятность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повреждения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(утраты)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здоровья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или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застрахованного,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связанная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исполнением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обязанностей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трудовому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договору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(контракту)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иных…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случаях».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Между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законе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№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165-ФЗ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существует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норма,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соответствии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«дифференциация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тарифов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взносов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обязательное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осуществляется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учетом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вероятности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наступления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рисков,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также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возможностей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исполнения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обязательств»</w:t>
      </w:r>
      <w:r w:rsidRPr="00AC7CFF">
        <w:rPr>
          <w:rStyle w:val="a8"/>
          <w:sz w:val="28"/>
          <w:szCs w:val="28"/>
        </w:rPr>
        <w:footnoteReference w:id="18"/>
      </w:r>
      <w:r w:rsidRPr="00AC7CFF">
        <w:rPr>
          <w:sz w:val="28"/>
          <w:szCs w:val="28"/>
        </w:rPr>
        <w:t>.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2.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производстве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имеет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своем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составе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ценовых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частей.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монолитен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неделим.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выделяется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часть,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использовалась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формирование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необходимых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резервов,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говоря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уже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том,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что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имеет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своем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составе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рисковой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надбавки,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помощи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можно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нивелировать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размер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резервов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резком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колебании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убыточности.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структуре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выделяются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расходы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ведение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дела,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предупредительные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мероприятия,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хотя,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показывает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практика,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ежегодно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цели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планируются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немалые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суммы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составе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бюджета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ФСС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РФ.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3.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Гомогенность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групп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совокупности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формируется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постфактум,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предшествует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введения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Хотя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только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мировая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практика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систем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большинства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стран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показывает,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отнесение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отрасли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экономики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осуществляется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показателям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истекшего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календарного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предшествующего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периода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шести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лет).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Кроме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указанных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отличий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необходимо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отметить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еще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одно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способ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применения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определении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умножается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страховую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сумму.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здесь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выступает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качестве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обязательств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страховщика,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выше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возмещение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может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быть.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установленный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умножается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величину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начисленной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труда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всем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основаниям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(дохода)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застрахованных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лиц.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понятие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«страховая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сумма»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ограничитель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возможных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выплат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отсутствует.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Таким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образом,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выделенные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различия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применении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методик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показывают,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положения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теории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примере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конкретной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технологии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учитываются.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здесь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имеются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принципиальные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несовпадения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расчетов.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методы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лишь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формальное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названию)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отношение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исследовании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зависимости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проводился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анализ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наличия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перераспределительных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процессов,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показал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следующее.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Несмотря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большую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численность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работающих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небольших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0,2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1,0)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отраслях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низким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уровнем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травматизма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  <w:lang w:val="en-US"/>
        </w:rPr>
        <w:t>I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  <w:lang w:val="en-US"/>
        </w:rPr>
        <w:t>IX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счет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обеспечивается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приток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средств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резервные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фонды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ФСС.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Хотя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отраслях,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относящихся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этим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сосредоточена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значительная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часть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занятых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народном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хозяйстве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(примерно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42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общего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трудозанятого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населения),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уровень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заработной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платы,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которая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является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базой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весьма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невысок.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колеблется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5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905,6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руб.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здравоохранении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(6,8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занятых)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463,5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руб.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финансовой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(1,3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занятых).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Занятые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небюджетными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также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имеют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весьма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большую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численность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сравнению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занятыми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экономической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деятельностью,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отнесенной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23–32-му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Однако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уровень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заработной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здесь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весьма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высок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23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455,9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руб.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отраслях,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связанных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добычей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топливно-энергетических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ископаемых,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19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397,1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руб.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отраслях,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связанных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кокса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нефтепродуктов,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результате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значительного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перераспределения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поступивших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взносов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между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различными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отраслями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происходит.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Начиная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данному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несколько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кардинально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изменялись.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существовало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всего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14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изменялся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пределах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0,2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10,7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Style w:val="a8"/>
          <w:rFonts w:ascii="Times New Roman" w:hAnsi="Times New Roman"/>
          <w:sz w:val="28"/>
          <w:szCs w:val="28"/>
        </w:rPr>
        <w:footnoteReference w:id="19"/>
      </w:r>
      <w:r w:rsidRPr="00AC7CFF">
        <w:rPr>
          <w:rFonts w:ascii="Times New Roman" w:hAnsi="Times New Roman"/>
          <w:sz w:val="28"/>
          <w:szCs w:val="28"/>
        </w:rPr>
        <w:t>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2001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746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подотраслей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экономики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распределялись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соответственно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выделено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единицы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утверждены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2001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Федеральным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февраля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2001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№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17-ФЗ.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Действие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указанного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федерального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было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продлено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2002–2005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годы.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время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изменялись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0,2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8,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5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%.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2006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2007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количество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уже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указывали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выше,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увеличилось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сравнению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предыдущими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10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единиц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составило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32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класса.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Проектом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Федерального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закона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«О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обязательное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социальное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заболеваний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2008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период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2010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г.»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устанавливается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сохранение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действующей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системы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2010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года.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Для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чтобы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определить,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мало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выделяется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ФСС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РФ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риска,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следует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обратиться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мировой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практике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осуществления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страхования.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показывает,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например,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Германии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насчитывается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около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600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классов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рисков,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Италии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300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Style w:val="a8"/>
          <w:rFonts w:ascii="Times New Roman" w:hAnsi="Times New Roman"/>
          <w:sz w:val="28"/>
          <w:szCs w:val="28"/>
        </w:rPr>
        <w:footnoteReference w:id="20"/>
      </w:r>
      <w:r w:rsidRPr="00AC7CFF">
        <w:rPr>
          <w:rFonts w:ascii="Times New Roman" w:hAnsi="Times New Roman"/>
          <w:sz w:val="28"/>
          <w:szCs w:val="28"/>
        </w:rPr>
        <w:t>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этом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особо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подчеркнем,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что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государствах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отсутствуют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виды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деятельности,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связанные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добычей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обогащением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руд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цветных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металлов.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Основываясь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результатах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анализа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поэлементного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состава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тарифов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мы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предприняли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попытку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построить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схему,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аналогично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тому,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строится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(см.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рис.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4).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коммерческом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каждая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выделенных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нами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нетто-ставок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основывается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расчете:</w:t>
      </w:r>
    </w:p>
    <w:p w:rsidR="009A5F82" w:rsidRPr="00AC7CFF" w:rsidRDefault="009A5F82" w:rsidP="00AC7CFF">
      <w:pPr>
        <w:keepNext/>
        <w:widowControl w:val="0"/>
        <w:numPr>
          <w:ilvl w:val="0"/>
          <w:numId w:val="17"/>
        </w:numPr>
        <w:tabs>
          <w:tab w:val="num" w:pos="6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вероятности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наступления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события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(например,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выплаты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единовременных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или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ежемесячных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пособий,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необходимости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профессиональной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реабилитации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п.);</w:t>
      </w:r>
    </w:p>
    <w:p w:rsidR="009A5F82" w:rsidRPr="00AC7CFF" w:rsidRDefault="009A5F82" w:rsidP="00AC7CFF">
      <w:pPr>
        <w:keepNext/>
        <w:widowControl w:val="0"/>
        <w:numPr>
          <w:ilvl w:val="0"/>
          <w:numId w:val="17"/>
        </w:numPr>
        <w:tabs>
          <w:tab w:val="num" w:pos="6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размера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степени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ущерба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каждого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указанных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событий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(например,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среднего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выплачиваемых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ежемесячных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единовременных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пособий,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средств,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направляемых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компенсацию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затрат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временной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нетрудоспособности,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т.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д.).</w:t>
      </w:r>
    </w:p>
    <w:tbl>
      <w:tblPr>
        <w:tblW w:w="897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50"/>
        <w:gridCol w:w="1958"/>
        <w:gridCol w:w="249"/>
        <w:gridCol w:w="2157"/>
        <w:gridCol w:w="310"/>
        <w:gridCol w:w="779"/>
        <w:gridCol w:w="943"/>
      </w:tblGrid>
      <w:tr w:rsidR="009A5F82" w:rsidRPr="00AC7CFF" w:rsidTr="001B2029">
        <w:tc>
          <w:tcPr>
            <w:tcW w:w="6944" w:type="dxa"/>
            <w:gridSpan w:val="5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Нетто-ставка</w:t>
            </w:r>
          </w:p>
        </w:tc>
        <w:tc>
          <w:tcPr>
            <w:tcW w:w="2032" w:type="dxa"/>
            <w:gridSpan w:val="3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Нагрузка</w:t>
            </w:r>
          </w:p>
        </w:tc>
      </w:tr>
      <w:tr w:rsidR="009A5F82" w:rsidRPr="00AC7CFF" w:rsidTr="001B2029">
        <w:tc>
          <w:tcPr>
            <w:tcW w:w="6944" w:type="dxa"/>
            <w:gridSpan w:val="5"/>
            <w:tcBorders>
              <w:left w:val="nil"/>
              <w:bottom w:val="nil"/>
            </w:tcBorders>
          </w:tcPr>
          <w:p w:rsidR="009A5F82" w:rsidRPr="00AC7CFF" w:rsidRDefault="003B1A74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_x0000_s1043" style="position:absolute;left:0;text-align:left;z-index:251664896;mso-position-horizontal-relative:text;mso-position-vertical-relative:text" from="172.1pt,.7pt" to="368.45pt,23.7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44" style="position:absolute;left:0;text-align:left;z-index:251667968;mso-position-horizontal-relative:text;mso-position-vertical-relative:text" from="172.1pt,.7pt" to="274.95pt,23.7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45" style="position:absolute;left:0;text-align:left;flip:x;z-index:251665920;mso-position-horizontal-relative:text;mso-position-vertical-relative:text" from="50.55pt,.7pt" to="172.1pt,23.75pt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_x0000_s1046" style="position:absolute;left:0;text-align:left;z-index:251666944;mso-position-horizontal-relative:text;mso-position-vertical-relative:text" from="172.1pt,.7pt" to="172.1pt,27.7pt">
                  <v:stroke endarrow="block"/>
                </v:line>
              </w:pict>
            </w:r>
          </w:p>
        </w:tc>
        <w:tc>
          <w:tcPr>
            <w:tcW w:w="1089" w:type="dxa"/>
            <w:gridSpan w:val="2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РВД</w:t>
            </w:r>
          </w:p>
        </w:tc>
        <w:tc>
          <w:tcPr>
            <w:tcW w:w="943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РПМ</w:t>
            </w:r>
          </w:p>
        </w:tc>
      </w:tr>
      <w:tr w:rsidR="009A5F82" w:rsidRPr="00AC7CFF" w:rsidTr="001B2029">
        <w:tc>
          <w:tcPr>
            <w:tcW w:w="6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F82" w:rsidRPr="00AC7CFF" w:rsidTr="001B2029">
        <w:tc>
          <w:tcPr>
            <w:tcW w:w="2330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Нетто-ставка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затрат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временной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нетрудоспособности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Нетто-ставка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выплату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ежемесячных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единовременных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пособий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Нетто-ставка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реабилитации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восстановлению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профессиональной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трудоспособности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gridSpan w:val="2"/>
          </w:tcPr>
          <w:p w:rsidR="009A5F82" w:rsidRPr="00AC7CFF" w:rsidRDefault="009A5F82" w:rsidP="00AC7CF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hanging="1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Нетто-ставка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выплату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пособий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иждивенцам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застрахованного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лица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случае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его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смерти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несчастного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случая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или</w:t>
            </w:r>
            <w:r w:rsidR="00AC7CFF"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C7CFF">
              <w:rPr>
                <w:rFonts w:ascii="Times New Roman" w:hAnsi="Times New Roman"/>
                <w:sz w:val="20"/>
                <w:szCs w:val="20"/>
                <w:lang w:eastAsia="ru-RU"/>
              </w:rPr>
              <w:t>профзаболевания</w:t>
            </w:r>
          </w:p>
        </w:tc>
      </w:tr>
    </w:tbl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AC7CFF">
        <w:rPr>
          <w:rFonts w:ascii="Times New Roman" w:hAnsi="Times New Roman"/>
          <w:sz w:val="28"/>
          <w:szCs w:val="26"/>
        </w:rPr>
        <w:t>Рис.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4.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Схема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структуризации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страхового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тарифа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по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обязательному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социальному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страхованию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от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несчастных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случаев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на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производстве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и</w:t>
      </w:r>
      <w:r w:rsidR="00AC7CFF">
        <w:rPr>
          <w:rFonts w:ascii="Times New Roman" w:hAnsi="Times New Roman"/>
          <w:sz w:val="28"/>
          <w:szCs w:val="26"/>
        </w:rPr>
        <w:t xml:space="preserve"> </w:t>
      </w:r>
      <w:r w:rsidRPr="00AC7CFF">
        <w:rPr>
          <w:rFonts w:ascii="Times New Roman" w:hAnsi="Times New Roman"/>
          <w:sz w:val="28"/>
          <w:szCs w:val="26"/>
        </w:rPr>
        <w:t>профзаболеваний</w:t>
      </w: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Вероятность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наступления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какого-либо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из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указанных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событий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</w:t>
      </w:r>
      <w:r w:rsidRPr="00AC7CFF">
        <w:rPr>
          <w:rFonts w:ascii="Times New Roman" w:hAnsi="Times New Roman"/>
          <w:sz w:val="28"/>
          <w:szCs w:val="28"/>
          <w:lang w:val="en-US"/>
        </w:rPr>
        <w:t>q</w:t>
      </w:r>
      <w:r w:rsidRPr="00AC7CFF">
        <w:rPr>
          <w:rFonts w:ascii="Times New Roman" w:hAnsi="Times New Roman"/>
          <w:sz w:val="28"/>
          <w:szCs w:val="28"/>
        </w:rPr>
        <w:t>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рассчитывается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отношение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произошедших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событий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</w:t>
      </w:r>
      <w:r w:rsidRPr="00AC7CFF">
        <w:rPr>
          <w:rFonts w:ascii="Times New Roman" w:hAnsi="Times New Roman"/>
          <w:sz w:val="28"/>
          <w:szCs w:val="28"/>
          <w:lang w:val="en-US"/>
        </w:rPr>
        <w:t>M</w:t>
      </w:r>
      <w:r w:rsidRPr="00AC7CFF">
        <w:rPr>
          <w:rFonts w:ascii="Times New Roman" w:hAnsi="Times New Roman"/>
          <w:sz w:val="28"/>
          <w:szCs w:val="28"/>
        </w:rPr>
        <w:t>)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общему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числу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застрахованных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гомогенной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совокупности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</w:t>
      </w:r>
      <w:r w:rsidRPr="00AC7CFF">
        <w:rPr>
          <w:rFonts w:ascii="Times New Roman" w:hAnsi="Times New Roman"/>
          <w:sz w:val="28"/>
          <w:szCs w:val="28"/>
          <w:lang w:val="en-US"/>
        </w:rPr>
        <w:t>N</w:t>
      </w:r>
      <w:r w:rsidRPr="00AC7CFF">
        <w:rPr>
          <w:rFonts w:ascii="Times New Roman" w:hAnsi="Times New Roman"/>
          <w:sz w:val="28"/>
          <w:szCs w:val="28"/>
        </w:rPr>
        <w:t>):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3B1A74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6.75pt;height:30.75pt">
            <v:imagedata r:id="rId8" o:title=""/>
          </v:shape>
        </w:pict>
      </w:r>
      <w:r w:rsidR="009A5F82" w:rsidRPr="00AC7CFF">
        <w:rPr>
          <w:rFonts w:ascii="Times New Roman" w:hAnsi="Times New Roman"/>
          <w:sz w:val="28"/>
          <w:szCs w:val="28"/>
        </w:rPr>
        <w:t>.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Размер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степени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ущерба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определяется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как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средств,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направляемая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компенсацию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затрат,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связанных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страхованием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от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несчастных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производстве.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Например,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сумма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средств,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направляемая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компенсацию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заработка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застрахованного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лица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временной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нетрудоспособности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(Р).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Р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=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ΣР</w:t>
      </w:r>
      <w:r w:rsidRPr="00AC7CFF">
        <w:rPr>
          <w:rFonts w:ascii="Times New Roman" w:hAnsi="Times New Roman"/>
          <w:sz w:val="28"/>
          <w:szCs w:val="28"/>
          <w:lang w:val="en-US"/>
        </w:rPr>
        <w:t>i</w:t>
      </w:r>
      <w:r w:rsidRPr="00AC7CFF">
        <w:rPr>
          <w:rFonts w:ascii="Times New Roman" w:hAnsi="Times New Roman"/>
          <w:sz w:val="28"/>
          <w:szCs w:val="28"/>
        </w:rPr>
        <w:t>,</w:t>
      </w:r>
    </w:p>
    <w:p w:rsidR="00AC7CFF" w:rsidRDefault="00AC7CFF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F82" w:rsidRPr="00AC7CFF" w:rsidRDefault="009A5F82" w:rsidP="00AC7CF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CFF">
        <w:rPr>
          <w:rFonts w:ascii="Times New Roman" w:hAnsi="Times New Roman"/>
          <w:sz w:val="28"/>
          <w:szCs w:val="28"/>
        </w:rPr>
        <w:t>где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  <w:lang w:val="en-US"/>
        </w:rPr>
        <w:t>i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–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число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случаев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временной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нетрудоспособности;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произведение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  <w:lang w:val="en-US"/>
        </w:rPr>
        <w:t>q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  <w:lang w:val="en-US"/>
        </w:rPr>
        <w:t>P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дает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искомый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размер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соответствующего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элемента</w:t>
      </w:r>
      <w:r w:rsidR="00AC7CFF">
        <w:rPr>
          <w:rFonts w:ascii="Times New Roman" w:hAnsi="Times New Roman"/>
          <w:sz w:val="28"/>
          <w:szCs w:val="28"/>
        </w:rPr>
        <w:t xml:space="preserve"> </w:t>
      </w:r>
      <w:r w:rsidRPr="00AC7CFF">
        <w:rPr>
          <w:rFonts w:ascii="Times New Roman" w:hAnsi="Times New Roman"/>
          <w:sz w:val="28"/>
          <w:szCs w:val="28"/>
        </w:rPr>
        <w:t>нетто-ставки.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Для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расчета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показателей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необходима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корректная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всех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обстоятельств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наступления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гомогенных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совокупностях.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Под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гомогенной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совокупностью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понимаем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совокупность,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формируемую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признаку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экономической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деятельности.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Совершенно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очевидно,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что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такой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настоящее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время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ФСС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его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региональных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подразделений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уже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только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потому,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что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задачи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формирования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такой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никогда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пор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ставилось.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пор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статистические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методики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ФСС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объединяют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учет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отраслям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экономической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деятельности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отдельным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регионам.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Статистические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сводки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дают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представление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виде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распределении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застрахованных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лиц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полу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возрасту,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характере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травмы,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виде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профессионального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заболевания.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формируется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местах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–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региональных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отделениях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ФСС.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Консолидированные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данные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дают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возможность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рассчитать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показатели,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дальнейшем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именуются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страховыми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тарифами.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Сами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региональные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отделения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рассчитывают.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Центральному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аппарату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вести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подробную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гомогенных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совокупностях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очень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сложно.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Между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тем,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мировом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сообществе,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которое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подписало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руководствуется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конвенциями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МОТ,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такая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ведется.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Именно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ее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наличие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позволяет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выделять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32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класса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профессионального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риска,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гораздо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больше.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частности,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Pr="00AC7CFF">
        <w:rPr>
          <w:bCs/>
          <w:sz w:val="28"/>
          <w:szCs w:val="28"/>
        </w:rPr>
        <w:t>нструкции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Международного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бюро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труда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«Учет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и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уведомление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при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несчастных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случаях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на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производстве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и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профессиональных</w:t>
      </w:r>
      <w:r w:rsidR="00AC7CFF">
        <w:rPr>
          <w:bCs/>
          <w:sz w:val="28"/>
          <w:szCs w:val="28"/>
        </w:rPr>
        <w:t xml:space="preserve"> </w:t>
      </w:r>
      <w:r w:rsidRPr="00AC7CFF">
        <w:rPr>
          <w:bCs/>
          <w:sz w:val="28"/>
          <w:szCs w:val="28"/>
        </w:rPr>
        <w:t>заболеваниях»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даются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следующие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рекомендации.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«Несчастные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производстве,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меньшей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мере,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классифицируются: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а)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общему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числу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потерпевших,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распределенному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следующим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категориям: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исходом;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без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трудоспособности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менее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трех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последовательных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включая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день,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который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произошел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случай;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б)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общему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числу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потерянных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включая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первых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после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происшествия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без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исхода.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мере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поступления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более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детальной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информации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компетентный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орган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должен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классифицировать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следующим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категориям: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количество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исходом,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подразделяемое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количество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период,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составляющий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тридцать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момента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приведшего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летальному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исходу,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количество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период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между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тридцатью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одним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(30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+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1)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триста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шестьдесят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пятым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момента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приведшего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летальному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исходу;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количество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травм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без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исхода,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повлекших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собой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одного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рабочего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или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отсутствие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рабочем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месте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(по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официальному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определению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страны),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количество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травм,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результате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были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потеряны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рабочие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(не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включая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день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получения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травмы)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–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одного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трех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более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дней;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общее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число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рабочих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потерянных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вследствие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без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исхода,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распределенных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двум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категориям: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трех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потерянных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свыше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трех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потерянных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Компетентный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орган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должен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четко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указывать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категорию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потерянных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дней: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календарные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дни,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рабочие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или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потери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дней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(при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сменной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работе).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Период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учета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статистических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должен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превышать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календарный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год.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Статистические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данные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случаях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дороге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работу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работы,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также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данные,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касающиеся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независимых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трудящихся,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должны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быть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представлены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отдельно.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Принятые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положения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должны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быть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адекватны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адаптированы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типу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предприятия,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также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видам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профессий»</w:t>
      </w:r>
      <w:r w:rsidRPr="00AC7CFF">
        <w:rPr>
          <w:rStyle w:val="a8"/>
          <w:sz w:val="28"/>
          <w:szCs w:val="28"/>
        </w:rPr>
        <w:footnoteReference w:id="21"/>
      </w:r>
      <w:r w:rsidRPr="00AC7CFF">
        <w:rPr>
          <w:sz w:val="28"/>
          <w:szCs w:val="28"/>
        </w:rPr>
        <w:t>.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Наши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предложения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структурированию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обязательному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производстве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профессиональных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заболеваний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показывают,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что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кроме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корректной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всех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обстоятельств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наступившим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случаям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требуется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для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определения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нетто-ставок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реабилитацию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выплату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пособий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иждивенцам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застрахованных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лиц.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Как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правило,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большая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часть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трудозанятого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населения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имеет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детей,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составляют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основную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часть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иждивенцев.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Поэтому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застрахованного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выплачиваются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разные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пособия.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настоящего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времени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органах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соцстраха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был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предусмотрен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учет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группы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населения,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поэтому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отсутствуют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архивные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текущие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данные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количестве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пособий,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выплачивались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выплачиваются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после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производстве.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Скажем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больше,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учет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самих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смертельных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местах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хотя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ведется,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отчетности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служб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ФСС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данные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отсутствуют.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Есть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лишь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данные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численности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пострадавших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–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отдельно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несчастных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случаев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профзаболеваний.</w:t>
      </w:r>
    </w:p>
    <w:p w:rsidR="009A5F82" w:rsidRPr="00AC7CFF" w:rsidRDefault="00AC7CFF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9A5F82" w:rsidRPr="00AC7CFF">
        <w:rPr>
          <w:b/>
          <w:caps/>
          <w:sz w:val="28"/>
          <w:szCs w:val="28"/>
        </w:rPr>
        <w:t>Заключение</w:t>
      </w: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5F82" w:rsidRPr="00AC7CFF" w:rsidRDefault="009A5F82" w:rsidP="00AC7CFF">
      <w:pPr>
        <w:pStyle w:val="a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7CFF">
        <w:rPr>
          <w:sz w:val="28"/>
          <w:szCs w:val="28"/>
        </w:rPr>
        <w:t>Проблемы,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связанные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тарифным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обеспечением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страховании,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чаще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всего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существуют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силу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двух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причин.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Первая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из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заключается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том,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что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само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осуществляется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обязательной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форме,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следовательно,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испытывает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конкурентного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давления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стороны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аналогичных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видов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поэтому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мало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внимания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уделяет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качественным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методам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расчета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тарифов.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Вторая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причина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связана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отсутствием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надежной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статистики,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основе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которой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можно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судить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различных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рисковых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ситуациях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тенденциях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развития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риска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сфере.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Скорость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решения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этих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проблем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зависит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значительной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мере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того,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насколько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быстро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Россия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сможет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войти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Всемирную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торговую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организацию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организовать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работу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Фонда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социального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страхования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по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западным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стандартам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и</w:t>
      </w:r>
      <w:r w:rsidR="00AC7CFF">
        <w:rPr>
          <w:sz w:val="28"/>
          <w:szCs w:val="28"/>
        </w:rPr>
        <w:t xml:space="preserve"> </w:t>
      </w:r>
      <w:r w:rsidRPr="00AC7CFF">
        <w:rPr>
          <w:sz w:val="28"/>
          <w:szCs w:val="28"/>
        </w:rPr>
        <w:t>образцам.</w:t>
      </w:r>
      <w:bookmarkStart w:id="0" w:name="_GoBack"/>
      <w:bookmarkEnd w:id="0"/>
    </w:p>
    <w:sectPr w:rsidR="009A5F82" w:rsidRPr="00AC7CFF" w:rsidSect="00AC7C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2B" w:rsidRDefault="00032B2B" w:rsidP="009A5F82">
      <w:pPr>
        <w:spacing w:after="0" w:line="240" w:lineRule="auto"/>
      </w:pPr>
      <w:r>
        <w:separator/>
      </w:r>
    </w:p>
  </w:endnote>
  <w:endnote w:type="continuationSeparator" w:id="0">
    <w:p w:rsidR="00032B2B" w:rsidRDefault="00032B2B" w:rsidP="009A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2B" w:rsidRDefault="00032B2B" w:rsidP="009A5F82">
      <w:pPr>
        <w:spacing w:after="0" w:line="240" w:lineRule="auto"/>
      </w:pPr>
      <w:r>
        <w:separator/>
      </w:r>
    </w:p>
  </w:footnote>
  <w:footnote w:type="continuationSeparator" w:id="0">
    <w:p w:rsidR="00032B2B" w:rsidRDefault="00032B2B" w:rsidP="009A5F82">
      <w:pPr>
        <w:spacing w:after="0" w:line="240" w:lineRule="auto"/>
      </w:pPr>
      <w:r>
        <w:continuationSeparator/>
      </w:r>
    </w:p>
  </w:footnote>
  <w:footnote w:id="1">
    <w:p w:rsidR="00032B2B" w:rsidRDefault="00032B2B" w:rsidP="009A5F82">
      <w:pPr>
        <w:ind w:firstLine="709"/>
        <w:jc w:val="both"/>
      </w:pPr>
    </w:p>
  </w:footnote>
  <w:footnote w:id="2">
    <w:p w:rsidR="00032B2B" w:rsidRDefault="00032B2B" w:rsidP="009A5F82">
      <w:pPr>
        <w:pStyle w:val="a6"/>
        <w:jc w:val="both"/>
      </w:pPr>
    </w:p>
  </w:footnote>
  <w:footnote w:id="3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Об обязательном социальном страховании от несчастных случаев на производстве и профессиональных заболеваний: Федер. закон от 24 июля </w:t>
      </w:r>
      <w:smartTag w:uri="urn:schemas-microsoft-com:office:smarttags" w:element="metricconverter">
        <w:smartTagPr>
          <w:attr w:name="ProductID" w:val="1998 г"/>
        </w:smartTagPr>
        <w:r w:rsidRPr="006838C5">
          <w:rPr>
            <w:sz w:val="24"/>
            <w:szCs w:val="24"/>
          </w:rPr>
          <w:t>1998 г</w:t>
        </w:r>
      </w:smartTag>
      <w:r w:rsidRPr="006838C5">
        <w:rPr>
          <w:sz w:val="24"/>
          <w:szCs w:val="24"/>
        </w:rPr>
        <w:t xml:space="preserve">. № 125-ФЗ // Гарант: Справочно-информ. система. М., </w:t>
      </w:r>
      <w:r w:rsidRPr="009A5F82">
        <w:rPr>
          <w:sz w:val="24"/>
          <w:szCs w:val="24"/>
        </w:rPr>
        <w:t>2008</w:t>
      </w:r>
      <w:r w:rsidRPr="006838C5">
        <w:rPr>
          <w:sz w:val="24"/>
          <w:szCs w:val="24"/>
        </w:rPr>
        <w:t>.</w:t>
      </w:r>
    </w:p>
  </w:footnote>
  <w:footnote w:id="4">
    <w:p w:rsidR="00032B2B" w:rsidRDefault="009A5F82" w:rsidP="009A5F82">
      <w:pPr>
        <w:ind w:firstLine="709"/>
        <w:jc w:val="both"/>
      </w:pPr>
      <w:r w:rsidRPr="006838C5">
        <w:rPr>
          <w:rStyle w:val="a8"/>
          <w:spacing w:val="-6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О бюджете фонда социального страхования Российской Федерации в </w:t>
      </w:r>
      <w:smartTag w:uri="urn:schemas-microsoft-com:office:smarttags" w:element="metricconverter">
        <w:smartTagPr>
          <w:attr w:name="ProductID" w:val="2005 г"/>
        </w:smartTagPr>
        <w:r w:rsidRPr="006838C5">
          <w:rPr>
            <w:sz w:val="24"/>
            <w:szCs w:val="24"/>
          </w:rPr>
          <w:t>2005 г</w:t>
        </w:r>
      </w:smartTag>
      <w:r w:rsidRPr="006838C5">
        <w:rPr>
          <w:sz w:val="24"/>
          <w:szCs w:val="24"/>
        </w:rPr>
        <w:t xml:space="preserve">.: Федер. закон от 29 дек. </w:t>
      </w:r>
      <w:smartTag w:uri="urn:schemas-microsoft-com:office:smarttags" w:element="metricconverter">
        <w:smartTagPr>
          <w:attr w:name="ProductID" w:val="2004 г"/>
        </w:smartTagPr>
        <w:r w:rsidRPr="006838C5">
          <w:rPr>
            <w:sz w:val="24"/>
            <w:szCs w:val="24"/>
          </w:rPr>
          <w:t>2004 г</w:t>
        </w:r>
      </w:smartTag>
      <w:r w:rsidRPr="006838C5">
        <w:rPr>
          <w:sz w:val="24"/>
          <w:szCs w:val="24"/>
        </w:rPr>
        <w:t xml:space="preserve">. № 202-ФЗ. Режим доступа: </w:t>
      </w:r>
      <w:r w:rsidRPr="00AC7CFF">
        <w:rPr>
          <w:spacing w:val="-6"/>
          <w:sz w:val="24"/>
          <w:szCs w:val="24"/>
        </w:rPr>
        <w:t>http://www.rg.ru/pril/5/02/07/3669_2s.gif</w:t>
      </w:r>
      <w:r w:rsidRPr="006838C5">
        <w:rPr>
          <w:sz w:val="24"/>
          <w:szCs w:val="24"/>
        </w:rPr>
        <w:t>.</w:t>
      </w:r>
    </w:p>
  </w:footnote>
  <w:footnote w:id="5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</w:t>
      </w:r>
      <w:r w:rsidRPr="006838C5">
        <w:rPr>
          <w:kern w:val="2"/>
          <w:sz w:val="24"/>
          <w:szCs w:val="24"/>
        </w:rPr>
        <w:t>Порядок оплаты дополнительных расходов на медицинскую, социальную и профессиональную реабилитацию лиц, пострадавших в результате несчастных случаев на производстве и профессиональных заболеваний</w:t>
      </w:r>
      <w:r>
        <w:rPr>
          <w:kern w:val="2"/>
          <w:sz w:val="24"/>
          <w:szCs w:val="24"/>
        </w:rPr>
        <w:t>:</w:t>
      </w:r>
      <w:r w:rsidRPr="006838C5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Утв. </w:t>
      </w:r>
      <w:r w:rsidRPr="006838C5">
        <w:rPr>
          <w:kern w:val="2"/>
          <w:sz w:val="24"/>
          <w:szCs w:val="24"/>
        </w:rPr>
        <w:t>Постановление</w:t>
      </w:r>
      <w:r>
        <w:rPr>
          <w:kern w:val="2"/>
          <w:sz w:val="24"/>
          <w:szCs w:val="24"/>
        </w:rPr>
        <w:t>м</w:t>
      </w:r>
      <w:r w:rsidRPr="006838C5">
        <w:rPr>
          <w:kern w:val="2"/>
          <w:sz w:val="24"/>
          <w:szCs w:val="24"/>
        </w:rPr>
        <w:t xml:space="preserve"> Правительства РФ от 28 апр</w:t>
      </w:r>
      <w:r>
        <w:rPr>
          <w:kern w:val="2"/>
          <w:sz w:val="24"/>
          <w:szCs w:val="24"/>
        </w:rPr>
        <w:t>.</w:t>
      </w:r>
      <w:r w:rsidRPr="006838C5">
        <w:rPr>
          <w:kern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1 г"/>
        </w:smartTagPr>
        <w:r w:rsidRPr="006838C5">
          <w:rPr>
            <w:kern w:val="2"/>
            <w:sz w:val="24"/>
            <w:szCs w:val="24"/>
          </w:rPr>
          <w:t>2001</w:t>
        </w:r>
        <w:r>
          <w:rPr>
            <w:kern w:val="2"/>
            <w:sz w:val="24"/>
            <w:szCs w:val="24"/>
          </w:rPr>
          <w:t> </w:t>
        </w:r>
        <w:r w:rsidRPr="006838C5">
          <w:rPr>
            <w:kern w:val="2"/>
            <w:sz w:val="24"/>
            <w:szCs w:val="24"/>
          </w:rPr>
          <w:t>г</w:t>
        </w:r>
      </w:smartTag>
      <w:r w:rsidRPr="006838C5">
        <w:rPr>
          <w:kern w:val="2"/>
          <w:sz w:val="24"/>
          <w:szCs w:val="24"/>
        </w:rPr>
        <w:t>. №</w:t>
      </w:r>
      <w:r>
        <w:rPr>
          <w:kern w:val="2"/>
          <w:sz w:val="24"/>
          <w:szCs w:val="24"/>
        </w:rPr>
        <w:t> </w:t>
      </w:r>
      <w:r w:rsidRPr="006838C5">
        <w:rPr>
          <w:kern w:val="2"/>
          <w:sz w:val="24"/>
          <w:szCs w:val="24"/>
        </w:rPr>
        <w:t>332</w:t>
      </w:r>
      <w:r>
        <w:rPr>
          <w:sz w:val="24"/>
          <w:szCs w:val="24"/>
        </w:rPr>
        <w:t xml:space="preserve"> // Гарант</w:t>
      </w:r>
      <w:r>
        <w:rPr>
          <w:kern w:val="2"/>
          <w:sz w:val="24"/>
          <w:szCs w:val="24"/>
        </w:rPr>
        <w:t>.</w:t>
      </w:r>
    </w:p>
  </w:footnote>
  <w:footnote w:id="6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Райзберг Б.А., Лозовский Л.Ш., Стародубцева Е.Б. Современный экономический словарь. М.: ИНФРА-М, 1997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838C5">
        <w:rPr>
          <w:sz w:val="24"/>
          <w:szCs w:val="24"/>
        </w:rPr>
        <w:t>. 267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</w:t>
      </w:r>
    </w:p>
  </w:footnote>
  <w:footnote w:id="7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Мамут Л.С. Социальное государство с точки зрения права // Государство и право. 2001. №</w:t>
      </w:r>
      <w:r>
        <w:rPr>
          <w:sz w:val="24"/>
          <w:szCs w:val="24"/>
        </w:rPr>
        <w:t> </w:t>
      </w:r>
      <w:r w:rsidRPr="006838C5">
        <w:rPr>
          <w:sz w:val="24"/>
          <w:szCs w:val="24"/>
        </w:rPr>
        <w:t>7. С.</w:t>
      </w:r>
      <w:r>
        <w:rPr>
          <w:sz w:val="24"/>
          <w:szCs w:val="24"/>
        </w:rPr>
        <w:t> </w:t>
      </w:r>
      <w:r w:rsidRPr="006838C5">
        <w:rPr>
          <w:sz w:val="24"/>
          <w:szCs w:val="24"/>
        </w:rPr>
        <w:t>5</w:t>
      </w:r>
      <w:r>
        <w:rPr>
          <w:sz w:val="24"/>
          <w:szCs w:val="24"/>
        </w:rPr>
        <w:t>–</w:t>
      </w:r>
      <w:r w:rsidRPr="006838C5">
        <w:rPr>
          <w:sz w:val="24"/>
          <w:szCs w:val="24"/>
        </w:rPr>
        <w:t>14.</w:t>
      </w:r>
    </w:p>
  </w:footnote>
  <w:footnote w:id="8">
    <w:p w:rsidR="00032B2B" w:rsidRDefault="009A5F82" w:rsidP="009A5F82">
      <w:pPr>
        <w:shd w:val="clear" w:color="auto" w:fill="FFFFFF"/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Роик В.Д. Основы социального страхования: организация, экономика и право: Учебник. М.: Изд-во РАГС, 2007. </w:t>
      </w:r>
      <w:r>
        <w:rPr>
          <w:sz w:val="24"/>
          <w:szCs w:val="24"/>
        </w:rPr>
        <w:t>С</w:t>
      </w:r>
      <w:r w:rsidRPr="006838C5">
        <w:rPr>
          <w:sz w:val="24"/>
          <w:szCs w:val="24"/>
        </w:rPr>
        <w:t>. 132</w:t>
      </w:r>
      <w:r>
        <w:rPr>
          <w:sz w:val="24"/>
          <w:szCs w:val="24"/>
        </w:rPr>
        <w:t>.</w:t>
      </w:r>
    </w:p>
  </w:footnote>
  <w:footnote w:id="9">
    <w:p w:rsidR="00032B2B" w:rsidRDefault="009A5F82" w:rsidP="009A5F82">
      <w:pPr>
        <w:shd w:val="clear" w:color="auto" w:fill="FFFFFF"/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</w:t>
      </w:r>
      <w:r w:rsidRPr="006838C5">
        <w:rPr>
          <w:sz w:val="24"/>
          <w:szCs w:val="24"/>
        </w:rPr>
        <w:t>. С.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372.</w:t>
      </w:r>
    </w:p>
  </w:footnote>
  <w:footnote w:id="10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Страховое дело: Учебник</w:t>
      </w:r>
      <w:r>
        <w:rPr>
          <w:sz w:val="24"/>
          <w:szCs w:val="24"/>
        </w:rPr>
        <w:t>:</w:t>
      </w:r>
      <w:r w:rsidRPr="006838C5">
        <w:rPr>
          <w:sz w:val="24"/>
          <w:szCs w:val="24"/>
        </w:rPr>
        <w:t xml:space="preserve"> В 2 т. </w:t>
      </w:r>
      <w:r>
        <w:rPr>
          <w:sz w:val="24"/>
          <w:szCs w:val="24"/>
        </w:rPr>
        <w:t>/ П</w:t>
      </w:r>
      <w:r w:rsidRPr="006838C5">
        <w:rPr>
          <w:sz w:val="24"/>
          <w:szCs w:val="24"/>
        </w:rPr>
        <w:t>ер.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с нем. О.И. Крюгер и Т.А. Федоровой. Т.</w:t>
      </w:r>
      <w:r>
        <w:rPr>
          <w:sz w:val="24"/>
          <w:szCs w:val="24"/>
        </w:rPr>
        <w:t> </w:t>
      </w:r>
      <w:r w:rsidRPr="006838C5">
        <w:rPr>
          <w:sz w:val="24"/>
          <w:szCs w:val="24"/>
        </w:rPr>
        <w:t>2: Виды страхования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 xml:space="preserve">/ </w:t>
      </w:r>
      <w:r>
        <w:rPr>
          <w:sz w:val="24"/>
          <w:szCs w:val="24"/>
        </w:rPr>
        <w:t>П</w:t>
      </w:r>
      <w:r w:rsidRPr="006838C5">
        <w:rPr>
          <w:sz w:val="24"/>
          <w:szCs w:val="24"/>
        </w:rPr>
        <w:t>од ред. Т.А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Федоровой. М.: Экономистъ, 2004. С.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324</w:t>
      </w:r>
      <w:r>
        <w:rPr>
          <w:sz w:val="24"/>
          <w:szCs w:val="24"/>
        </w:rPr>
        <w:t>–</w:t>
      </w:r>
      <w:r w:rsidRPr="006838C5">
        <w:rPr>
          <w:sz w:val="24"/>
          <w:szCs w:val="24"/>
        </w:rPr>
        <w:t>328</w:t>
      </w:r>
      <w:r>
        <w:rPr>
          <w:sz w:val="24"/>
          <w:szCs w:val="24"/>
        </w:rPr>
        <w:t>.</w:t>
      </w:r>
    </w:p>
  </w:footnote>
  <w:footnote w:id="11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  <w:r w:rsidRPr="006838C5">
        <w:rPr>
          <w:sz w:val="24"/>
          <w:szCs w:val="24"/>
        </w:rPr>
        <w:t xml:space="preserve"> Т.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1: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Основы страхования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 xml:space="preserve">/ </w:t>
      </w:r>
      <w:r>
        <w:rPr>
          <w:sz w:val="24"/>
          <w:szCs w:val="24"/>
        </w:rPr>
        <w:t>П</w:t>
      </w:r>
      <w:r w:rsidRPr="006838C5">
        <w:rPr>
          <w:sz w:val="24"/>
          <w:szCs w:val="24"/>
        </w:rPr>
        <w:t>од ред. О.И. Крюгер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С. 106</w:t>
      </w:r>
      <w:r>
        <w:rPr>
          <w:sz w:val="24"/>
          <w:szCs w:val="24"/>
        </w:rPr>
        <w:t>.</w:t>
      </w:r>
    </w:p>
  </w:footnote>
  <w:footnote w:id="12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Карпенко В. Профилактика производственного травматизма // Охрана труда и социальное страхование. 2007. №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3. С. 23.</w:t>
      </w:r>
    </w:p>
  </w:footnote>
  <w:footnote w:id="13">
    <w:p w:rsidR="00032B2B" w:rsidRDefault="009A5F82" w:rsidP="009A5F82">
      <w:pPr>
        <w:pStyle w:val="a6"/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Там же.</w:t>
      </w:r>
    </w:p>
  </w:footnote>
  <w:footnote w:id="14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Карпенко В. </w:t>
      </w:r>
      <w:r>
        <w:rPr>
          <w:sz w:val="24"/>
          <w:szCs w:val="24"/>
        </w:rPr>
        <w:t>Указ. соч</w:t>
      </w:r>
      <w:r w:rsidRPr="006838C5">
        <w:rPr>
          <w:sz w:val="24"/>
          <w:szCs w:val="24"/>
        </w:rPr>
        <w:t>. С. 24.</w:t>
      </w:r>
    </w:p>
  </w:footnote>
  <w:footnote w:id="15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О страховых тарифах на обязательное социальное страхование от несчастных случаев на производстве и профессиональных заболеваний на </w:t>
      </w:r>
      <w:smartTag w:uri="urn:schemas-microsoft-com:office:smarttags" w:element="metricconverter">
        <w:smartTagPr>
          <w:attr w:name="ProductID" w:val="2006 г"/>
        </w:smartTagPr>
        <w:r w:rsidRPr="006838C5">
          <w:rPr>
            <w:sz w:val="24"/>
            <w:szCs w:val="24"/>
          </w:rPr>
          <w:t>2006 г</w:t>
        </w:r>
      </w:smartTag>
      <w:r w:rsidRPr="006838C5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Pr="006838C5">
        <w:rPr>
          <w:sz w:val="24"/>
          <w:szCs w:val="24"/>
        </w:rPr>
        <w:t xml:space="preserve"> Федер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закон от 22</w:t>
      </w:r>
      <w:r>
        <w:rPr>
          <w:sz w:val="24"/>
          <w:szCs w:val="24"/>
        </w:rPr>
        <w:t> </w:t>
      </w:r>
      <w:r w:rsidRPr="006838C5">
        <w:rPr>
          <w:sz w:val="24"/>
          <w:szCs w:val="24"/>
        </w:rPr>
        <w:t>дек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5 г"/>
        </w:smartTagPr>
        <w:r w:rsidRPr="006838C5">
          <w:rPr>
            <w:sz w:val="24"/>
            <w:szCs w:val="24"/>
          </w:rPr>
          <w:t>2005</w:t>
        </w:r>
        <w:r>
          <w:rPr>
            <w:sz w:val="24"/>
            <w:szCs w:val="24"/>
          </w:rPr>
          <w:t> </w:t>
        </w:r>
        <w:r w:rsidRPr="006838C5">
          <w:rPr>
            <w:sz w:val="24"/>
            <w:szCs w:val="24"/>
          </w:rPr>
          <w:t>г</w:t>
        </w:r>
      </w:smartTag>
      <w:r w:rsidRPr="006838C5">
        <w:rPr>
          <w:sz w:val="24"/>
          <w:szCs w:val="24"/>
        </w:rPr>
        <w:t>. №</w:t>
      </w:r>
      <w:r>
        <w:rPr>
          <w:sz w:val="24"/>
          <w:szCs w:val="24"/>
        </w:rPr>
        <w:t> </w:t>
      </w:r>
      <w:r w:rsidRPr="006838C5">
        <w:rPr>
          <w:sz w:val="24"/>
          <w:szCs w:val="24"/>
        </w:rPr>
        <w:t>179- ФЗ</w:t>
      </w:r>
      <w:r>
        <w:rPr>
          <w:sz w:val="24"/>
          <w:szCs w:val="24"/>
        </w:rPr>
        <w:t xml:space="preserve"> // Гарант.</w:t>
      </w:r>
    </w:p>
  </w:footnote>
  <w:footnote w:id="16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Об утверждении Классификации видов экономической деятельности по классам профессионального риска</w:t>
      </w:r>
      <w:r>
        <w:rPr>
          <w:sz w:val="24"/>
          <w:szCs w:val="24"/>
        </w:rPr>
        <w:t>:</w:t>
      </w:r>
      <w:r w:rsidRPr="006838C5">
        <w:rPr>
          <w:sz w:val="24"/>
          <w:szCs w:val="24"/>
        </w:rPr>
        <w:t xml:space="preserve"> (с изм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от 3 апр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838C5">
          <w:rPr>
            <w:sz w:val="24"/>
            <w:szCs w:val="24"/>
          </w:rPr>
          <w:t>2006 г</w:t>
        </w:r>
      </w:smartTag>
      <w:r w:rsidRPr="006838C5">
        <w:rPr>
          <w:sz w:val="24"/>
          <w:szCs w:val="24"/>
        </w:rPr>
        <w:t>.)</w:t>
      </w:r>
      <w:r>
        <w:rPr>
          <w:sz w:val="24"/>
          <w:szCs w:val="24"/>
        </w:rPr>
        <w:t>:</w:t>
      </w:r>
      <w:r w:rsidRPr="006838C5">
        <w:rPr>
          <w:sz w:val="24"/>
          <w:szCs w:val="24"/>
        </w:rPr>
        <w:t xml:space="preserve"> Приказ Министерства здравоохранения и социального развития РФ от 10 янв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6 г"/>
        </w:smartTagPr>
        <w:r w:rsidRPr="006838C5">
          <w:rPr>
            <w:sz w:val="24"/>
            <w:szCs w:val="24"/>
          </w:rPr>
          <w:t>2006 г</w:t>
        </w:r>
      </w:smartTag>
      <w:r w:rsidRPr="006838C5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6838C5">
        <w:rPr>
          <w:sz w:val="24"/>
          <w:szCs w:val="24"/>
        </w:rPr>
        <w:t> </w:t>
      </w:r>
      <w:r>
        <w:rPr>
          <w:sz w:val="24"/>
          <w:szCs w:val="24"/>
        </w:rPr>
        <w:t>8 //</w:t>
      </w:r>
      <w:r w:rsidRPr="006838C5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</w:p>
  </w:footnote>
  <w:footnote w:id="17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Правила отнесения видов экономической деятельности к классу профессионального риска</w:t>
      </w:r>
      <w:r>
        <w:rPr>
          <w:sz w:val="24"/>
          <w:szCs w:val="24"/>
        </w:rPr>
        <w:t>:</w:t>
      </w:r>
      <w:r w:rsidRPr="006838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Утв. </w:t>
      </w:r>
      <w:r w:rsidRPr="006838C5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6838C5">
        <w:rPr>
          <w:sz w:val="24"/>
          <w:szCs w:val="24"/>
        </w:rPr>
        <w:t xml:space="preserve"> Правительства РФ от 1 дек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5 г"/>
        </w:smartTagPr>
        <w:r w:rsidRPr="006838C5">
          <w:rPr>
            <w:sz w:val="24"/>
            <w:szCs w:val="24"/>
          </w:rPr>
          <w:t>2005 г</w:t>
        </w:r>
      </w:smartTag>
      <w:r w:rsidRPr="006838C5">
        <w:rPr>
          <w:sz w:val="24"/>
          <w:szCs w:val="24"/>
        </w:rPr>
        <w:t xml:space="preserve">. </w:t>
      </w:r>
      <w:r>
        <w:rPr>
          <w:sz w:val="24"/>
          <w:szCs w:val="24"/>
        </w:rPr>
        <w:t>№</w:t>
      </w:r>
      <w:r w:rsidRPr="006838C5">
        <w:rPr>
          <w:sz w:val="24"/>
          <w:szCs w:val="24"/>
        </w:rPr>
        <w:t> 713</w:t>
      </w:r>
      <w:r>
        <w:rPr>
          <w:sz w:val="24"/>
          <w:szCs w:val="24"/>
        </w:rPr>
        <w:t xml:space="preserve"> // Гарант</w:t>
      </w:r>
      <w:r w:rsidRPr="006838C5">
        <w:rPr>
          <w:kern w:val="2"/>
          <w:sz w:val="24"/>
          <w:szCs w:val="24"/>
        </w:rPr>
        <w:t>.</w:t>
      </w:r>
      <w:r w:rsidRPr="006838C5">
        <w:rPr>
          <w:sz w:val="24"/>
          <w:szCs w:val="24"/>
        </w:rPr>
        <w:t xml:space="preserve"> </w:t>
      </w:r>
    </w:p>
  </w:footnote>
  <w:footnote w:id="18">
    <w:p w:rsidR="00032B2B" w:rsidRDefault="009A5F82" w:rsidP="009A5F82">
      <w:pPr>
        <w:ind w:firstLine="709"/>
        <w:jc w:val="both"/>
      </w:pPr>
      <w:r w:rsidRPr="006838C5">
        <w:rPr>
          <w:rStyle w:val="a8"/>
        </w:rPr>
        <w:footnoteRef/>
      </w:r>
      <w:r w:rsidRPr="006838C5">
        <w:rPr>
          <w:sz w:val="24"/>
          <w:szCs w:val="24"/>
        </w:rPr>
        <w:t xml:space="preserve"> Об основах обязательного социального страхования</w:t>
      </w:r>
      <w:r>
        <w:rPr>
          <w:sz w:val="24"/>
          <w:szCs w:val="24"/>
        </w:rPr>
        <w:t>:</w:t>
      </w:r>
      <w:r w:rsidRPr="006838C5">
        <w:rPr>
          <w:sz w:val="24"/>
          <w:szCs w:val="24"/>
        </w:rPr>
        <w:t xml:space="preserve"> Федер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закон от 16</w:t>
      </w:r>
      <w:r>
        <w:rPr>
          <w:sz w:val="24"/>
          <w:szCs w:val="24"/>
        </w:rPr>
        <w:t xml:space="preserve"> июля </w:t>
      </w:r>
      <w:smartTag w:uri="urn:schemas-microsoft-com:office:smarttags" w:element="metricconverter">
        <w:smartTagPr>
          <w:attr w:name="ProductID" w:val="1999 г"/>
        </w:smartTagPr>
        <w:r>
          <w:rPr>
            <w:sz w:val="24"/>
            <w:szCs w:val="24"/>
          </w:rPr>
          <w:t>1999 </w:t>
        </w:r>
        <w:r w:rsidRPr="006838C5">
          <w:rPr>
            <w:sz w:val="24"/>
            <w:szCs w:val="24"/>
          </w:rPr>
          <w:t>г</w:t>
        </w:r>
      </w:smartTag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№</w:t>
      </w:r>
      <w:r>
        <w:rPr>
          <w:sz w:val="24"/>
          <w:szCs w:val="24"/>
        </w:rPr>
        <w:t> </w:t>
      </w:r>
      <w:r w:rsidRPr="006838C5">
        <w:rPr>
          <w:sz w:val="24"/>
          <w:szCs w:val="24"/>
        </w:rPr>
        <w:t>165-ФЗ</w:t>
      </w:r>
      <w:r>
        <w:rPr>
          <w:sz w:val="24"/>
          <w:szCs w:val="24"/>
        </w:rPr>
        <w:t xml:space="preserve"> // Гарант.</w:t>
      </w:r>
    </w:p>
  </w:footnote>
  <w:footnote w:id="19">
    <w:p w:rsidR="00032B2B" w:rsidRDefault="009A5F82" w:rsidP="009A5F82">
      <w:pPr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О страховых тарифах на обязательное социальное страхование от несчастных случаев на производстве и профессиональных заболеваний на </w:t>
      </w:r>
      <w:smartTag w:uri="urn:schemas-microsoft-com:office:smarttags" w:element="metricconverter">
        <w:smartTagPr>
          <w:attr w:name="ProductID" w:val="2000 г"/>
        </w:smartTagPr>
        <w:r w:rsidRPr="006838C5">
          <w:rPr>
            <w:sz w:val="24"/>
            <w:szCs w:val="24"/>
          </w:rPr>
          <w:t>2000 г</w:t>
        </w:r>
      </w:smartTag>
      <w:r w:rsidRPr="006838C5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Pr="006838C5">
        <w:rPr>
          <w:sz w:val="24"/>
          <w:szCs w:val="24"/>
        </w:rPr>
        <w:t xml:space="preserve"> Федер</w:t>
      </w:r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закон от 2</w:t>
      </w:r>
      <w:r>
        <w:rPr>
          <w:sz w:val="24"/>
          <w:szCs w:val="24"/>
        </w:rPr>
        <w:t xml:space="preserve"> янв. </w:t>
      </w:r>
      <w:smartTag w:uri="urn:schemas-microsoft-com:office:smarttags" w:element="metricconverter">
        <w:smartTagPr>
          <w:attr w:name="ProductID" w:val="2000 г"/>
        </w:smartTagPr>
        <w:r w:rsidRPr="006838C5">
          <w:rPr>
            <w:sz w:val="24"/>
            <w:szCs w:val="24"/>
          </w:rPr>
          <w:t>2000</w:t>
        </w:r>
        <w:r>
          <w:rPr>
            <w:sz w:val="24"/>
            <w:szCs w:val="24"/>
          </w:rPr>
          <w:t> г</w:t>
        </w:r>
      </w:smartTag>
      <w:r>
        <w:rPr>
          <w:sz w:val="24"/>
          <w:szCs w:val="24"/>
        </w:rPr>
        <w:t>.</w:t>
      </w:r>
      <w:r w:rsidRPr="006838C5">
        <w:rPr>
          <w:sz w:val="24"/>
          <w:szCs w:val="24"/>
        </w:rPr>
        <w:t xml:space="preserve"> №</w:t>
      </w:r>
      <w:r>
        <w:rPr>
          <w:sz w:val="24"/>
          <w:szCs w:val="24"/>
        </w:rPr>
        <w:t> </w:t>
      </w:r>
      <w:r w:rsidRPr="006838C5">
        <w:rPr>
          <w:sz w:val="24"/>
          <w:szCs w:val="24"/>
        </w:rPr>
        <w:t>10-ФЗ</w:t>
      </w:r>
      <w:r>
        <w:rPr>
          <w:sz w:val="24"/>
          <w:szCs w:val="24"/>
        </w:rPr>
        <w:t xml:space="preserve"> //</w:t>
      </w:r>
      <w:r w:rsidRPr="006838C5">
        <w:rPr>
          <w:sz w:val="24"/>
          <w:szCs w:val="24"/>
        </w:rPr>
        <w:t xml:space="preserve"> Гарант.</w:t>
      </w:r>
    </w:p>
  </w:footnote>
  <w:footnote w:id="20">
    <w:p w:rsidR="00032B2B" w:rsidRDefault="009A5F82" w:rsidP="009A5F82">
      <w:pPr>
        <w:pStyle w:val="a6"/>
        <w:ind w:firstLine="709"/>
        <w:jc w:val="both"/>
      </w:pPr>
      <w:r w:rsidRPr="006838C5">
        <w:rPr>
          <w:rStyle w:val="a8"/>
          <w:sz w:val="24"/>
          <w:szCs w:val="24"/>
        </w:rPr>
        <w:footnoteRef/>
      </w:r>
      <w:r w:rsidRPr="006838C5">
        <w:rPr>
          <w:sz w:val="24"/>
          <w:szCs w:val="24"/>
        </w:rPr>
        <w:t xml:space="preserve"> Роиск В.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>Указ.</w:t>
      </w:r>
      <w:r>
        <w:rPr>
          <w:sz w:val="24"/>
          <w:szCs w:val="24"/>
        </w:rPr>
        <w:t xml:space="preserve"> </w:t>
      </w:r>
      <w:r w:rsidRPr="006838C5">
        <w:rPr>
          <w:sz w:val="24"/>
          <w:szCs w:val="24"/>
        </w:rPr>
        <w:t xml:space="preserve">соч. </w:t>
      </w:r>
      <w:r>
        <w:rPr>
          <w:sz w:val="24"/>
          <w:szCs w:val="24"/>
        </w:rPr>
        <w:t>С</w:t>
      </w:r>
      <w:r w:rsidRPr="006838C5">
        <w:rPr>
          <w:sz w:val="24"/>
          <w:szCs w:val="24"/>
        </w:rPr>
        <w:t>. 350.</w:t>
      </w:r>
    </w:p>
  </w:footnote>
  <w:footnote w:id="21">
    <w:p w:rsidR="00032B2B" w:rsidRDefault="009A5F82" w:rsidP="009A5F82">
      <w:pPr>
        <w:ind w:firstLine="709"/>
        <w:jc w:val="both"/>
      </w:pPr>
      <w:r w:rsidRPr="003B30C2">
        <w:rPr>
          <w:rStyle w:val="a8"/>
        </w:rPr>
        <w:footnoteRef/>
      </w:r>
      <w:r w:rsidRPr="003B30C2">
        <w:rPr>
          <w:sz w:val="24"/>
          <w:szCs w:val="24"/>
        </w:rPr>
        <w:t xml:space="preserve"> Учет и уведомление при несчастных случаях на производстве и профессиональных заболеваниях: Инструкция Междунар. бюро труда. Режим доступа: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4B95"/>
    <w:multiLevelType w:val="hybridMultilevel"/>
    <w:tmpl w:val="C9BE1B34"/>
    <w:lvl w:ilvl="0" w:tplc="09F43BBC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817400"/>
    <w:multiLevelType w:val="multilevel"/>
    <w:tmpl w:val="E5800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12158B"/>
    <w:multiLevelType w:val="hybridMultilevel"/>
    <w:tmpl w:val="E26029C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1" w:tplc="61BCE398">
      <w:start w:val="105"/>
      <w:numFmt w:val="decimal"/>
      <w:lvlText w:val="%2."/>
      <w:lvlJc w:val="left"/>
      <w:pPr>
        <w:tabs>
          <w:tab w:val="num" w:pos="142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993E5C"/>
    <w:multiLevelType w:val="hybridMultilevel"/>
    <w:tmpl w:val="6930D682"/>
    <w:lvl w:ilvl="0" w:tplc="803A9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BD202FE"/>
    <w:multiLevelType w:val="hybridMultilevel"/>
    <w:tmpl w:val="D27695EE"/>
    <w:lvl w:ilvl="0" w:tplc="8AAEB72C">
      <w:start w:val="1"/>
      <w:numFmt w:val="decimal"/>
      <w:lvlText w:val="%1"/>
      <w:lvlJc w:val="left"/>
      <w:pPr>
        <w:tabs>
          <w:tab w:val="num" w:pos="385"/>
        </w:tabs>
        <w:ind w:left="385" w:firstLine="335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5"/>
        </w:tabs>
        <w:ind w:left="1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5"/>
        </w:tabs>
        <w:ind w:left="2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5"/>
        </w:tabs>
        <w:ind w:left="3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5"/>
        </w:tabs>
        <w:ind w:left="3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5"/>
        </w:tabs>
        <w:ind w:left="5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5"/>
        </w:tabs>
        <w:ind w:left="6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5"/>
        </w:tabs>
        <w:ind w:left="6865" w:hanging="180"/>
      </w:pPr>
      <w:rPr>
        <w:rFonts w:cs="Times New Roman"/>
      </w:rPr>
    </w:lvl>
  </w:abstractNum>
  <w:abstractNum w:abstractNumId="5">
    <w:nsid w:val="1E067D78"/>
    <w:multiLevelType w:val="hybridMultilevel"/>
    <w:tmpl w:val="B718935A"/>
    <w:lvl w:ilvl="0" w:tplc="0BCCD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637A58"/>
    <w:multiLevelType w:val="hybridMultilevel"/>
    <w:tmpl w:val="9AFC5902"/>
    <w:lvl w:ilvl="0" w:tplc="8AAEB72C">
      <w:start w:val="1"/>
      <w:numFmt w:val="decimal"/>
      <w:lvlText w:val="%1"/>
      <w:lvlJc w:val="left"/>
      <w:pPr>
        <w:tabs>
          <w:tab w:val="num" w:pos="0"/>
        </w:tabs>
        <w:ind w:firstLine="335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891C50"/>
    <w:multiLevelType w:val="hybridMultilevel"/>
    <w:tmpl w:val="A7B2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67176F"/>
    <w:multiLevelType w:val="hybridMultilevel"/>
    <w:tmpl w:val="6980D47A"/>
    <w:lvl w:ilvl="0" w:tplc="5B5EBE62">
      <w:start w:val="112"/>
      <w:numFmt w:val="decimal"/>
      <w:lvlText w:val="%1."/>
      <w:lvlJc w:val="left"/>
      <w:pPr>
        <w:tabs>
          <w:tab w:val="num" w:pos="815"/>
        </w:tabs>
        <w:ind w:left="81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E940E7"/>
    <w:multiLevelType w:val="hybridMultilevel"/>
    <w:tmpl w:val="288CEA40"/>
    <w:lvl w:ilvl="0" w:tplc="DB640DBE">
      <w:start w:val="1"/>
      <w:numFmt w:val="decimal"/>
      <w:lvlText w:val="%1."/>
      <w:lvlJc w:val="left"/>
      <w:pPr>
        <w:tabs>
          <w:tab w:val="num" w:pos="907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5900B0"/>
    <w:multiLevelType w:val="hybridMultilevel"/>
    <w:tmpl w:val="7EE496E6"/>
    <w:lvl w:ilvl="0" w:tplc="8AAEB72C">
      <w:start w:val="1"/>
      <w:numFmt w:val="decimal"/>
      <w:lvlText w:val="%1"/>
      <w:lvlJc w:val="left"/>
      <w:pPr>
        <w:tabs>
          <w:tab w:val="num" w:pos="385"/>
        </w:tabs>
        <w:ind w:left="385" w:firstLine="335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11B2618"/>
    <w:multiLevelType w:val="hybridMultilevel"/>
    <w:tmpl w:val="32903146"/>
    <w:lvl w:ilvl="0" w:tplc="FDE603D0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612E9B"/>
    <w:multiLevelType w:val="hybridMultilevel"/>
    <w:tmpl w:val="4E78CC42"/>
    <w:lvl w:ilvl="0" w:tplc="FDE603D0">
      <w:start w:val="1"/>
      <w:numFmt w:val="bullet"/>
      <w:lvlText w:val="-"/>
      <w:lvlJc w:val="left"/>
      <w:pPr>
        <w:tabs>
          <w:tab w:val="num" w:pos="1389"/>
        </w:tabs>
        <w:ind w:left="1389" w:hanging="283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7864144"/>
    <w:multiLevelType w:val="hybridMultilevel"/>
    <w:tmpl w:val="0E4603BA"/>
    <w:lvl w:ilvl="0" w:tplc="43E04542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C1E768E"/>
    <w:multiLevelType w:val="hybridMultilevel"/>
    <w:tmpl w:val="E58006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5700A0B"/>
    <w:multiLevelType w:val="hybridMultilevel"/>
    <w:tmpl w:val="91923422"/>
    <w:lvl w:ilvl="0" w:tplc="6E7C03BC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B32E84"/>
    <w:multiLevelType w:val="multilevel"/>
    <w:tmpl w:val="813A097E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F82"/>
    <w:rsid w:val="00032B2B"/>
    <w:rsid w:val="001B2029"/>
    <w:rsid w:val="00337D81"/>
    <w:rsid w:val="003A32E6"/>
    <w:rsid w:val="003B1A74"/>
    <w:rsid w:val="003B30C2"/>
    <w:rsid w:val="006838C5"/>
    <w:rsid w:val="009A5F82"/>
    <w:rsid w:val="00AC7CFF"/>
    <w:rsid w:val="00B629D5"/>
    <w:rsid w:val="00D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45E31844-562E-4B17-BD85-D131B85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5F8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9A5F8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5">
    <w:name w:val="Hyperlink"/>
    <w:uiPriority w:val="99"/>
    <w:rsid w:val="009A5F82"/>
    <w:rPr>
      <w:rFonts w:cs="Times New Roman"/>
      <w:color w:val="1A6375"/>
      <w:u w:val="single"/>
    </w:rPr>
  </w:style>
  <w:style w:type="paragraph" w:styleId="a6">
    <w:name w:val="footnote text"/>
    <w:basedOn w:val="a"/>
    <w:link w:val="a7"/>
    <w:uiPriority w:val="99"/>
    <w:semiHidden/>
    <w:rsid w:val="009A5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9A5F8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rsid w:val="009A5F82"/>
    <w:rPr>
      <w:rFonts w:cs="Times New Roman"/>
      <w:vertAlign w:val="superscript"/>
    </w:rPr>
  </w:style>
  <w:style w:type="table" w:styleId="a9">
    <w:name w:val="Table Grid"/>
    <w:basedOn w:val="a1"/>
    <w:uiPriority w:val="59"/>
    <w:rsid w:val="009A5F8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9A5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Текст концевой сноски Знак"/>
    <w:link w:val="ac"/>
    <w:semiHidden/>
    <w:locked/>
    <w:rsid w:val="009A5F8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endnote text"/>
    <w:basedOn w:val="a"/>
    <w:link w:val="ab"/>
    <w:uiPriority w:val="99"/>
    <w:semiHidden/>
    <w:rsid w:val="009A5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">
    <w:name w:val="Текст концевой сноски Знак1"/>
    <w:uiPriority w:val="99"/>
    <w:semiHidden/>
    <w:rPr>
      <w:lang w:eastAsia="en-US"/>
    </w:rPr>
  </w:style>
  <w:style w:type="paragraph" w:styleId="ad">
    <w:name w:val="footer"/>
    <w:basedOn w:val="a"/>
    <w:link w:val="ae"/>
    <w:uiPriority w:val="99"/>
    <w:rsid w:val="009A5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9A5F8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page number"/>
    <w:uiPriority w:val="99"/>
    <w:rsid w:val="009A5F82"/>
    <w:rPr>
      <w:rFonts w:cs="Times New Roman"/>
    </w:rPr>
  </w:style>
  <w:style w:type="character" w:customStyle="1" w:styleId="af0">
    <w:name w:val="Текст выноски Знак"/>
    <w:link w:val="af1"/>
    <w:semiHidden/>
    <w:locked/>
    <w:rsid w:val="009A5F82"/>
    <w:rPr>
      <w:rFonts w:ascii="Tahoma" w:hAnsi="Tahoma" w:cs="Tahoma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rsid w:val="009A5F8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rsid w:val="009A5F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link w:val="af2"/>
    <w:uiPriority w:val="99"/>
    <w:locked/>
    <w:rsid w:val="009A5F82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7864</Words>
  <Characters>44830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2014-03-01T15:58:00Z</dcterms:created>
  <dcterms:modified xsi:type="dcterms:W3CDTF">2014-03-01T15:58:00Z</dcterms:modified>
</cp:coreProperties>
</file>