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5E43">
        <w:rPr>
          <w:rFonts w:ascii="Times New Roman" w:hAnsi="Times New Roman"/>
          <w:b/>
          <w:sz w:val="28"/>
          <w:szCs w:val="28"/>
        </w:rPr>
        <w:t>Введение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32E" w:rsidRPr="00355E43" w:rsidRDefault="0053732E" w:rsidP="00355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собой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важнейший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компонент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биосферы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оболочка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определяет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многие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происходящие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биосфере.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Важным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является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плодородие.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Благодаря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нему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являются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основным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средством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производства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сельском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лесном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хозяйствах,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главным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источником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сельскохозяйственных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продуктов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других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растительных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ресурсов,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основой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обеспечения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благосостояния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населения.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Поэтому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охрана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рациональное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использование,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сохранность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повышение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плодородия,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непременное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условие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дальнейшего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экономического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прогресса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общества.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</w:rPr>
        <w:t>Загрязнение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это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попадание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химических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веществ,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токсикантов,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отходов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сельского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хозяйства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промышленного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производства,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коммунально-бытовых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предприятий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размерах,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которые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превышают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обычное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количество,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которое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необходимо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для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участия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биологическом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круговороте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грунтовых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экологических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систем.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Важнейшее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состоит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аккумулировании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органического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вещества,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энергии.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выполняет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биологического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поглотителя,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разрушителя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нейтрализатора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звено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биосферы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будет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сложившееся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функционирование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биосферы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необратимо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нарушится.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поэтому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чрезвычайно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важно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изучение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глобального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биохимического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состояния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антропогенной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деятельности.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всегда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слоя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ветрами,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водой,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стихийными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бедствиями.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Однако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крупные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глобальные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прежде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связаны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деятельностью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(примитивное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земледелие,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беспорядочное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применение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техники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т.д.).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Хозяйственная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сопровождается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неуклонно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уменьшается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счет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строительства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городов,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прокладки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дорог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линий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высоковольтных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электропередач,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затопления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сельскохозяйственных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угодий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строительстве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гидроэлектростанций,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горнодобывающей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огромные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выработанной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вблизи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шахт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неотъемлемой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пейзажа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районов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горнодобывающей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Горнопромышленный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комплекс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нашей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страны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–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важнейший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базовый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элемент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народного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хозяйства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–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играет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определяющую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роль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народном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хозяйстве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является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поставщиком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большей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минерального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сырья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топлива.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суммарной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добыче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минеральных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ресурсов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более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6,5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млрд.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общие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потери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недрах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составляют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2,5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млрд.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числе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устранимые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нынешнем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уровне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техники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сумму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5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–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7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млрд.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руб.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Вместе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производственная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деятельность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горнопромышленного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комплекса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оказывает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значительное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воздействие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окружающую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среду: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атмосферу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выбрасывается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около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50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млн.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вредных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веществ,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водоемы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сбрасывается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более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2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млрд.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м3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загрязнённых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сточных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складируется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поверхности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земли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более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8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млрд.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твёрдых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отходов.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E43" w:rsidRDefault="00355E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55E43">
        <w:rPr>
          <w:rFonts w:ascii="Times New Roman" w:hAnsi="Times New Roman"/>
          <w:b/>
          <w:sz w:val="28"/>
          <w:szCs w:val="28"/>
        </w:rPr>
        <w:t>1.</w:t>
      </w:r>
      <w:r w:rsidR="00355E43">
        <w:rPr>
          <w:rFonts w:ascii="Times New Roman" w:hAnsi="Times New Roman"/>
          <w:b/>
          <w:sz w:val="28"/>
          <w:szCs w:val="28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</w:rPr>
        <w:t>Понятие</w:t>
      </w:r>
      <w:r w:rsidR="00355E43">
        <w:rPr>
          <w:rFonts w:ascii="Times New Roman" w:hAnsi="Times New Roman"/>
          <w:b/>
          <w:sz w:val="28"/>
          <w:szCs w:val="28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</w:rPr>
        <w:t>о</w:t>
      </w:r>
      <w:r w:rsidR="00355E43">
        <w:rPr>
          <w:rFonts w:ascii="Times New Roman" w:hAnsi="Times New Roman"/>
          <w:b/>
          <w:sz w:val="28"/>
          <w:szCs w:val="28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</w:rPr>
        <w:t>почве</w:t>
      </w:r>
      <w:r w:rsidR="00355E43">
        <w:rPr>
          <w:rFonts w:ascii="Times New Roman" w:hAnsi="Times New Roman"/>
          <w:b/>
          <w:sz w:val="28"/>
          <w:szCs w:val="28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</w:rPr>
        <w:t>и</w:t>
      </w:r>
      <w:r w:rsidR="00355E43">
        <w:rPr>
          <w:rFonts w:ascii="Times New Roman" w:hAnsi="Times New Roman"/>
          <w:b/>
          <w:sz w:val="28"/>
          <w:szCs w:val="28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</w:rPr>
        <w:t>почвообразовани</w:t>
      </w:r>
      <w:r w:rsidR="00355E43">
        <w:rPr>
          <w:rFonts w:ascii="Times New Roman" w:hAnsi="Times New Roman"/>
          <w:b/>
          <w:sz w:val="28"/>
          <w:szCs w:val="28"/>
        </w:rPr>
        <w:t>и</w:t>
      </w:r>
    </w:p>
    <w:p w:rsidR="00355E43" w:rsidRDefault="00355E43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особое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природное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образование,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сформировавшееся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результате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преобразования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растениями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животными,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результате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почвообразовательного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процесса.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обладает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особым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плодородием,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служит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основой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сельского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хозяйства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всех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стран.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правильной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эксплуатации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только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теряет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улучшает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становится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более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плодороднее.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колоссальное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природное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богатство,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обеспечивающий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человека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продуктами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питания,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животных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кормами,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промышленность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сырьем.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Веками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тысячелетиями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создавалась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она.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Чтобы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правильно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использовать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почву,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надо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знать,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как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образовывалась,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строение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образовывалась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выходящих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поверхность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земли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влиянием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различных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факторов.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действием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ветра,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атмосферной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влаги,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связи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изменением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климата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температурными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колебаниями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например,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гранит,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постепенно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трескались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превращались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рухляк.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рухляке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поселялись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микроорганизмы,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питающиеся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преимущественно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углеродом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азотом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атмосферы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минеральными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соединениями,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которые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они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получали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породы.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Микроорганизмы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разрушали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своими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выделениями,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химический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постепенно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изменялся.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Затем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здесь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поселялись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лишайники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мхи.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Микроорганизмы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разлагали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остатки,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образуя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гумус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основное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органическое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вещество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содержащее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питательные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вещества,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необходимые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высшим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растениям.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Животные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окончательно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разрушали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породу,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превращая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верхний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слой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почву.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Растительный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опад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лесах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отмершая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травянистая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растительность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после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разложения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микроорганизмами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органического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вещества,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увеличивая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мощность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Лучшие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влагоемкие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воздухопроницаемые,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имеют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мелкокомковатую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мелкозернистую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структуру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комочков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диаметром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1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10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мм.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горной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которой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формируется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значительной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степени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зависят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состоит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твердой,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жидкой,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газообразной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живой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частей.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Твердая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это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минеральные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органические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частицы.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Они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составляют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80-98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%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массы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состоят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песка,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глины,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илистых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частиц,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оставшихся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материнской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результате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почвообразовательного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процесса.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Соотношение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этих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частиц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характеризует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механический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Жидкая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или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раствор,-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растворенными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органическими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минеральными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соединениями.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содержится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долей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процента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40-60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%.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Жидкая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участвует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снабжении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растворенными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элементами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питания.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Газообразная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часть,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воздух,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заполняет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занятые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водой.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воздух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содержит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больше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углекислого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газа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меньше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кислорода,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атмосферный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воздух,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также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метан,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летучие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органические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соединения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др.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Живая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часть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состоит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микроорганизмов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(бактерии,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грибы,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водоросли,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актиномицеты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др.),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представителей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беспозвоночных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(простейших,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червей,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моллюсков,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насекомых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личинок),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роющих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позвоночных.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Они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обитают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основном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верхних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слоях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около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корней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растений,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где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добывают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себе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пищу.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Некоторые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организмы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могут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только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корнях.</w:t>
      </w:r>
      <w:r w:rsidR="00355E43">
        <w:rPr>
          <w:rFonts w:ascii="Times New Roman" w:hAnsi="Times New Roman"/>
          <w:sz w:val="28"/>
          <w:szCs w:val="28"/>
        </w:rPr>
        <w:t xml:space="preserve"> 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содержит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микроэлементы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(азот,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фосфор,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калий,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кальций,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сера,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железо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др.)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микроэлементы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(бор,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марганец,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молибден,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цинк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др.),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которые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потребляют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ограниченных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количествах.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соотношение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определяет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химический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физических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наибольшее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значение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имеет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влагоемкость,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водопроницаемость,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скважность.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Состав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постоянно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меняются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влиянием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жизнедеятельности,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климата,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деятельности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человека.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внесении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удобрений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обогащается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питательными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для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растений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веществами,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изменяет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физические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свойства.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Неправильная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эксплуатация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может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привести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нарушению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почвенного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покрова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эрозии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засолению,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заболачиванию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ее.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выбросами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оседающие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выбросов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чрезвычайно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разнообразен;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накапливаться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почвах,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изменять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свойства,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отрицательно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растения,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накапливаться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количествах,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вредных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животных.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5E4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Горнорудная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промышленность</w:t>
      </w:r>
    </w:p>
    <w:p w:rsidR="00355E43" w:rsidRDefault="00355E43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</w:rPr>
        <w:t>Горнорудная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промышленность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-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комплекс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отраслей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добыче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обогащению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различных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видов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рудного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сырья.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Включает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добычу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железных,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марганцевых,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хромовых,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ванадиевых,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титановых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руд,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цветных,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редких,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радиоактивных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благородных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металлов,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также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редкоземельных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элементов.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Обогащение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включает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процессы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отделения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полезных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компонентов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пустой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разделения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различных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полезных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компонентов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при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комплексном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характере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разрабатываемого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месторождения,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гидрометаллургическую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химическую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переработки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руд,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результате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которых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получаются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концентраты,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идущие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плавку,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отвалы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(хвосты).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многогранно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носит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ярко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негативный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целый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выделяются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механическая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выражающаяся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повреждении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механическая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морфологии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Кроме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физическом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свойствах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активное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химическое,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случаев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радиоактивное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земель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превышают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технологических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элементами-загрязнителями.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Негативное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давление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испытывают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себе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горнодобывающих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горноперерабатывающих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Главный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трансформации.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ископаемых,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частичное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срезание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перемешивание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погребение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органическим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материалом.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случаев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замещается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почвоподобными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образованиями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непочвенными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грунтами.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факторы,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определяющие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трансформацию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районе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обусловлены: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выводом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дневную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масс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дезинтегрированных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высоким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содержанием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сульфидов,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преимущественно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пирита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марказита;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дальнейшее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существенной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перестройке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обстановок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сопряженных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ландшафтах;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просадок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выработанным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пространством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соответственно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грунтов.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Закономерность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трансформации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каждом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неодинаковы.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Появление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дневной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погребению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продуктами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размыва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переотложения.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сопряженных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формированию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наносов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мощностью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сантиметров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твердого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поступает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верхние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эоловым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путём.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близлежащих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пашнях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припахивание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собственно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почвенному,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постепенной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трансформации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пахотных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сплошного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поступлении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твердого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(террикона)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препятствует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обработке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Однако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велико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пахотные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выводятся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эксплуатации,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сплошного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плаща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наноса.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мощности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перекрывающего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стратификации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(хаотично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перемешанный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слоистый)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выделяют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распространенных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вариантов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преобразования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вертикального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погребение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исходных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вывод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сферы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почвообразования.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Перекрывающие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отложения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рассматривать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новообразованную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материнскую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почвообразование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начинается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нуль-момента.</w:t>
      </w:r>
    </w:p>
    <w:p w:rsid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мощности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наложенного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субстрата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меньше,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исходных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двучленный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профиль.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ложиться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мере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тело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либо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перекрывать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ненарушенные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Изоляция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(экранирование)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чужеродным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наносом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фильтрация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через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захороненный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кислых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растворов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консервации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(омертвению),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заметному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преобразованию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массы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вертикального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Новообразованное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тело,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состоит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двух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частей,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граница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между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всегда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отчетлива.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Иногда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обнаруживаются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совершенно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особые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ситуации,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когда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морфологии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термическими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возникающими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самовозгорании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После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пирогенно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преобразованные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прорабатываются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кислыми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растворами.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каждом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названных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закономерности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трансформации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направленность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дальнейшей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эволюции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различаются.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эволюции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играет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текстура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наложенных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субстратов,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протекающих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Наряду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аккумуляцией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твердого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прилежащие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поступают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агрессивные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фильтрационных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значительная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принадлежит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кислым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токсичным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соединениям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железа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алюминия.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Общая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минерализация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11-33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г/л,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колеблется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2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Опаснейшим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военно</w:t>
      </w:r>
      <w:r w:rsidR="00355E43">
        <w:rPr>
          <w:rFonts w:ascii="Times New Roman" w:hAnsi="Times New Roman"/>
          <w:sz w:val="28"/>
          <w:szCs w:val="28"/>
          <w:lang w:eastAsia="ru-RU"/>
        </w:rPr>
        <w:t>-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комплекса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войны,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несущие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обширные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опустошения.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1496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1861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люди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мире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227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лет,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воевали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3130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лет.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период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1900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1938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гг.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произошло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24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войны,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1946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1979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130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войн.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Войны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обитания.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источники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техногенеза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трёх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направлениях: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загрязняют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веществами,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включая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токсичные;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включая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строительстве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гражданских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объектов,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дорог,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трасс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электролиний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других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сооружений.</w:t>
      </w:r>
    </w:p>
    <w:p w:rsid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первичная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переработка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сопряжены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деградацией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частичной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потерей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ресурсов,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возникновением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природоохранных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проблем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ухудшением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качества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обитания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районах.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Горная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Казахстане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развивается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очень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давно.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60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отрабатываются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касситеритовые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касситерит-сульфидные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месторождения.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тел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дневной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остаются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огромные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выработки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расчистки,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штольни,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вмещающих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обработки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извлечения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концентрата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остатки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содержанием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олова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выносятся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шламовыми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содержащими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реагенты,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складируются.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обычно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Сверху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шламовыми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озёрами.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тонкодисперсной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массой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серого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цвета,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состоящей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пирита,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пирротина,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галенита,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сфалерита,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арсенопирита.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халькопирита,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кварца,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турмалина,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хлорита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других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Окисление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сульфидов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появлению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многочисленных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сульфатов: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халькантита,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гипса,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галотрихита,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мелантерита,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сидеротила,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алуногена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др.,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входят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Сu,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Fe,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Mg,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Al,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Ca,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S.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близости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чувствуется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сильный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запах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сернистых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газов.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Окисление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сульфидов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длительный.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Пирит,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окисляется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800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лет.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Известно,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вблизи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выброс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токсичных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(%):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As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93,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Pb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65,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Cr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56,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Mn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50,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Cd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38,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Cu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34,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Hg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32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процессам,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находятся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стадии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интенсивного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экосферу.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мощный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средообразующий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фактор,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сернокислые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природно-техногенные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ландшафты.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Наибольшие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Казахстана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промышленность,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способом.</w:t>
      </w:r>
    </w:p>
    <w:p w:rsid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ведёт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сведению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миграцию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гидрологический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сильное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многом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построена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следующей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схеме: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ископаемого,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переработки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месте;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переработка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целью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извлечения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компонента;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складирование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4.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транспортировка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передача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конечного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продукта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потребителю.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функционировании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любого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проявляются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направления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(включая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покров):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(почва,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растительность,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фауна,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занятие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ненарушенных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ландшафтов;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рассеяние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пути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транспортировки.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функционирования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добывающими;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добывающими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обогащающими;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добывающими,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обогащающими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перерабатывающими.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функциональных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задач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разнообразнее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ещё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специализацией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данному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признаку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Казахстана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разделяются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золотодобывающие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(«Золото»);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угледобывающие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(«Уголь»);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цветные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металлы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(«Полиметаллы»);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4.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стройматериалы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(«Цемент»,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«Щебень»,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«Песок»);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5.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агрохимическое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сырьё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(«Агроруда»).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обусловливаются,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прежде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стройматериалов.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ведётся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(разрезы,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поля)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(шахты,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штольни).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условий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залегания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проводимых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работ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дамбы,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плотины,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водохранилища,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создавать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осушительные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т.п.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работы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по-разному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принципиально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по-разному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воздействуют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отличающиеся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Горнорудные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ведущие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1.полностью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поля;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(карьеру)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складирование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(отвалы);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вызывают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(техногенных)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Горнорудные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ведущие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воздействуют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терриконы;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вызывают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(техногенных)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вокруг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терриконов;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просадочных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явлений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шахт,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штолен,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ложбины,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лога,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овраги.</w:t>
      </w:r>
    </w:p>
    <w:p w:rsidR="00917597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видим,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функционирования.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нооландшафт),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обусловливают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явлений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просадочные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явления,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Каждый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обусловливает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«своих»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последствий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(табл.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(разрезы)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по-своему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воздействуют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естественное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сложение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(стратификацию)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сырья,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складирование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917597" w:rsidRP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отчуждаемых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площадей,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связи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ух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природной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упаковки,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правило,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превышает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объёмы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складируемых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7597" w:rsidRPr="00355E43">
        <w:rPr>
          <w:rFonts w:ascii="Times New Roman" w:hAnsi="Times New Roman"/>
          <w:sz w:val="28"/>
          <w:szCs w:val="28"/>
          <w:lang w:eastAsia="ru-RU"/>
        </w:rPr>
        <w:t>пород.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Таблица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268"/>
        <w:gridCol w:w="1950"/>
      </w:tblGrid>
      <w:tr w:rsidR="0053732E" w:rsidRPr="00EA3011" w:rsidTr="00EA3011">
        <w:trPr>
          <w:trHeight w:val="601"/>
        </w:trPr>
        <w:tc>
          <w:tcPr>
            <w:tcW w:w="3085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Воздействие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горнорудных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предприятий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почвенный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покров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Характер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деятельности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горнорудного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предприятия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Формы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воздействия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почвы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Возникающие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формы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рельефа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Последствия</w:t>
            </w:r>
          </w:p>
        </w:tc>
      </w:tr>
      <w:tr w:rsidR="0053732E" w:rsidRPr="00EA3011" w:rsidTr="00EA3011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1.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Добыча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полезных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ископаемых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открытым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способом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Уничтожение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почвенного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покрова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Карьеры,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разрезы,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др</w:t>
            </w:r>
            <w:r w:rsidR="00917597" w:rsidRPr="00EA3011">
              <w:rPr>
                <w:color w:val="auto"/>
                <w:sz w:val="20"/>
                <w:szCs w:val="20"/>
              </w:rPr>
              <w:t>ен</w:t>
            </w:r>
            <w:r w:rsidRPr="00EA3011">
              <w:rPr>
                <w:color w:val="auto"/>
                <w:sz w:val="20"/>
                <w:szCs w:val="20"/>
              </w:rPr>
              <w:t>ажные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поля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Развитие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эрозионных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процессов</w:t>
            </w:r>
          </w:p>
        </w:tc>
      </w:tr>
      <w:tr w:rsidR="00917597" w:rsidRPr="00EA3011" w:rsidTr="00EA3011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2. Складирование горной породы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Отчуждение почв под отвалы горной породы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Гряды, гребни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Вторичные геохи-мические потоки, эрозионные процессы</w:t>
            </w:r>
          </w:p>
        </w:tc>
      </w:tr>
      <w:tr w:rsidR="00917597" w:rsidRPr="00EA3011" w:rsidTr="00EA3011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3. Добыча полезных ископаемых закрытым способом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Отчуждение почв под терриконы, осадочные явления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Терриконы, лога, ложбины, овраги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Вторичные геохи-мические потоки,</w:t>
            </w:r>
          </w:p>
        </w:tc>
      </w:tr>
      <w:tr w:rsidR="00917597" w:rsidRPr="00EA3011" w:rsidTr="00EA3011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4. Переработка горной породы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Отчуждение почв под хвостохранилища, золонакопители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Гряды, гребни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Эрозионные процессы</w:t>
            </w:r>
          </w:p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Вторичные геохи-мические потоки, эрозионные процессы</w:t>
            </w:r>
          </w:p>
        </w:tc>
      </w:tr>
      <w:tr w:rsidR="00917597" w:rsidRPr="00EA3011" w:rsidTr="00EA3011">
        <w:trPr>
          <w:trHeight w:val="20"/>
        </w:trPr>
        <w:tc>
          <w:tcPr>
            <w:tcW w:w="3085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5. Строительство предприятий горнорудной промышленности, подъездных путей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Уничтожение и отчуждение почвенного покрова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Котлованы, террасы, плотины, дамбы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ind w:left="-112" w:right="-99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Вторичные геохи-мические потоки, эрозия, иссушение, заболачивание.</w:t>
            </w:r>
          </w:p>
        </w:tc>
      </w:tr>
    </w:tbl>
    <w:p w:rsidR="00917597" w:rsidRDefault="00917597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Л.Т.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Крупской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выведена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зависимость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отчуждаемых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объемов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вынутых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(табл.2).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таблицы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тонна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вынутой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0,003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размещается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295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тонн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сравнения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укажем,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землеёмкой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россыпных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редких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металлов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когда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тонна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0,2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размещается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506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вынутой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единицы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залегания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пластов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залегают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пласты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вынимается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Земли.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7597" w:rsidRDefault="00917597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53732E" w:rsidRPr="00355E43" w:rsidRDefault="0053732E" w:rsidP="00917597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</w:rPr>
        <w:t>Таблица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2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</w:rPr>
        <w:t>Объём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вскрышных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пород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занятые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ими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площади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2835"/>
        <w:gridCol w:w="1936"/>
      </w:tblGrid>
      <w:tr w:rsidR="0053732E" w:rsidRPr="00EA3011" w:rsidTr="00EA3011">
        <w:trPr>
          <w:trHeight w:val="666"/>
        </w:trPr>
        <w:tc>
          <w:tcPr>
            <w:tcW w:w="2943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Вынуто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горной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породы,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тыс.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м</w:t>
            </w:r>
            <w:r w:rsidRPr="00EA3011">
              <w:rPr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Занято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площади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(тыс.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га)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вынутой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породой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Количество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породы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(тыс.т),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занимающей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1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площади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земли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Площадь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земли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(га),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занимаемая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тонной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породы</w:t>
            </w:r>
          </w:p>
        </w:tc>
      </w:tr>
      <w:tr w:rsidR="0053732E" w:rsidRPr="00EA3011" w:rsidTr="00EA3011">
        <w:trPr>
          <w:trHeight w:val="1310"/>
        </w:trPr>
        <w:tc>
          <w:tcPr>
            <w:tcW w:w="2943" w:type="dxa"/>
            <w:shd w:val="clear" w:color="auto" w:fill="auto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При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добыче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угля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-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2956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При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переработке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-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22900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При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добыче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россыпных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мес-торождениях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–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7340</w:t>
            </w:r>
          </w:p>
        </w:tc>
        <w:tc>
          <w:tcPr>
            <w:tcW w:w="1843" w:type="dxa"/>
            <w:shd w:val="clear" w:color="auto" w:fill="auto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10,0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184,0</w:t>
            </w:r>
          </w:p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145,0</w:t>
            </w:r>
          </w:p>
        </w:tc>
        <w:tc>
          <w:tcPr>
            <w:tcW w:w="2835" w:type="dxa"/>
            <w:shd w:val="clear" w:color="auto" w:fill="auto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295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124</w:t>
            </w:r>
          </w:p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506</w:t>
            </w:r>
          </w:p>
        </w:tc>
        <w:tc>
          <w:tcPr>
            <w:tcW w:w="1936" w:type="dxa"/>
            <w:shd w:val="clear" w:color="auto" w:fill="auto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0,0033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0,008</w:t>
            </w:r>
          </w:p>
          <w:p w:rsidR="00917597" w:rsidRPr="00EA3011" w:rsidRDefault="00917597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0,02</w:t>
            </w:r>
          </w:p>
        </w:tc>
      </w:tr>
    </w:tbl>
    <w:p w:rsidR="0053732E" w:rsidRPr="00355E43" w:rsidRDefault="0053732E" w:rsidP="00355E43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Размеры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(котлованов)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400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диаметры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сотни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километров.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занимаемые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обусловлено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(ширина,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глубина)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высотой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создаваемых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50-100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видим,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объекты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определяют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величину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степени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её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целом,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частности.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величины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соотношения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объёмов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тонне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совершенно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занимаемые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весь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комплекс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выражено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следующих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формах: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сведение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рельефа;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(возникает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техногенный</w:t>
      </w:r>
      <w:r w:rsidR="00917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нооландшафт);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4.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пылью,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элементами-загрязнителями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токсикантами,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высвобождающимися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выветривании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окружающую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показаны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табл.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</w:p>
    <w:p w:rsidR="00917597" w:rsidRDefault="00917597" w:rsidP="00355E43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732E" w:rsidRPr="00355E43" w:rsidRDefault="0053732E" w:rsidP="00917597">
      <w:pPr>
        <w:pStyle w:val="Default"/>
        <w:widowControl w:val="0"/>
        <w:spacing w:line="360" w:lineRule="auto"/>
        <w:ind w:firstLine="709"/>
        <w:jc w:val="right"/>
        <w:rPr>
          <w:color w:val="auto"/>
          <w:sz w:val="28"/>
          <w:szCs w:val="28"/>
        </w:rPr>
      </w:pPr>
      <w:r w:rsidRPr="00355E43">
        <w:rPr>
          <w:color w:val="auto"/>
          <w:sz w:val="28"/>
          <w:szCs w:val="28"/>
        </w:rPr>
        <w:t>Таблица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3</w:t>
      </w:r>
    </w:p>
    <w:p w:rsidR="0053732E" w:rsidRPr="00355E43" w:rsidRDefault="0053732E" w:rsidP="00355E43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55E43">
        <w:rPr>
          <w:color w:val="auto"/>
          <w:sz w:val="28"/>
          <w:szCs w:val="28"/>
        </w:rPr>
        <w:t>Особенности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воздействия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на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территорию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угольного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месторождения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2977"/>
        <w:gridCol w:w="1417"/>
        <w:gridCol w:w="1598"/>
        <w:gridCol w:w="1666"/>
      </w:tblGrid>
      <w:tr w:rsidR="0053732E" w:rsidRPr="00EA3011" w:rsidTr="00EA3011">
        <w:trPr>
          <w:trHeight w:val="345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:rsidR="00291B8A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(открытый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способ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добычи)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</w:p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Основной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объект</w:t>
            </w:r>
          </w:p>
        </w:tc>
        <w:tc>
          <w:tcPr>
            <w:tcW w:w="7658" w:type="dxa"/>
            <w:gridSpan w:val="4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Объекты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воздействия</w:t>
            </w:r>
          </w:p>
        </w:tc>
      </w:tr>
      <w:tr w:rsidR="0053732E" w:rsidRPr="00EA3011" w:rsidTr="00EA3011">
        <w:trPr>
          <w:trHeight w:val="183"/>
        </w:trPr>
        <w:tc>
          <w:tcPr>
            <w:tcW w:w="1913" w:type="dxa"/>
            <w:vMerge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Почва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недра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воздух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вода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биогеоценозы</w:t>
            </w:r>
          </w:p>
        </w:tc>
      </w:tr>
      <w:tr w:rsidR="0053732E" w:rsidRPr="00EA3011" w:rsidTr="00EA3011">
        <w:trPr>
          <w:trHeight w:val="2277"/>
        </w:trPr>
        <w:tc>
          <w:tcPr>
            <w:tcW w:w="1913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Карьер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Загрязнение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угольной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пылью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. </w:t>
            </w:r>
            <w:r w:rsidRPr="00EA3011">
              <w:rPr>
                <w:color w:val="auto"/>
                <w:sz w:val="20"/>
                <w:szCs w:val="20"/>
              </w:rPr>
              <w:t>Изъятие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угля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вмещающей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породы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Нарушение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рельефа,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внутренней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структуры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почв,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г</w:t>
            </w:r>
            <w:r w:rsidRPr="00EA3011">
              <w:rPr>
                <w:color w:val="auto"/>
                <w:sz w:val="20"/>
                <w:szCs w:val="20"/>
              </w:rPr>
              <w:t>рунтов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. </w:t>
            </w:r>
            <w:r w:rsidRPr="00EA3011">
              <w:rPr>
                <w:color w:val="auto"/>
                <w:sz w:val="20"/>
                <w:szCs w:val="20"/>
              </w:rPr>
              <w:t>Отчуждение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земельных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угодий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. </w:t>
            </w:r>
            <w:r w:rsidRPr="00EA3011">
              <w:rPr>
                <w:color w:val="auto"/>
                <w:sz w:val="20"/>
                <w:szCs w:val="20"/>
              </w:rPr>
              <w:t>Уничтожение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почвенного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покрова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Загрязнение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угольной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пылью,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газами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Загрязнение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ухудшение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качества;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нарушение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водного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баланса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грунтовых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вод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Нарушение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качественной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структуры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количественныхсоотношений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внутри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биогеоценозов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прилегающих</w:t>
            </w:r>
            <w:r w:rsidR="00917597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территориях</w:t>
            </w:r>
          </w:p>
        </w:tc>
      </w:tr>
      <w:tr w:rsidR="0053732E" w:rsidRPr="00EA3011" w:rsidTr="00EA3011">
        <w:trPr>
          <w:trHeight w:val="2612"/>
        </w:trPr>
        <w:tc>
          <w:tcPr>
            <w:tcW w:w="1913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Отвалы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Загрязнение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отработанной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породой,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угольной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пылью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. </w:t>
            </w:r>
            <w:r w:rsidRPr="00EA3011">
              <w:rPr>
                <w:color w:val="auto"/>
                <w:sz w:val="20"/>
                <w:szCs w:val="20"/>
              </w:rPr>
              <w:t>Отчуждение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земельных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угодий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. </w:t>
            </w:r>
            <w:r w:rsidRPr="00EA3011">
              <w:rPr>
                <w:color w:val="auto"/>
                <w:sz w:val="20"/>
                <w:szCs w:val="20"/>
              </w:rPr>
              <w:t>Нарушение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рельефа,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структур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почв,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грунтов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:rsidR="0053732E" w:rsidRPr="00EA3011" w:rsidRDefault="00917597" w:rsidP="00EA3011">
            <w:pPr>
              <w:pStyle w:val="Default"/>
              <w:widowControl w:val="0"/>
              <w:spacing w:line="360" w:lineRule="auto"/>
              <w:ind w:right="-108" w:hanging="102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Загрязнение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угольной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пылью, газами, химическими</w:t>
            </w:r>
            <w:r w:rsidR="00291B8A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элементами-загрязнителями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Нарушение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качественной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структуры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количественныхсоотношений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внутри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биогеоценозов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на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прилегающей</w:t>
            </w:r>
            <w:r w:rsidR="00355E43" w:rsidRPr="00EA3011">
              <w:rPr>
                <w:color w:val="auto"/>
                <w:sz w:val="20"/>
                <w:szCs w:val="20"/>
              </w:rPr>
              <w:t xml:space="preserve"> </w:t>
            </w:r>
            <w:r w:rsidRPr="00EA3011">
              <w:rPr>
                <w:color w:val="auto"/>
                <w:sz w:val="20"/>
                <w:szCs w:val="20"/>
              </w:rPr>
              <w:t>территории</w:t>
            </w:r>
          </w:p>
        </w:tc>
      </w:tr>
    </w:tbl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ландшафта: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котлованы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гряды.</w:t>
      </w:r>
    </w:p>
    <w:p w:rsidR="00291B8A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Котлованы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(внутренние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стенки)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ступенчатыми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(террасовидными)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прямыми.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Ступенчатый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уступов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шириной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горизонтальной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Прямые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протяженности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вертикали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наклона.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восстановительных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работ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воссоздании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конфигурации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продолговатыми,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округлыми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квадратными.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простиранием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пластов.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встречаются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продолговатой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близости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B8A">
        <w:rPr>
          <w:rFonts w:ascii="Times New Roman" w:hAnsi="Times New Roman"/>
          <w:sz w:val="28"/>
          <w:szCs w:val="28"/>
          <w:lang w:eastAsia="ru-RU"/>
        </w:rPr>
        <w:t>от</w:t>
      </w:r>
      <w:r w:rsidRPr="00355E43">
        <w:rPr>
          <w:rFonts w:ascii="Times New Roman" w:hAnsi="Times New Roman"/>
          <w:sz w:val="28"/>
          <w:szCs w:val="28"/>
          <w:lang w:eastAsia="ru-RU"/>
        </w:rPr>
        <w:t>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правило,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увалы,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превышение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иногда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сотни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проекции,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занимаемые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самые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разные: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круг,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овал,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эллипс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т.п.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крутизну,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10-15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45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градусов.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видоизменяют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морфологию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резко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гидрологический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резко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расчлененным.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Амплитуда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между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самой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низкой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точкой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самой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высокой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500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водосборниками,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подвергаются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иссушению.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Расчлененность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возникших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нооландшафтах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денудационных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снос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мелкозема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20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т/га,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языки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коллювия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простираются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500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препятствует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обнаженных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поверхностях,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котловане,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закрепиться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течение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20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лет.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вокруг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линии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стока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(техногенные)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отвалам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биоту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целом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слагающих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содержат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тяжелых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металлов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(табл.4).</w:t>
      </w:r>
    </w:p>
    <w:p w:rsidR="00291B8A" w:rsidRDefault="00291B8A" w:rsidP="00355E43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3732E" w:rsidRPr="00355E43" w:rsidRDefault="0053732E" w:rsidP="00291B8A">
      <w:pPr>
        <w:pStyle w:val="Default"/>
        <w:widowControl w:val="0"/>
        <w:spacing w:line="360" w:lineRule="auto"/>
        <w:ind w:firstLine="709"/>
        <w:jc w:val="right"/>
        <w:rPr>
          <w:color w:val="auto"/>
          <w:sz w:val="28"/>
          <w:szCs w:val="28"/>
        </w:rPr>
      </w:pPr>
      <w:r w:rsidRPr="00355E43">
        <w:rPr>
          <w:color w:val="auto"/>
          <w:sz w:val="28"/>
          <w:szCs w:val="28"/>
        </w:rPr>
        <w:t>Таблица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4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элементов-загрязнителей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(г/т)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вскрышных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угольного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3732E" w:rsidRPr="00EA3011" w:rsidTr="00EA3011">
        <w:trPr>
          <w:trHeight w:val="20"/>
        </w:trPr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Ni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Co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Cu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V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Sn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Pb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Mn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Cr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Mo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B</w:t>
            </w:r>
          </w:p>
        </w:tc>
      </w:tr>
      <w:tr w:rsidR="0053732E" w:rsidRPr="00EA3011" w:rsidTr="00EA3011">
        <w:trPr>
          <w:trHeight w:val="20"/>
        </w:trPr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0,5-0,8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1,8-2,3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0,2-0,6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9,4-10,6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0,6-1,8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2,2-6,0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3,2-32,0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1,4-4,9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следы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3732E" w:rsidRPr="00EA3011" w:rsidRDefault="0053732E" w:rsidP="00EA3011">
            <w:pPr>
              <w:pStyle w:val="Default"/>
              <w:widowControl w:val="0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  <w:r w:rsidRPr="00EA3011">
              <w:rPr>
                <w:color w:val="auto"/>
                <w:sz w:val="20"/>
                <w:szCs w:val="20"/>
              </w:rPr>
              <w:t>следы</w:t>
            </w:r>
          </w:p>
        </w:tc>
      </w:tr>
    </w:tbl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Химические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поступают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через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(табл.).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сернистый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ангидрид,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оксиды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углерода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азота.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поступают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кислых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дождей.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Кроме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каменноугольных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разрезов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выбрасывается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твердых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частиц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пыли.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шахтным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проявлением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просадочных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явлений,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(техногенных)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гидрологический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B8A" w:rsidRPr="00355E43">
        <w:rPr>
          <w:rFonts w:ascii="Times New Roman" w:hAnsi="Times New Roman"/>
          <w:sz w:val="28"/>
          <w:szCs w:val="28"/>
          <w:lang w:eastAsia="ru-RU"/>
        </w:rPr>
        <w:t>территории,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развиваются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промоин,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неглубоких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ложбин.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подножия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устьевой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промоин,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ложбин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мелкозема.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небольшую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протяженность.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ложбин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ширину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длину.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Конфигурация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ложбин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обычно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вытянутая,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округлая.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шахтного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залегания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терриконы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диаметр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</w:p>
    <w:p w:rsidR="0053732E" w:rsidRPr="00EA3011" w:rsidRDefault="00FB2F4B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EA3011">
        <w:rPr>
          <w:rFonts w:ascii="Times New Roman" w:hAnsi="Times New Roman"/>
          <w:color w:val="FFFFFF"/>
          <w:sz w:val="28"/>
          <w:szCs w:val="28"/>
          <w:lang w:eastAsia="ru-RU"/>
        </w:rPr>
        <w:t>почва трансформация горнорудный добыча уголь</w:t>
      </w:r>
    </w:p>
    <w:p w:rsidR="00291B8A" w:rsidRDefault="00291B8A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91B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Разрушение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стройматериалов</w:t>
      </w:r>
    </w:p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Стройматериалы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(глины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кирпича,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пески,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гравий,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кристаллические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граниты,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мрамор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др.)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добываются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способом.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замкнутые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террас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гравия,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песка,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щебня.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обычно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кирпичного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правило,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выровненных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поверхностях.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лишь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весь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удаляется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переработку.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гидрологического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дренируют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замкнутые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превращаются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водоёмы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могут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дренировать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наоборот,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подтапливать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Глубокие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низким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уровнем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зеркала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дренируют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неглубокие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зеркало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близко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подтапливают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замкнутые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образующиеся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служат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началом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Степень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стадии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оврагообразования.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Степень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вокруг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зависит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крутизны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слагающих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крупные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рыхлых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породах.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источником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(техногенных)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песков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нередко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селевые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коллювиальные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Протяженность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обусловливается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уклонов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составлять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щебнистого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короткие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протяженности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мелкоземистого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сопровождается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нооландшафтов: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замкнутого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типа,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типа,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овраги,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конусы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выноса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перекрывают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пульсирующих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(прерывистых)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почвообразования.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Возникновение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гидрологического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291B8A">
        <w:rPr>
          <w:rFonts w:ascii="Times New Roman" w:hAnsi="Times New Roman"/>
          <w:sz w:val="28"/>
          <w:szCs w:val="28"/>
          <w:lang w:eastAsia="ru-RU"/>
        </w:rPr>
        <w:t>. В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(техногенные)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повсеместно,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квадратных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гектаров.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сотен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</w:p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5E43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291B8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золоторудной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промышленности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покров</w:t>
      </w:r>
    </w:p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двумя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способами: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29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россыпное;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рудное.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карьерного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своему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строительных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россыпей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окружающих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зон.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россыпных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драги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создаёт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совершенно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«дражные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поля».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собой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серию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возвышенностей,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перемежающихся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межгрядовыми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понижениями.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Высота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обычно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вытянуты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одном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направлении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ориентированы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вдоль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русла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реки.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поперечные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дугообразные.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Протяженность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достигает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сотен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целом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занимать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гектаров.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Сложены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обычно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гравийным,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песчано-гравийным,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аллювиальным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отложениями,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долины,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идет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россыпного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золота.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Склона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уклоны,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40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градусов.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представляют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собой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«лунный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ландшафт»,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уничтожена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биота.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россыпей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преобладает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механическое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возникло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многолетней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мерзлоты.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Здесь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биоты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идет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медленно,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поэтому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дражных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намного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медленнее,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южных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районах.</w:t>
      </w:r>
    </w:p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732E" w:rsidRPr="00355E43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53732E" w:rsidRPr="00355E43">
        <w:rPr>
          <w:rFonts w:ascii="Times New Roman" w:hAnsi="Times New Roman"/>
          <w:b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32E" w:rsidRPr="00355E43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32E" w:rsidRPr="00355E43">
        <w:rPr>
          <w:rFonts w:ascii="Times New Roman" w:hAnsi="Times New Roman"/>
          <w:b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32E" w:rsidRPr="00355E43">
        <w:rPr>
          <w:rFonts w:ascii="Times New Roman" w:hAnsi="Times New Roman"/>
          <w:b/>
          <w:sz w:val="28"/>
          <w:szCs w:val="28"/>
          <w:lang w:eastAsia="ru-RU"/>
        </w:rPr>
        <w:t>перерабатывающих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32E" w:rsidRPr="00355E43">
        <w:rPr>
          <w:rFonts w:ascii="Times New Roman" w:hAnsi="Times New Roman"/>
          <w:b/>
          <w:sz w:val="28"/>
          <w:szCs w:val="28"/>
          <w:lang w:eastAsia="ru-RU"/>
        </w:rPr>
        <w:t>горнорудных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32E" w:rsidRPr="00355E43">
        <w:rPr>
          <w:rFonts w:ascii="Times New Roman" w:hAnsi="Times New Roman"/>
          <w:b/>
          <w:sz w:val="28"/>
          <w:szCs w:val="28"/>
          <w:lang w:eastAsia="ru-RU"/>
        </w:rPr>
        <w:t>предприятий</w:t>
      </w:r>
    </w:p>
    <w:p w:rsidR="00291B8A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перерабатывающим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обогатительные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фабрики,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ТЭЦ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металлургические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заводы.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отчуждают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строящуюся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инфраструктуру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перерабатывающие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«выбрасывают»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отработанную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горную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(хвоста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производства),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золонакопителей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ТЭЦ,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жидких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Кроме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перерабатывающие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выбрасывают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твердые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(пыль),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газообразные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вещества.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загрязнителями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(оксиды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углерода,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азота,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пыль).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данным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микроскопии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микрозондирования,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макро-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микродифракциях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пыли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присутствуют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следующие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силикат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железа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свинца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оксид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титана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цинка,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халькопирит,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галенит,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борнит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Вокруг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существующим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уклонам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вторичные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(техногенные)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нередко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содержащие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токсические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соединения).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защитные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преграды,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протяженность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может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быть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большой.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обусловливается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уклонами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климатом.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Золонакопители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функционирующих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ТЭЦ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обычно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располагают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оврагах,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логах,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ложбинах.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золонакопители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любых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рельефа.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гряды,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увалы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другие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нооландшафтов.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Нередко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золонакопителей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уклонам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образуются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селевые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потоки.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Исследования,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проведенные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Зверевой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(2000-2005)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позволили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схему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экосферу.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схеме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показано,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любое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тело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существующее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коре,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естественных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агентов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выветривания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подвергается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процессам,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следствием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растворы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продукты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созданию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естественного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геохимического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ореола,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барьером,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снижающим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экосферу.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Отработка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месторождений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открытым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закрытым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способами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наличию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некондиционных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пустых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пород,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переработка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горно-обогатительной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фабрике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отходов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обогащения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хвостохранилищ,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сверху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закрыты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озерами,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состоящими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шламовых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более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активно.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называются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Хотя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суть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меняются.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случаев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имеют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просто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гигантские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размеры,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распространяясь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гектаров,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содержат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десятки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миллионов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тонн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хвостов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некондиционных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руд.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масштаб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процессов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гипергенных.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приводит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уничтожению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экологического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равновесия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Попадая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атмосферу,</w:t>
      </w:r>
      <w:r w:rsidR="0029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водоёмы.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Загрязнители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остаются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месте,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включаются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круговорот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веществ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удаляются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очень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медленно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выщелачивании,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потреблении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растениями,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эрозии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дефляции.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Период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полуудаления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(или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удалении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половины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начальной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концентрации)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следующий: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Zn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70-510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лет,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Cd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13-110,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Cu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310-1500,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Pb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740-5900.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Скорость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самоочищения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природных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ниже,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загрязнение.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экосистеме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вернуться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первоначальное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состояние.</w:t>
      </w: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br w:type="page"/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53732E" w:rsidRPr="00355E43" w:rsidRDefault="0053732E" w:rsidP="00355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732E" w:rsidRPr="00355E43" w:rsidRDefault="0053732E" w:rsidP="00355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многогранно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носит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ярко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негативный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характер.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целый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нарушений,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которых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выделяются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механическая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форма,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выражающаяся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повреждении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поверхности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механическая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глубинная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морфологии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Кроме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того,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происходят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физическом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составе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свойствах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активное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химическое,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случаев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радиоактивное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земель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прилегающих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территорий.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превышают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площади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технологических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отвалов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химическими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элементами-загрязнителями.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Негативное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давление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испытывают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себе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горнодобывающих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горноперерабатывающих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предприятий.</w:t>
      </w:r>
      <w:r w:rsidR="00FB2F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Главный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–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разрушение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это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изменении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вследствие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трансформации.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разработках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полезных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ископаемых,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добыче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угля,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частичное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полное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срезание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перемешивание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горизонтов,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также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погребение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минеральным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органическим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материалом.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профиль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ряде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случаев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замещается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техногенными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почвоподобными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образованиями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непочвенными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грунтами.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горнорудной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ведёт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сведению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растительного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оказывает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миграцию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изменяет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гидрологический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режим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территории.</w:t>
      </w:r>
      <w:r w:rsidR="00FB2F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Сохранение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улучшение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следовательно,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основных</w:t>
      </w:r>
      <w:r w:rsidR="0029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жизненных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ресурсов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интенсификации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сельскохозяйственного</w:t>
      </w:r>
      <w:r w:rsidR="0029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производства,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промышленности,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бурного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роста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городов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291B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только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при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хорошо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налаженном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контроле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использованием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всех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видов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земельных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ресурсов.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нарушенного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почвенного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покрова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требует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длительного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времени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больших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капиталовложений.</w:t>
      </w:r>
    </w:p>
    <w:p w:rsidR="0053732E" w:rsidRDefault="0053732E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5E43">
        <w:rPr>
          <w:rFonts w:ascii="Times New Roman" w:hAnsi="Times New Roman"/>
          <w:b/>
          <w:sz w:val="28"/>
          <w:szCs w:val="28"/>
          <w:lang w:eastAsia="ru-RU"/>
        </w:rPr>
        <w:t>Список</w:t>
      </w:r>
      <w:r w:rsidR="00355E4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b/>
          <w:sz w:val="28"/>
          <w:szCs w:val="28"/>
          <w:lang w:eastAsia="ru-RU"/>
        </w:rPr>
        <w:t>литературы</w:t>
      </w:r>
    </w:p>
    <w:p w:rsidR="00291B8A" w:rsidRPr="00355E43" w:rsidRDefault="00291B8A" w:rsidP="00355E4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1B8A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1</w:t>
      </w:r>
      <w:r w:rsidR="00291B8A">
        <w:rPr>
          <w:rFonts w:ascii="Times New Roman" w:hAnsi="Times New Roman"/>
          <w:sz w:val="28"/>
          <w:szCs w:val="28"/>
          <w:lang w:eastAsia="ru-RU"/>
        </w:rPr>
        <w:t>.</w:t>
      </w:r>
      <w:r w:rsidRPr="00355E43">
        <w:rPr>
          <w:rFonts w:ascii="Times New Roman" w:hAnsi="Times New Roman"/>
          <w:sz w:val="28"/>
          <w:szCs w:val="28"/>
          <w:lang w:eastAsia="ru-RU"/>
        </w:rPr>
        <w:t>"Влияние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атмосферного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загрязнения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свойства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почв"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МГУ,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1990.</w:t>
      </w:r>
    </w:p>
    <w:p w:rsidR="00291B8A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2</w:t>
      </w:r>
      <w:r w:rsidR="00291B8A">
        <w:rPr>
          <w:rFonts w:ascii="Times New Roman" w:hAnsi="Times New Roman"/>
          <w:sz w:val="28"/>
          <w:szCs w:val="28"/>
          <w:lang w:eastAsia="ru-RU"/>
        </w:rPr>
        <w:t>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Добровольский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Г.В.,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Гришина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Л.А.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"Охрана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почв"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МГУ,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1985.</w:t>
      </w:r>
    </w:p>
    <w:p w:rsidR="00291B8A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3</w:t>
      </w:r>
      <w:r w:rsidR="00291B8A">
        <w:rPr>
          <w:rFonts w:ascii="Times New Roman" w:hAnsi="Times New Roman"/>
          <w:sz w:val="28"/>
          <w:szCs w:val="28"/>
          <w:lang w:eastAsia="ru-RU"/>
        </w:rPr>
        <w:t>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Ильин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В.Б.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"Тяжёлые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металлы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системе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почва-растение"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Новосибирск: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Наука,1991.</w:t>
      </w:r>
    </w:p>
    <w:p w:rsidR="00291B8A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4</w:t>
      </w:r>
      <w:r w:rsidR="00291B8A">
        <w:rPr>
          <w:rFonts w:ascii="Times New Roman" w:hAnsi="Times New Roman"/>
          <w:sz w:val="28"/>
          <w:szCs w:val="28"/>
          <w:lang w:eastAsia="ru-RU"/>
        </w:rPr>
        <w:t>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Круглов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Ю.В.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"Микрофлора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и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пестициды"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Агропромиздат,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1991</w:t>
      </w:r>
    </w:p>
    <w:p w:rsidR="00291B8A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5</w:t>
      </w:r>
      <w:r w:rsidR="00291B8A">
        <w:rPr>
          <w:rFonts w:ascii="Times New Roman" w:hAnsi="Times New Roman"/>
          <w:sz w:val="28"/>
          <w:szCs w:val="28"/>
          <w:lang w:eastAsia="ru-RU"/>
        </w:rPr>
        <w:t>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Рэуце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Н.,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Кырста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"Борьба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загрязнением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почвы"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Агропромиздат,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1986</w:t>
      </w:r>
    </w:p>
    <w:p w:rsidR="0053732E" w:rsidRPr="00355E43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E43">
        <w:rPr>
          <w:rFonts w:ascii="Times New Roman" w:hAnsi="Times New Roman"/>
          <w:sz w:val="28"/>
          <w:szCs w:val="28"/>
          <w:lang w:eastAsia="ru-RU"/>
        </w:rPr>
        <w:t>6</w:t>
      </w:r>
      <w:r w:rsidR="00291B8A">
        <w:rPr>
          <w:rFonts w:ascii="Times New Roman" w:hAnsi="Times New Roman"/>
          <w:sz w:val="28"/>
          <w:szCs w:val="28"/>
          <w:lang w:eastAsia="ru-RU"/>
        </w:rPr>
        <w:t>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Соколова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Т.А.,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Дронова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Т.Я.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"Изменение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почв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под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влиянием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кислотных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выпадений"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-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М.: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МГУ,</w:t>
      </w:r>
      <w:r w:rsidR="00355E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E43">
        <w:rPr>
          <w:rFonts w:ascii="Times New Roman" w:hAnsi="Times New Roman"/>
          <w:sz w:val="28"/>
          <w:szCs w:val="28"/>
          <w:lang w:eastAsia="ru-RU"/>
        </w:rPr>
        <w:t>1993</w:t>
      </w:r>
    </w:p>
    <w:p w:rsidR="0053732E" w:rsidRPr="00355E43" w:rsidRDefault="0053732E" w:rsidP="00291B8A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5E43">
        <w:rPr>
          <w:rFonts w:ascii="Times New Roman" w:hAnsi="Times New Roman"/>
          <w:sz w:val="28"/>
          <w:szCs w:val="28"/>
        </w:rPr>
        <w:t>7</w:t>
      </w:r>
      <w:r w:rsidR="00291B8A">
        <w:rPr>
          <w:rFonts w:ascii="Times New Roman" w:hAnsi="Times New Roman"/>
          <w:sz w:val="28"/>
          <w:szCs w:val="28"/>
        </w:rPr>
        <w:t>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Зайдельман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Ф.Р.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Мелиорация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почв.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М.: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Издательство</w:t>
      </w:r>
      <w:r w:rsidR="00355E43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МГУ,</w:t>
      </w:r>
      <w:r w:rsidR="00291B8A">
        <w:rPr>
          <w:rFonts w:ascii="Times New Roman" w:hAnsi="Times New Roman"/>
          <w:sz w:val="28"/>
          <w:szCs w:val="28"/>
        </w:rPr>
        <w:t xml:space="preserve"> </w:t>
      </w:r>
      <w:r w:rsidRPr="00355E43">
        <w:rPr>
          <w:rFonts w:ascii="Times New Roman" w:hAnsi="Times New Roman"/>
          <w:sz w:val="28"/>
          <w:szCs w:val="28"/>
        </w:rPr>
        <w:t>1987</w:t>
      </w:r>
    </w:p>
    <w:p w:rsidR="0053732E" w:rsidRPr="00355E43" w:rsidRDefault="0053732E" w:rsidP="00291B8A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</w:rPr>
      </w:pPr>
      <w:r w:rsidRPr="00355E43">
        <w:rPr>
          <w:color w:val="auto"/>
          <w:sz w:val="28"/>
          <w:szCs w:val="28"/>
        </w:rPr>
        <w:t>8</w:t>
      </w:r>
      <w:r w:rsidR="00291B8A">
        <w:rPr>
          <w:color w:val="auto"/>
          <w:sz w:val="28"/>
          <w:szCs w:val="28"/>
        </w:rPr>
        <w:t xml:space="preserve">. </w:t>
      </w:r>
      <w:r w:rsidRPr="00355E43">
        <w:rPr>
          <w:color w:val="auto"/>
          <w:sz w:val="28"/>
          <w:szCs w:val="28"/>
        </w:rPr>
        <w:t>Ивлев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А.М.,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А.М.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Дербенцева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bCs/>
          <w:color w:val="auto"/>
          <w:sz w:val="28"/>
          <w:szCs w:val="28"/>
        </w:rPr>
        <w:t>Техногенез</w:t>
      </w:r>
      <w:r w:rsidR="00355E43">
        <w:rPr>
          <w:bCs/>
          <w:color w:val="auto"/>
          <w:sz w:val="28"/>
          <w:szCs w:val="28"/>
        </w:rPr>
        <w:t xml:space="preserve"> </w:t>
      </w:r>
      <w:r w:rsidRPr="00355E43">
        <w:rPr>
          <w:bCs/>
          <w:color w:val="auto"/>
          <w:sz w:val="28"/>
          <w:szCs w:val="28"/>
        </w:rPr>
        <w:t>и</w:t>
      </w:r>
      <w:r w:rsidR="00355E43">
        <w:rPr>
          <w:bCs/>
          <w:color w:val="auto"/>
          <w:sz w:val="28"/>
          <w:szCs w:val="28"/>
        </w:rPr>
        <w:t xml:space="preserve"> </w:t>
      </w:r>
      <w:r w:rsidRPr="00355E43">
        <w:rPr>
          <w:bCs/>
          <w:color w:val="auto"/>
          <w:sz w:val="28"/>
          <w:szCs w:val="28"/>
        </w:rPr>
        <w:t>почвы</w:t>
      </w:r>
      <w:r w:rsidR="00291B8A">
        <w:rPr>
          <w:bCs/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-</w:t>
      </w:r>
      <w:r w:rsidR="00291B8A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Владивосток</w:t>
      </w:r>
      <w:r w:rsidR="00355E43">
        <w:rPr>
          <w:color w:val="auto"/>
          <w:sz w:val="28"/>
          <w:szCs w:val="28"/>
        </w:rPr>
        <w:t xml:space="preserve"> </w:t>
      </w:r>
      <w:r w:rsidRPr="00355E43">
        <w:rPr>
          <w:color w:val="auto"/>
          <w:sz w:val="28"/>
          <w:szCs w:val="28"/>
        </w:rPr>
        <w:t>2005</w:t>
      </w:r>
    </w:p>
    <w:p w:rsidR="0053732E" w:rsidRPr="00EA3011" w:rsidRDefault="0053732E" w:rsidP="00355E43">
      <w:pPr>
        <w:pStyle w:val="Default"/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3732E" w:rsidRPr="00EA3011" w:rsidSect="00355E43">
      <w:headerReference w:type="default" r:id="rId6"/>
      <w:pgSz w:w="11906" w:h="16838" w:code="9"/>
      <w:pgMar w:top="1134" w:right="850" w:bottom="1134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CD" w:rsidRDefault="003552CD" w:rsidP="00355E43">
      <w:pPr>
        <w:spacing w:after="0" w:line="240" w:lineRule="auto"/>
      </w:pPr>
      <w:r>
        <w:separator/>
      </w:r>
    </w:p>
  </w:endnote>
  <w:endnote w:type="continuationSeparator" w:id="0">
    <w:p w:rsidR="003552CD" w:rsidRDefault="003552CD" w:rsidP="0035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CD" w:rsidRDefault="003552CD" w:rsidP="00355E43">
      <w:pPr>
        <w:spacing w:after="0" w:line="240" w:lineRule="auto"/>
      </w:pPr>
      <w:r>
        <w:separator/>
      </w:r>
    </w:p>
  </w:footnote>
  <w:footnote w:type="continuationSeparator" w:id="0">
    <w:p w:rsidR="003552CD" w:rsidRDefault="003552CD" w:rsidP="0035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E43" w:rsidRPr="00355E43" w:rsidRDefault="00355E43" w:rsidP="00355E43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32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91B8A"/>
    <w:rsid w:val="002A389C"/>
    <w:rsid w:val="002A4EFF"/>
    <w:rsid w:val="002B4233"/>
    <w:rsid w:val="002F095B"/>
    <w:rsid w:val="002F1D45"/>
    <w:rsid w:val="0030369C"/>
    <w:rsid w:val="00307742"/>
    <w:rsid w:val="00320A26"/>
    <w:rsid w:val="003552CD"/>
    <w:rsid w:val="00355E43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3732E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49B8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F65C3"/>
    <w:rsid w:val="009039C5"/>
    <w:rsid w:val="009116BE"/>
    <w:rsid w:val="00917597"/>
    <w:rsid w:val="00945BC2"/>
    <w:rsid w:val="00981B15"/>
    <w:rsid w:val="009C4F80"/>
    <w:rsid w:val="00A05B06"/>
    <w:rsid w:val="00A102EC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01D7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A3011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2F4B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1A93CF-148E-4E3C-89CA-604EF7B2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2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3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5373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3732E"/>
    <w:rPr>
      <w:rFonts w:ascii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355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55E43"/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355E43"/>
    <w:pPr>
      <w:ind w:left="720"/>
      <w:contextualSpacing/>
    </w:pPr>
  </w:style>
  <w:style w:type="table" w:styleId="a8">
    <w:name w:val="Table Grid"/>
    <w:basedOn w:val="a1"/>
    <w:uiPriority w:val="59"/>
    <w:rsid w:val="00355E43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5636</Words>
  <Characters>32131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2014-03-27T21:39:00Z</dcterms:created>
  <dcterms:modified xsi:type="dcterms:W3CDTF">2014-03-27T21:39:00Z</dcterms:modified>
</cp:coreProperties>
</file>