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77" w:rsidRPr="004154CE" w:rsidRDefault="00382C77" w:rsidP="004154CE">
      <w:pPr>
        <w:spacing w:after="0" w:line="360" w:lineRule="auto"/>
        <w:ind w:firstLine="709"/>
        <w:jc w:val="center"/>
        <w:rPr>
          <w:rFonts w:ascii="Times New Roman" w:hAnsi="Times New Roman"/>
          <w:sz w:val="28"/>
          <w:szCs w:val="28"/>
        </w:rPr>
      </w:pPr>
      <w:r w:rsidRPr="004154CE">
        <w:rPr>
          <w:rFonts w:ascii="Times New Roman" w:hAnsi="Times New Roman"/>
          <w:sz w:val="28"/>
          <w:szCs w:val="28"/>
        </w:rPr>
        <w:t>Федеральное агентство по образованию</w:t>
      </w:r>
    </w:p>
    <w:p w:rsidR="00382C77" w:rsidRPr="004154CE" w:rsidRDefault="00382C77" w:rsidP="004154CE">
      <w:pPr>
        <w:spacing w:after="0" w:line="360" w:lineRule="auto"/>
        <w:ind w:firstLine="709"/>
        <w:jc w:val="center"/>
        <w:rPr>
          <w:rFonts w:ascii="Times New Roman" w:hAnsi="Times New Roman"/>
          <w:sz w:val="28"/>
          <w:szCs w:val="28"/>
        </w:rPr>
      </w:pPr>
      <w:r w:rsidRPr="004154CE">
        <w:rPr>
          <w:rFonts w:ascii="Times New Roman" w:hAnsi="Times New Roman"/>
          <w:sz w:val="28"/>
          <w:szCs w:val="28"/>
        </w:rPr>
        <w:t>Государственное образовательное учреждение</w:t>
      </w:r>
    </w:p>
    <w:p w:rsidR="00382C77" w:rsidRPr="004154CE" w:rsidRDefault="00382C77" w:rsidP="004154CE">
      <w:pPr>
        <w:spacing w:after="0" w:line="360" w:lineRule="auto"/>
        <w:ind w:firstLine="709"/>
        <w:jc w:val="center"/>
        <w:rPr>
          <w:rFonts w:ascii="Times New Roman" w:hAnsi="Times New Roman"/>
          <w:sz w:val="28"/>
          <w:szCs w:val="28"/>
        </w:rPr>
      </w:pPr>
      <w:r w:rsidRPr="004154CE">
        <w:rPr>
          <w:rFonts w:ascii="Times New Roman" w:hAnsi="Times New Roman"/>
          <w:sz w:val="28"/>
          <w:szCs w:val="28"/>
        </w:rPr>
        <w:t>Высшего профессионального образования</w:t>
      </w:r>
    </w:p>
    <w:p w:rsidR="00382C77" w:rsidRPr="004154CE" w:rsidRDefault="00382C77" w:rsidP="004154CE">
      <w:pPr>
        <w:spacing w:after="0" w:line="360" w:lineRule="auto"/>
        <w:ind w:firstLine="709"/>
        <w:jc w:val="center"/>
        <w:rPr>
          <w:rFonts w:ascii="Times New Roman" w:hAnsi="Times New Roman"/>
          <w:sz w:val="28"/>
          <w:szCs w:val="28"/>
        </w:rPr>
      </w:pPr>
      <w:r w:rsidRPr="004154CE">
        <w:rPr>
          <w:rFonts w:ascii="Times New Roman" w:hAnsi="Times New Roman"/>
          <w:sz w:val="28"/>
          <w:szCs w:val="28"/>
        </w:rPr>
        <w:t>«Тульский государственный университет»</w:t>
      </w:r>
    </w:p>
    <w:p w:rsidR="00382C77" w:rsidRPr="004154CE" w:rsidRDefault="00382C77" w:rsidP="004154CE">
      <w:pPr>
        <w:spacing w:after="0" w:line="360" w:lineRule="auto"/>
        <w:ind w:firstLine="709"/>
        <w:jc w:val="center"/>
        <w:rPr>
          <w:rFonts w:ascii="Times New Roman" w:hAnsi="Times New Roman"/>
          <w:sz w:val="28"/>
          <w:szCs w:val="28"/>
        </w:rPr>
      </w:pPr>
    </w:p>
    <w:p w:rsidR="00382C77" w:rsidRPr="004154CE" w:rsidRDefault="00382C77" w:rsidP="004154CE">
      <w:pPr>
        <w:spacing w:after="0" w:line="360" w:lineRule="auto"/>
        <w:ind w:firstLine="709"/>
        <w:jc w:val="center"/>
        <w:rPr>
          <w:rFonts w:ascii="Times New Roman" w:hAnsi="Times New Roman"/>
          <w:sz w:val="28"/>
          <w:szCs w:val="28"/>
        </w:rPr>
      </w:pPr>
      <w:r w:rsidRPr="004154CE">
        <w:rPr>
          <w:rFonts w:ascii="Times New Roman" w:hAnsi="Times New Roman"/>
          <w:sz w:val="28"/>
          <w:szCs w:val="28"/>
        </w:rPr>
        <w:t>Кафедра «Финансы и менеджмент»</w:t>
      </w:r>
    </w:p>
    <w:p w:rsidR="00382C77" w:rsidRPr="004154CE" w:rsidRDefault="00382C77"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both"/>
        <w:rPr>
          <w:rFonts w:ascii="Times New Roman" w:hAnsi="Times New Roman"/>
          <w:sz w:val="28"/>
          <w:szCs w:val="28"/>
        </w:rPr>
      </w:pPr>
    </w:p>
    <w:p w:rsidR="004154CE" w:rsidRDefault="004154CE" w:rsidP="004154CE">
      <w:pPr>
        <w:spacing w:after="0" w:line="360" w:lineRule="auto"/>
        <w:ind w:firstLine="709"/>
        <w:jc w:val="both"/>
        <w:rPr>
          <w:rFonts w:ascii="Times New Roman" w:hAnsi="Times New Roman"/>
          <w:sz w:val="28"/>
          <w:szCs w:val="28"/>
        </w:rPr>
      </w:pPr>
    </w:p>
    <w:p w:rsidR="004154CE" w:rsidRDefault="004154CE" w:rsidP="004154CE">
      <w:pPr>
        <w:spacing w:after="0" w:line="360" w:lineRule="auto"/>
        <w:ind w:firstLine="709"/>
        <w:jc w:val="both"/>
        <w:rPr>
          <w:rFonts w:ascii="Times New Roman" w:hAnsi="Times New Roman"/>
          <w:sz w:val="28"/>
          <w:szCs w:val="28"/>
        </w:rPr>
      </w:pPr>
    </w:p>
    <w:p w:rsidR="004154CE" w:rsidRDefault="004154CE" w:rsidP="004154CE">
      <w:pPr>
        <w:spacing w:after="0" w:line="360" w:lineRule="auto"/>
        <w:ind w:firstLine="709"/>
        <w:jc w:val="both"/>
        <w:rPr>
          <w:rFonts w:ascii="Times New Roman" w:hAnsi="Times New Roman"/>
          <w:sz w:val="28"/>
          <w:szCs w:val="28"/>
        </w:rPr>
      </w:pPr>
    </w:p>
    <w:p w:rsidR="004154CE" w:rsidRDefault="004154CE" w:rsidP="004154CE">
      <w:pPr>
        <w:spacing w:after="0" w:line="360" w:lineRule="auto"/>
        <w:ind w:firstLine="709"/>
        <w:jc w:val="both"/>
        <w:rPr>
          <w:rFonts w:ascii="Times New Roman" w:hAnsi="Times New Roman"/>
          <w:sz w:val="28"/>
          <w:szCs w:val="28"/>
        </w:rPr>
      </w:pPr>
    </w:p>
    <w:p w:rsidR="004154CE" w:rsidRDefault="004154CE" w:rsidP="004154CE">
      <w:pPr>
        <w:spacing w:after="0" w:line="360" w:lineRule="auto"/>
        <w:ind w:firstLine="709"/>
        <w:jc w:val="both"/>
        <w:rPr>
          <w:rFonts w:ascii="Times New Roman" w:hAnsi="Times New Roman"/>
          <w:sz w:val="28"/>
          <w:szCs w:val="28"/>
        </w:rPr>
      </w:pPr>
    </w:p>
    <w:p w:rsidR="004154CE" w:rsidRDefault="004154CE"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center"/>
        <w:rPr>
          <w:rFonts w:ascii="Times New Roman" w:hAnsi="Times New Roman"/>
          <w:b/>
          <w:sz w:val="28"/>
          <w:szCs w:val="28"/>
        </w:rPr>
      </w:pPr>
      <w:r w:rsidRPr="004154CE">
        <w:rPr>
          <w:rFonts w:ascii="Times New Roman" w:hAnsi="Times New Roman"/>
          <w:b/>
          <w:sz w:val="28"/>
          <w:szCs w:val="28"/>
        </w:rPr>
        <w:t>КОНТРОЛЬНО-КУРСОВАЯ</w:t>
      </w:r>
      <w:r w:rsidR="004154CE" w:rsidRPr="004154CE">
        <w:rPr>
          <w:rFonts w:ascii="Times New Roman" w:hAnsi="Times New Roman"/>
          <w:b/>
          <w:sz w:val="28"/>
          <w:szCs w:val="28"/>
        </w:rPr>
        <w:t xml:space="preserve"> </w:t>
      </w:r>
      <w:r w:rsidRPr="004154CE">
        <w:rPr>
          <w:rFonts w:ascii="Times New Roman" w:hAnsi="Times New Roman"/>
          <w:b/>
          <w:sz w:val="28"/>
          <w:szCs w:val="28"/>
        </w:rPr>
        <w:t>РАБОТА</w:t>
      </w:r>
    </w:p>
    <w:p w:rsidR="00382C77" w:rsidRPr="004154CE" w:rsidRDefault="00382C77" w:rsidP="004154CE">
      <w:pPr>
        <w:spacing w:after="0" w:line="360" w:lineRule="auto"/>
        <w:ind w:firstLine="709"/>
        <w:jc w:val="center"/>
        <w:rPr>
          <w:rFonts w:ascii="Times New Roman" w:hAnsi="Times New Roman"/>
          <w:b/>
          <w:sz w:val="28"/>
          <w:szCs w:val="28"/>
        </w:rPr>
      </w:pPr>
      <w:r w:rsidRPr="004154CE">
        <w:rPr>
          <w:rFonts w:ascii="Times New Roman" w:hAnsi="Times New Roman"/>
          <w:b/>
          <w:sz w:val="28"/>
          <w:szCs w:val="28"/>
        </w:rPr>
        <w:t>по дисциплине «теоретические основы финансового менеджмента»</w:t>
      </w:r>
    </w:p>
    <w:p w:rsidR="00382C77" w:rsidRPr="004154CE" w:rsidRDefault="00382C77"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both"/>
        <w:rPr>
          <w:rFonts w:ascii="Times New Roman" w:hAnsi="Times New Roman"/>
          <w:sz w:val="28"/>
          <w:szCs w:val="28"/>
        </w:rPr>
      </w:pPr>
    </w:p>
    <w:p w:rsidR="004154CE" w:rsidRDefault="00382C77" w:rsidP="004154CE">
      <w:pPr>
        <w:spacing w:after="0" w:line="360" w:lineRule="auto"/>
        <w:ind w:firstLine="709"/>
        <w:jc w:val="right"/>
        <w:rPr>
          <w:rFonts w:ascii="Times New Roman" w:hAnsi="Times New Roman"/>
          <w:sz w:val="28"/>
          <w:szCs w:val="28"/>
        </w:rPr>
      </w:pPr>
      <w:r w:rsidRPr="004154CE">
        <w:rPr>
          <w:rFonts w:ascii="Times New Roman" w:hAnsi="Times New Roman"/>
          <w:sz w:val="28"/>
          <w:szCs w:val="28"/>
        </w:rPr>
        <w:t>Выполнил:</w:t>
      </w:r>
    </w:p>
    <w:p w:rsidR="00382C77" w:rsidRPr="004154CE" w:rsidRDefault="00382C77" w:rsidP="004154CE">
      <w:pPr>
        <w:spacing w:after="0" w:line="360" w:lineRule="auto"/>
        <w:ind w:firstLine="709"/>
        <w:jc w:val="right"/>
        <w:rPr>
          <w:rFonts w:ascii="Times New Roman" w:hAnsi="Times New Roman"/>
          <w:sz w:val="28"/>
          <w:szCs w:val="28"/>
        </w:rPr>
      </w:pPr>
      <w:r w:rsidRPr="004154CE">
        <w:rPr>
          <w:rFonts w:ascii="Times New Roman" w:hAnsi="Times New Roman"/>
          <w:sz w:val="28"/>
          <w:szCs w:val="28"/>
        </w:rPr>
        <w:t>Котенёва М.В. гр.72074</w:t>
      </w:r>
      <w:r w:rsidRPr="004154CE">
        <w:rPr>
          <w:rFonts w:ascii="Times New Roman" w:hAnsi="Times New Roman"/>
          <w:sz w:val="28"/>
          <w:szCs w:val="28"/>
          <w:lang w:val="vi-VN"/>
        </w:rPr>
        <w:t>2</w:t>
      </w:r>
    </w:p>
    <w:p w:rsidR="004154CE" w:rsidRDefault="00382C77" w:rsidP="004154CE">
      <w:pPr>
        <w:spacing w:after="0" w:line="360" w:lineRule="auto"/>
        <w:ind w:firstLine="709"/>
        <w:jc w:val="right"/>
        <w:rPr>
          <w:rFonts w:ascii="Times New Roman" w:hAnsi="Times New Roman"/>
          <w:sz w:val="28"/>
          <w:szCs w:val="28"/>
        </w:rPr>
      </w:pPr>
      <w:r w:rsidRPr="004154CE">
        <w:rPr>
          <w:rFonts w:ascii="Times New Roman" w:hAnsi="Times New Roman"/>
          <w:sz w:val="28"/>
          <w:szCs w:val="28"/>
        </w:rPr>
        <w:t>Проверил:</w:t>
      </w:r>
    </w:p>
    <w:p w:rsidR="00382C77" w:rsidRPr="004154CE" w:rsidRDefault="00382C77" w:rsidP="004154CE">
      <w:pPr>
        <w:spacing w:after="0" w:line="360" w:lineRule="auto"/>
        <w:ind w:firstLine="709"/>
        <w:jc w:val="right"/>
        <w:rPr>
          <w:rFonts w:ascii="Times New Roman" w:hAnsi="Times New Roman"/>
          <w:sz w:val="28"/>
          <w:szCs w:val="28"/>
        </w:rPr>
      </w:pPr>
      <w:r w:rsidRPr="004154CE">
        <w:rPr>
          <w:rFonts w:ascii="Times New Roman" w:hAnsi="Times New Roman"/>
          <w:sz w:val="28"/>
          <w:szCs w:val="28"/>
        </w:rPr>
        <w:t>Ушакова Н.В.</w:t>
      </w:r>
    </w:p>
    <w:p w:rsidR="00382C77" w:rsidRPr="004154CE" w:rsidRDefault="00382C77"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both"/>
        <w:rPr>
          <w:rFonts w:ascii="Times New Roman" w:hAnsi="Times New Roman"/>
          <w:sz w:val="28"/>
          <w:szCs w:val="28"/>
        </w:rPr>
      </w:pPr>
    </w:p>
    <w:p w:rsidR="00382C77" w:rsidRPr="004154CE" w:rsidRDefault="00382C77" w:rsidP="004154CE">
      <w:pPr>
        <w:spacing w:after="0" w:line="360" w:lineRule="auto"/>
        <w:ind w:firstLine="709"/>
        <w:jc w:val="both"/>
        <w:rPr>
          <w:rFonts w:ascii="Times New Roman" w:hAnsi="Times New Roman"/>
          <w:sz w:val="28"/>
          <w:szCs w:val="28"/>
        </w:rPr>
      </w:pPr>
    </w:p>
    <w:p w:rsidR="004154CE" w:rsidRDefault="00382C77" w:rsidP="004154CE">
      <w:pPr>
        <w:spacing w:after="0" w:line="360" w:lineRule="auto"/>
        <w:ind w:firstLine="709"/>
        <w:jc w:val="center"/>
        <w:rPr>
          <w:rFonts w:ascii="Times New Roman" w:hAnsi="Times New Roman"/>
          <w:sz w:val="28"/>
          <w:szCs w:val="28"/>
        </w:rPr>
      </w:pPr>
      <w:r w:rsidRPr="004154CE">
        <w:rPr>
          <w:rFonts w:ascii="Times New Roman" w:hAnsi="Times New Roman"/>
          <w:sz w:val="28"/>
          <w:szCs w:val="28"/>
        </w:rPr>
        <w:t>Тула 200</w:t>
      </w:r>
      <w:r w:rsidRPr="004154CE">
        <w:rPr>
          <w:rFonts w:ascii="Times New Roman" w:hAnsi="Times New Roman"/>
          <w:sz w:val="28"/>
          <w:szCs w:val="28"/>
          <w:lang w:val="vi-VN"/>
        </w:rPr>
        <w:t>7</w:t>
      </w:r>
    </w:p>
    <w:p w:rsidR="00835CDB" w:rsidRPr="004154CE" w:rsidRDefault="00382C77" w:rsidP="004154CE">
      <w:pPr>
        <w:spacing w:after="0" w:line="360" w:lineRule="auto"/>
        <w:ind w:firstLine="709"/>
        <w:jc w:val="center"/>
        <w:rPr>
          <w:rFonts w:ascii="Times New Roman" w:hAnsi="Times New Roman"/>
          <w:b/>
          <w:sz w:val="28"/>
        </w:rPr>
      </w:pPr>
      <w:r w:rsidRPr="004154CE">
        <w:rPr>
          <w:rFonts w:ascii="Times New Roman" w:hAnsi="Times New Roman"/>
          <w:sz w:val="28"/>
          <w:szCs w:val="28"/>
          <w:lang w:val="vi-VN"/>
        </w:rPr>
        <w:br w:type="page"/>
      </w:r>
      <w:r w:rsidR="00835CDB" w:rsidRPr="004154CE">
        <w:rPr>
          <w:rFonts w:ascii="Times New Roman" w:hAnsi="Times New Roman"/>
          <w:b/>
          <w:sz w:val="28"/>
        </w:rPr>
        <w:t>СОДЕРЖАНИЕ</w:t>
      </w:r>
    </w:p>
    <w:p w:rsidR="00835CDB" w:rsidRPr="004154CE" w:rsidRDefault="00835CDB" w:rsidP="004154CE">
      <w:pPr>
        <w:spacing w:after="0" w:line="360" w:lineRule="auto"/>
        <w:ind w:firstLine="709"/>
        <w:jc w:val="both"/>
        <w:rPr>
          <w:rFonts w:ascii="Times New Roman" w:hAnsi="Times New Roman"/>
          <w:sz w:val="28"/>
          <w:lang w:eastAsia="en-US"/>
        </w:rPr>
      </w:pPr>
    </w:p>
    <w:p w:rsidR="001315BA" w:rsidRPr="001315BA" w:rsidRDefault="00835CDB" w:rsidP="001315BA">
      <w:pPr>
        <w:pStyle w:val="11"/>
        <w:tabs>
          <w:tab w:val="right" w:leader="dot" w:pos="9345"/>
        </w:tabs>
        <w:spacing w:after="0" w:line="360" w:lineRule="auto"/>
        <w:jc w:val="both"/>
        <w:rPr>
          <w:rFonts w:ascii="Times New Roman" w:hAnsi="Times New Roman"/>
          <w:sz w:val="28"/>
        </w:rPr>
      </w:pPr>
      <w:r w:rsidRPr="001315BA">
        <w:rPr>
          <w:rFonts w:ascii="Times New Roman" w:hAnsi="Times New Roman"/>
          <w:sz w:val="28"/>
          <w:szCs w:val="28"/>
        </w:rPr>
        <w:fldChar w:fldCharType="begin"/>
      </w:r>
      <w:r w:rsidRPr="001315BA">
        <w:rPr>
          <w:rFonts w:ascii="Times New Roman" w:hAnsi="Times New Roman"/>
          <w:sz w:val="28"/>
          <w:szCs w:val="28"/>
        </w:rPr>
        <w:instrText xml:space="preserve"> TOC \o "1-3" \h \z \u </w:instrText>
      </w:r>
      <w:r w:rsidRPr="001315BA">
        <w:rPr>
          <w:rFonts w:ascii="Times New Roman" w:hAnsi="Times New Roman"/>
          <w:sz w:val="28"/>
          <w:szCs w:val="28"/>
        </w:rPr>
        <w:fldChar w:fldCharType="separate"/>
      </w:r>
      <w:r w:rsidR="001315BA" w:rsidRPr="001315BA">
        <w:rPr>
          <w:rFonts w:ascii="Times New Roman" w:hAnsi="Times New Roman"/>
          <w:sz w:val="28"/>
        </w:rPr>
        <w:t>Расчетная часть</w:t>
      </w:r>
    </w:p>
    <w:p w:rsidR="001315BA" w:rsidRPr="001315BA" w:rsidRDefault="001315BA" w:rsidP="001315BA">
      <w:pPr>
        <w:rPr>
          <w:rFonts w:ascii="Times New Roman" w:hAnsi="Times New Roman"/>
          <w:sz w:val="28"/>
        </w:rPr>
      </w:pPr>
      <w:r w:rsidRPr="001315BA">
        <w:rPr>
          <w:rFonts w:ascii="Times New Roman" w:hAnsi="Times New Roman"/>
          <w:sz w:val="28"/>
        </w:rPr>
        <w:t>Теоретическая часть</w:t>
      </w:r>
    </w:p>
    <w:p w:rsidR="008C5674" w:rsidRPr="004154CE" w:rsidRDefault="00835CDB" w:rsidP="001315BA">
      <w:pPr>
        <w:spacing w:after="0" w:line="360" w:lineRule="auto"/>
        <w:jc w:val="center"/>
        <w:rPr>
          <w:rFonts w:ascii="Times New Roman" w:hAnsi="Times New Roman"/>
          <w:b/>
          <w:sz w:val="28"/>
        </w:rPr>
      </w:pPr>
      <w:r w:rsidRPr="001315BA">
        <w:rPr>
          <w:rFonts w:ascii="Times New Roman" w:hAnsi="Times New Roman"/>
          <w:sz w:val="28"/>
          <w:szCs w:val="28"/>
        </w:rPr>
        <w:fldChar w:fldCharType="end"/>
      </w:r>
      <w:r w:rsidR="00382C77" w:rsidRPr="004154CE">
        <w:rPr>
          <w:rFonts w:ascii="Times New Roman" w:hAnsi="Times New Roman"/>
          <w:sz w:val="28"/>
          <w:szCs w:val="28"/>
        </w:rPr>
        <w:br w:type="page"/>
      </w:r>
      <w:bookmarkStart w:id="0" w:name="_Toc182899190"/>
      <w:r w:rsidR="008C5674" w:rsidRPr="004154CE">
        <w:rPr>
          <w:rFonts w:ascii="Times New Roman" w:hAnsi="Times New Roman"/>
          <w:b/>
          <w:sz w:val="28"/>
        </w:rPr>
        <w:t>Расчетная часть</w:t>
      </w:r>
      <w:bookmarkEnd w:id="0"/>
    </w:p>
    <w:p w:rsidR="004154CE" w:rsidRPr="004154CE" w:rsidRDefault="004154CE" w:rsidP="004154CE">
      <w:pPr>
        <w:spacing w:after="0" w:line="360" w:lineRule="auto"/>
        <w:ind w:firstLine="709"/>
        <w:jc w:val="both"/>
        <w:rPr>
          <w:rFonts w:ascii="Times New Roman" w:hAnsi="Times New Roman"/>
          <w:sz w:val="28"/>
        </w:rPr>
      </w:pPr>
    </w:p>
    <w:p w:rsidR="008564E5" w:rsidRPr="004154CE" w:rsidRDefault="00382C77" w:rsidP="004154CE">
      <w:pPr>
        <w:pStyle w:val="a7"/>
        <w:numPr>
          <w:ilvl w:val="0"/>
          <w:numId w:val="1"/>
        </w:numPr>
        <w:spacing w:after="0" w:line="360" w:lineRule="auto"/>
        <w:ind w:left="0" w:firstLine="709"/>
        <w:jc w:val="both"/>
        <w:rPr>
          <w:rFonts w:ascii="Times New Roman" w:hAnsi="Times New Roman"/>
          <w:sz w:val="28"/>
          <w:szCs w:val="28"/>
        </w:rPr>
      </w:pPr>
      <w:r w:rsidRPr="004154CE">
        <w:rPr>
          <w:rFonts w:ascii="Times New Roman" w:hAnsi="Times New Roman"/>
          <w:sz w:val="28"/>
          <w:szCs w:val="28"/>
        </w:rPr>
        <w:t xml:space="preserve">Составим таблицу, в которой за период с 13.08.2007 по 12.11.2007 прослеживаются ежедневные изменения курсов акций Лукойл, Сургутнефтегаз и РАО ЕЭС, а также изменения биржевого индекса. </w:t>
      </w:r>
    </w:p>
    <w:p w:rsidR="004154CE" w:rsidRDefault="004154CE" w:rsidP="004154CE">
      <w:pPr>
        <w:pStyle w:val="a8"/>
        <w:spacing w:after="0" w:line="360" w:lineRule="auto"/>
        <w:ind w:firstLine="709"/>
        <w:jc w:val="both"/>
        <w:rPr>
          <w:rFonts w:ascii="Times New Roman" w:hAnsi="Times New Roman"/>
          <w:b w:val="0"/>
          <w:color w:val="auto"/>
          <w:sz w:val="28"/>
          <w:szCs w:val="24"/>
        </w:rPr>
      </w:pPr>
    </w:p>
    <w:p w:rsidR="00382C77" w:rsidRPr="004154CE" w:rsidRDefault="008564E5" w:rsidP="004154CE">
      <w:pPr>
        <w:pStyle w:val="a8"/>
        <w:spacing w:after="0" w:line="360" w:lineRule="auto"/>
        <w:ind w:firstLine="709"/>
        <w:jc w:val="both"/>
        <w:rPr>
          <w:rFonts w:ascii="Times New Roman" w:hAnsi="Times New Roman"/>
          <w:b w:val="0"/>
          <w:color w:val="auto"/>
          <w:sz w:val="28"/>
          <w:szCs w:val="24"/>
        </w:rPr>
      </w:pPr>
      <w:r w:rsidRPr="004154CE">
        <w:rPr>
          <w:rFonts w:ascii="Times New Roman" w:hAnsi="Times New Roman"/>
          <w:b w:val="0"/>
          <w:color w:val="auto"/>
          <w:sz w:val="28"/>
          <w:szCs w:val="24"/>
        </w:rPr>
        <w:t xml:space="preserve">Таблица </w:t>
      </w:r>
      <w:r w:rsidRPr="004154CE">
        <w:rPr>
          <w:rFonts w:ascii="Times New Roman" w:hAnsi="Times New Roman"/>
          <w:b w:val="0"/>
          <w:color w:val="auto"/>
          <w:sz w:val="28"/>
          <w:szCs w:val="24"/>
        </w:rPr>
        <w:fldChar w:fldCharType="begin"/>
      </w:r>
      <w:r w:rsidRPr="004154CE">
        <w:rPr>
          <w:rFonts w:ascii="Times New Roman" w:hAnsi="Times New Roman"/>
          <w:b w:val="0"/>
          <w:color w:val="auto"/>
          <w:sz w:val="28"/>
          <w:szCs w:val="24"/>
        </w:rPr>
        <w:instrText xml:space="preserve"> SEQ Таблица \* ARABIC </w:instrText>
      </w:r>
      <w:r w:rsidRPr="004154CE">
        <w:rPr>
          <w:rFonts w:ascii="Times New Roman" w:hAnsi="Times New Roman"/>
          <w:b w:val="0"/>
          <w:color w:val="auto"/>
          <w:sz w:val="28"/>
          <w:szCs w:val="24"/>
        </w:rPr>
        <w:fldChar w:fldCharType="separate"/>
      </w:r>
      <w:r w:rsidR="00464108" w:rsidRPr="004154CE">
        <w:rPr>
          <w:rFonts w:ascii="Times New Roman" w:hAnsi="Times New Roman"/>
          <w:b w:val="0"/>
          <w:noProof/>
          <w:color w:val="auto"/>
          <w:sz w:val="28"/>
          <w:szCs w:val="24"/>
        </w:rPr>
        <w:t>1</w:t>
      </w:r>
      <w:r w:rsidRPr="004154CE">
        <w:rPr>
          <w:rFonts w:ascii="Times New Roman" w:hAnsi="Times New Roman"/>
          <w:b w:val="0"/>
          <w:color w:val="auto"/>
          <w:sz w:val="28"/>
          <w:szCs w:val="24"/>
        </w:rPr>
        <w:fldChar w:fldCharType="end"/>
      </w:r>
      <w:r w:rsidR="000F2ECD" w:rsidRPr="004154CE">
        <w:rPr>
          <w:rFonts w:ascii="Times New Roman" w:hAnsi="Times New Roman"/>
          <w:b w:val="0"/>
          <w:color w:val="auto"/>
          <w:sz w:val="28"/>
          <w:szCs w:val="24"/>
        </w:rPr>
        <w:t>. Цены акций и индекс рынка 13.08.2007 – 12.11.2007</w:t>
      </w:r>
      <w:r w:rsidR="00382C77" w:rsidRPr="004154CE">
        <w:rPr>
          <w:rFonts w:ascii="Times New Roman" w:hAnsi="Times New Roman"/>
          <w:b w:val="0"/>
          <w:color w:val="auto"/>
          <w:sz w:val="28"/>
          <w:szCs w:val="24"/>
        </w:rPr>
        <w:t xml:space="preserve"> </w:t>
      </w:r>
    </w:p>
    <w:tbl>
      <w:tblPr>
        <w:tblW w:w="5000" w:type="pct"/>
        <w:tblLook w:val="04A0" w:firstRow="1" w:lastRow="0" w:firstColumn="1" w:lastColumn="0" w:noHBand="0" w:noVBand="1"/>
      </w:tblPr>
      <w:tblGrid>
        <w:gridCol w:w="1865"/>
        <w:gridCol w:w="1433"/>
        <w:gridCol w:w="2649"/>
        <w:gridCol w:w="1409"/>
        <w:gridCol w:w="2214"/>
      </w:tblGrid>
      <w:tr w:rsidR="000F2ECD" w:rsidRPr="004154CE" w:rsidTr="000F2ECD">
        <w:trPr>
          <w:trHeight w:val="312"/>
          <w:tblHeader/>
        </w:trPr>
        <w:tc>
          <w:tcPr>
            <w:tcW w:w="974" w:type="pct"/>
            <w:tcBorders>
              <w:top w:val="single" w:sz="4" w:space="0" w:color="auto"/>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Дата</w:t>
            </w:r>
          </w:p>
        </w:tc>
        <w:tc>
          <w:tcPr>
            <w:tcW w:w="748" w:type="pct"/>
            <w:tcBorders>
              <w:top w:val="single" w:sz="4" w:space="0" w:color="auto"/>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Лукойл</w:t>
            </w:r>
          </w:p>
        </w:tc>
        <w:tc>
          <w:tcPr>
            <w:tcW w:w="1384" w:type="pct"/>
            <w:tcBorders>
              <w:top w:val="single" w:sz="4" w:space="0" w:color="auto"/>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Сургутнефтегаз</w:t>
            </w:r>
          </w:p>
        </w:tc>
        <w:tc>
          <w:tcPr>
            <w:tcW w:w="736" w:type="pct"/>
            <w:tcBorders>
              <w:top w:val="single" w:sz="4" w:space="0" w:color="auto"/>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РАО ЕС</w:t>
            </w:r>
          </w:p>
        </w:tc>
        <w:tc>
          <w:tcPr>
            <w:tcW w:w="1157" w:type="pct"/>
            <w:tcBorders>
              <w:top w:val="single" w:sz="4" w:space="0" w:color="auto"/>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Индекс рынка</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13.08.2007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1969,14</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30,443</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34,612</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1927,63</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14.08.2007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1958,50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30,988</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34,29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1925,79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15.08.2007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1910,94</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30,13</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33,889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1886,83</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16.08.2007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1863,78</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29,497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33,369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1820,3</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17.08.2007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1902,00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30,82</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33,48</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1860,7</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1886,00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30,33</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33,16</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1852,15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1862,22</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29,633</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32,987</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1820,65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1894,00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30,289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32,929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1853,77</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23.08.2007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1889,00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29,84</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32,454</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1864,59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24.08.2007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1891,99</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30,55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32,386</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1864,74</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27.08.2007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1902,00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32,618</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32,742</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1895,71</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28.08.2007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1891,01</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31,799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32,4</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1877,1</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1887,00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31,24</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32,677</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1871,54</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1882,00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31,37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32,35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1880,43</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31.08.2007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1907,00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32,16</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32,361</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1919,89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03.09.2007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1922,00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32,12</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32,653</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1926,5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04.09.2007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1911,00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31,74</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31,619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1904,76</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05.09.2007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1908,00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31,8</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31,387</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1905,3</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06.09.2007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1940,45</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31,529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1920,88</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07.09.2007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1905,10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31,077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30,915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1898,19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10.09.2007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1908,90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31,4</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30,793</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1898,26</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11.09.2007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1915,30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31,6</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30,516</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1911,97</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12.09.2007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1899,50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31,35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29,699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1899,95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13.09.2007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1930,99</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31,77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30,048</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1932,68</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14.09.2007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1926,00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31,55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29,6</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1943,25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17.09.2007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1908,00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31,4</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29,619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1915,8</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1934,99</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31,539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30,303</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1938,52</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2015,50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32,309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31,03</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2015,36</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2010,11</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32,2</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30,403</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2015,19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2021,00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32,499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30,649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2026,29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24.09.2007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2028,50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33,239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30,18</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2042,2</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25.09.2007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1996,01</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32,942</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30,075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2008,97</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26.09.2007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2036,00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33,897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30,6</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2049,45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27.09.2007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2063,11</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34,15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30,654</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2064,16</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28.09.2007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2081,80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30,265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2071,8</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01.10.2007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2034,00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33,599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29,8</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2047,09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02.10.2007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2112,00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34,141</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30,475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2108,57</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03.10.2007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2095,00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33,87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2092,98</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04.10.2007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2105,03</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33,71</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29,87</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2090,08</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05.10.2007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2173,04</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30,092</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2115,43</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08.10.2007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2176,70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33,43</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29,95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2130,2</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09.10.2007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2187,00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33,344</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29,847</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2141,79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10.10.2007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2175,00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32,97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29,371</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2143,69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11.10.2007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2219,60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32,963</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29,998</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2173,11</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12.10.2007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2201,32</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32,64</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29,7</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2163,11</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15.10.2007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2211,75</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32,62</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29,382</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2176,9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16.10.2007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2211,50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32,271</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29,15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2159,84</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17.10.2007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2210,00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32,15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29,018</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2158,09</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18.10.2007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2140,51</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31,887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29,363</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2136,53</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19.10.2007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2132,00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31,801</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29,55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2142,42</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2076,99</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31,45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29,632</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2098,57</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23.10.2007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2094,00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31,489</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30,835</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2127</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24.10.2007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2084,10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31,191</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30,62</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2123,36</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25.10.2007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2107,50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31,57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30,627</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2151,1</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26.10.2007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2174,00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32,365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30,632</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2194,12</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2232,00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32,795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30,66</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2226,02</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2213,40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32,297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29,949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2206,34</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31.10.2007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2237,01</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32,301</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30,1</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2223,06</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01.11.2007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2230,00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31,92</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30,39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2220,16</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02.11.2007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2255,00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31,58</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30,54</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2228,15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06.11.2007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2331,00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31,771</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30,28</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2268,92</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07.11.2007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2308,00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31,65</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30,04</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2280,95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08.11.2007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2303,11</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31,63</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30,44</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2288,15</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09.11.2007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2239,00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30,412</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30,11</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2262,11</w:t>
            </w:r>
          </w:p>
        </w:tc>
      </w:tr>
      <w:tr w:rsidR="000F2ECD" w:rsidRPr="004154CE" w:rsidTr="000F2ECD">
        <w:trPr>
          <w:trHeight w:val="312"/>
        </w:trPr>
        <w:tc>
          <w:tcPr>
            <w:tcW w:w="974" w:type="pct"/>
            <w:tcBorders>
              <w:top w:val="nil"/>
              <w:left w:val="single" w:sz="4" w:space="0" w:color="auto"/>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12.11.2007</w:t>
            </w:r>
          </w:p>
        </w:tc>
        <w:tc>
          <w:tcPr>
            <w:tcW w:w="748"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2203,00</w:t>
            </w:r>
          </w:p>
        </w:tc>
        <w:tc>
          <w:tcPr>
            <w:tcW w:w="1384"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30,07</w:t>
            </w:r>
          </w:p>
        </w:tc>
        <w:tc>
          <w:tcPr>
            <w:tcW w:w="736"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29,999</w:t>
            </w:r>
          </w:p>
        </w:tc>
        <w:tc>
          <w:tcPr>
            <w:tcW w:w="1157" w:type="pct"/>
            <w:tcBorders>
              <w:top w:val="nil"/>
              <w:left w:val="nil"/>
              <w:bottom w:val="single" w:sz="4" w:space="0" w:color="auto"/>
              <w:right w:val="single" w:sz="4" w:space="0" w:color="auto"/>
            </w:tcBorders>
            <w:noWrap/>
            <w:vAlign w:val="bottom"/>
            <w:hideMark/>
          </w:tcPr>
          <w:p w:rsidR="000F2ECD" w:rsidRPr="004154CE" w:rsidRDefault="000F2ECD" w:rsidP="004154CE">
            <w:pPr>
              <w:spacing w:after="0" w:line="360" w:lineRule="auto"/>
              <w:jc w:val="both"/>
              <w:rPr>
                <w:rFonts w:ascii="Times New Roman" w:hAnsi="Times New Roman"/>
                <w:sz w:val="20"/>
                <w:szCs w:val="20"/>
              </w:rPr>
            </w:pPr>
            <w:r w:rsidRPr="004154CE">
              <w:rPr>
                <w:rFonts w:ascii="Times New Roman" w:hAnsi="Times New Roman"/>
                <w:sz w:val="20"/>
                <w:szCs w:val="20"/>
              </w:rPr>
              <w:t>2245,86</w:t>
            </w:r>
          </w:p>
        </w:tc>
      </w:tr>
    </w:tbl>
    <w:p w:rsidR="000F2ECD" w:rsidRPr="004154CE" w:rsidRDefault="000F2ECD" w:rsidP="004154CE">
      <w:pPr>
        <w:spacing w:after="0" w:line="360" w:lineRule="auto"/>
        <w:ind w:firstLine="709"/>
        <w:jc w:val="both"/>
        <w:rPr>
          <w:rFonts w:ascii="Times New Roman" w:hAnsi="Times New Roman"/>
          <w:sz w:val="28"/>
          <w:szCs w:val="28"/>
        </w:rPr>
      </w:pPr>
    </w:p>
    <w:p w:rsidR="00297D6F" w:rsidRPr="004154CE" w:rsidRDefault="00297D6F" w:rsidP="004154CE">
      <w:pPr>
        <w:pStyle w:val="a7"/>
        <w:numPr>
          <w:ilvl w:val="0"/>
          <w:numId w:val="1"/>
        </w:numPr>
        <w:spacing w:after="0" w:line="360" w:lineRule="auto"/>
        <w:ind w:left="0" w:firstLine="709"/>
        <w:jc w:val="both"/>
        <w:rPr>
          <w:rFonts w:ascii="Times New Roman" w:hAnsi="Times New Roman"/>
          <w:sz w:val="28"/>
          <w:szCs w:val="28"/>
        </w:rPr>
      </w:pPr>
      <w:r w:rsidRPr="004154CE">
        <w:rPr>
          <w:rFonts w:ascii="Times New Roman" w:hAnsi="Times New Roman"/>
          <w:sz w:val="28"/>
          <w:szCs w:val="28"/>
        </w:rPr>
        <w:t xml:space="preserve">Используя статистические функции </w:t>
      </w:r>
      <w:r w:rsidRPr="004154CE">
        <w:rPr>
          <w:rFonts w:ascii="Times New Roman" w:hAnsi="Times New Roman"/>
          <w:sz w:val="28"/>
          <w:szCs w:val="28"/>
          <w:lang w:val="en-US"/>
        </w:rPr>
        <w:t>Microsoft</w:t>
      </w:r>
      <w:r w:rsidRPr="004154CE">
        <w:rPr>
          <w:rFonts w:ascii="Times New Roman" w:hAnsi="Times New Roman"/>
          <w:sz w:val="28"/>
          <w:szCs w:val="28"/>
        </w:rPr>
        <w:t xml:space="preserve"> </w:t>
      </w:r>
      <w:r w:rsidRPr="004154CE">
        <w:rPr>
          <w:rFonts w:ascii="Times New Roman" w:hAnsi="Times New Roman"/>
          <w:sz w:val="28"/>
          <w:szCs w:val="28"/>
          <w:lang w:val="en-US"/>
        </w:rPr>
        <w:t>Excel</w:t>
      </w:r>
      <w:r w:rsidRPr="004154CE">
        <w:rPr>
          <w:rFonts w:ascii="Times New Roman" w:hAnsi="Times New Roman"/>
          <w:sz w:val="28"/>
          <w:szCs w:val="28"/>
        </w:rPr>
        <w:t>, р</w:t>
      </w:r>
      <w:r w:rsidR="00F256FF" w:rsidRPr="004154CE">
        <w:rPr>
          <w:rFonts w:ascii="Times New Roman" w:hAnsi="Times New Roman"/>
          <w:sz w:val="28"/>
          <w:szCs w:val="28"/>
        </w:rPr>
        <w:t>ассчитаем среднее значение и дисперсию по каждому столбцу, определим отклонение от среднего в долях от дисперсии и, применив формулу дисперсии к сто</w:t>
      </w:r>
      <w:r w:rsidRPr="004154CE">
        <w:rPr>
          <w:rFonts w:ascii="Times New Roman" w:hAnsi="Times New Roman"/>
          <w:sz w:val="28"/>
          <w:szCs w:val="28"/>
        </w:rPr>
        <w:t>лбцу отклонений, получим средне</w:t>
      </w:r>
      <w:r w:rsidR="00F256FF" w:rsidRPr="004154CE">
        <w:rPr>
          <w:rFonts w:ascii="Times New Roman" w:hAnsi="Times New Roman"/>
          <w:sz w:val="28"/>
          <w:szCs w:val="28"/>
        </w:rPr>
        <w:t xml:space="preserve">квадратическое отклонение </w:t>
      </w:r>
      <w:r w:rsidRPr="004154CE">
        <w:rPr>
          <w:rFonts w:ascii="Times New Roman" w:hAnsi="Times New Roman"/>
          <w:sz w:val="28"/>
          <w:szCs w:val="28"/>
        </w:rPr>
        <w:t>σ</w:t>
      </w:r>
      <w:r w:rsidRPr="004154CE">
        <w:rPr>
          <w:rFonts w:ascii="Times New Roman" w:hAnsi="Times New Roman"/>
          <w:sz w:val="28"/>
          <w:szCs w:val="28"/>
          <w:vertAlign w:val="subscript"/>
        </w:rPr>
        <w:t>х</w:t>
      </w:r>
      <w:r w:rsidRPr="004154CE">
        <w:rPr>
          <w:rFonts w:ascii="Times New Roman" w:hAnsi="Times New Roman"/>
          <w:sz w:val="28"/>
          <w:szCs w:val="28"/>
        </w:rPr>
        <w:t>. Затем рассчитаем значение β-коэффициентов для каждой акции:</w:t>
      </w:r>
    </w:p>
    <w:p w:rsidR="000F2ECD" w:rsidRPr="004154CE" w:rsidRDefault="00BA1410" w:rsidP="004154CE">
      <w:pPr>
        <w:pStyle w:val="a7"/>
        <w:spacing w:after="0" w:line="360" w:lineRule="auto"/>
        <w:ind w:left="0" w:firstLine="709"/>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6pt">
            <v:imagedata r:id="rId8" o:title="" chromakey="white"/>
          </v:shape>
        </w:pict>
      </w:r>
    </w:p>
    <w:p w:rsidR="00297D6F" w:rsidRPr="004154CE" w:rsidRDefault="00297D6F" w:rsidP="004154CE">
      <w:pPr>
        <w:pStyle w:val="a7"/>
        <w:spacing w:after="0" w:line="360" w:lineRule="auto"/>
        <w:ind w:left="0" w:firstLine="709"/>
        <w:jc w:val="both"/>
        <w:rPr>
          <w:rFonts w:ascii="Times New Roman" w:hAnsi="Times New Roman"/>
          <w:sz w:val="28"/>
          <w:szCs w:val="28"/>
        </w:rPr>
      </w:pPr>
      <w:r w:rsidRPr="004154CE">
        <w:rPr>
          <w:rFonts w:ascii="Times New Roman" w:hAnsi="Times New Roman"/>
          <w:sz w:val="28"/>
          <w:szCs w:val="28"/>
        </w:rPr>
        <w:t>где σ</w:t>
      </w:r>
      <w:r w:rsidRPr="004154CE">
        <w:rPr>
          <w:rFonts w:ascii="Times New Roman" w:hAnsi="Times New Roman"/>
          <w:sz w:val="28"/>
          <w:szCs w:val="28"/>
          <w:vertAlign w:val="subscript"/>
        </w:rPr>
        <w:t xml:space="preserve">х </w:t>
      </w:r>
      <w:r w:rsidRPr="004154CE">
        <w:rPr>
          <w:rFonts w:ascii="Times New Roman" w:hAnsi="Times New Roman"/>
          <w:sz w:val="28"/>
          <w:szCs w:val="28"/>
        </w:rPr>
        <w:t>– среднеквадратическое (нормированное и стандартизированное) отклонение цены акции от своего среднего,</w:t>
      </w:r>
    </w:p>
    <w:p w:rsidR="00297D6F" w:rsidRPr="004154CE" w:rsidRDefault="00D43894"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fldChar w:fldCharType="begin"/>
      </w:r>
      <w:r w:rsidRPr="004154CE">
        <w:rPr>
          <w:rFonts w:ascii="Times New Roman" w:hAnsi="Times New Roman"/>
          <w:sz w:val="28"/>
          <w:szCs w:val="28"/>
        </w:rPr>
        <w:instrText xml:space="preserve"> QUOTE </w:instrText>
      </w:r>
      <w:r w:rsidR="00BA1410">
        <w:rPr>
          <w:rFonts w:ascii="Times New Roman" w:hAnsi="Times New Roman"/>
          <w:sz w:val="28"/>
        </w:rPr>
        <w:pict>
          <v:shape id="_x0000_i1026" type="#_x0000_t75" style="width:24.75pt;height:21pt">
            <v:imagedata r:id="rId9" o:title="" chromakey="white"/>
          </v:shape>
        </w:pict>
      </w:r>
      <w:r w:rsidRPr="004154CE">
        <w:rPr>
          <w:rFonts w:ascii="Times New Roman" w:hAnsi="Times New Roman"/>
          <w:sz w:val="28"/>
          <w:szCs w:val="28"/>
        </w:rPr>
        <w:instrText xml:space="preserve"> </w:instrText>
      </w:r>
      <w:r w:rsidRPr="004154CE">
        <w:rPr>
          <w:rFonts w:ascii="Times New Roman" w:hAnsi="Times New Roman"/>
          <w:sz w:val="28"/>
          <w:szCs w:val="28"/>
        </w:rPr>
        <w:fldChar w:fldCharType="separate"/>
      </w:r>
      <w:r w:rsidR="00BA1410">
        <w:rPr>
          <w:rFonts w:ascii="Times New Roman" w:hAnsi="Times New Roman"/>
          <w:sz w:val="28"/>
        </w:rPr>
        <w:pict>
          <v:shape id="_x0000_i1027" type="#_x0000_t75" style="width:24.75pt;height:21pt">
            <v:imagedata r:id="rId9" o:title="" chromakey="white"/>
          </v:shape>
        </w:pict>
      </w:r>
      <w:r w:rsidRPr="004154CE">
        <w:rPr>
          <w:rFonts w:ascii="Times New Roman" w:hAnsi="Times New Roman"/>
          <w:sz w:val="28"/>
          <w:szCs w:val="28"/>
        </w:rPr>
        <w:fldChar w:fldCharType="end"/>
      </w:r>
      <w:r w:rsidR="00297D6F" w:rsidRPr="004154CE">
        <w:rPr>
          <w:rFonts w:ascii="Times New Roman" w:hAnsi="Times New Roman"/>
          <w:sz w:val="28"/>
          <w:szCs w:val="28"/>
        </w:rPr>
        <w:t xml:space="preserve"> – среднеквадратическое отклонение</w:t>
      </w:r>
      <w:r w:rsidR="00933D47" w:rsidRPr="004154CE">
        <w:rPr>
          <w:rFonts w:ascii="Times New Roman" w:hAnsi="Times New Roman"/>
          <w:sz w:val="28"/>
          <w:szCs w:val="28"/>
        </w:rPr>
        <w:t xml:space="preserve"> </w:t>
      </w:r>
      <w:r w:rsidR="00D47CCA" w:rsidRPr="004154CE">
        <w:rPr>
          <w:rFonts w:ascii="Times New Roman" w:hAnsi="Times New Roman"/>
          <w:sz w:val="28"/>
          <w:szCs w:val="28"/>
        </w:rPr>
        <w:t>рыночного индекса, т.е. колебания цен рынка в целом,</w:t>
      </w:r>
    </w:p>
    <w:p w:rsidR="00D47CCA" w:rsidRPr="004154CE" w:rsidRDefault="00D43894"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fldChar w:fldCharType="begin"/>
      </w:r>
      <w:r w:rsidRPr="004154CE">
        <w:rPr>
          <w:rFonts w:ascii="Times New Roman" w:hAnsi="Times New Roman"/>
          <w:sz w:val="28"/>
          <w:szCs w:val="28"/>
        </w:rPr>
        <w:instrText xml:space="preserve"> QUOTE </w:instrText>
      </w:r>
      <w:r w:rsidR="00BA1410">
        <w:rPr>
          <w:rFonts w:ascii="Times New Roman" w:hAnsi="Times New Roman"/>
          <w:sz w:val="28"/>
        </w:rPr>
        <w:pict>
          <v:shape id="_x0000_i1028" type="#_x0000_t75" style="width:9.75pt;height:18.75pt">
            <v:imagedata r:id="rId10" o:title="" chromakey="white"/>
          </v:shape>
        </w:pict>
      </w:r>
      <w:r w:rsidRPr="004154CE">
        <w:rPr>
          <w:rFonts w:ascii="Times New Roman" w:hAnsi="Times New Roman"/>
          <w:sz w:val="28"/>
          <w:szCs w:val="28"/>
        </w:rPr>
        <w:instrText xml:space="preserve"> </w:instrText>
      </w:r>
      <w:r w:rsidRPr="004154CE">
        <w:rPr>
          <w:rFonts w:ascii="Times New Roman" w:hAnsi="Times New Roman"/>
          <w:sz w:val="28"/>
          <w:szCs w:val="28"/>
        </w:rPr>
        <w:fldChar w:fldCharType="separate"/>
      </w:r>
      <w:r w:rsidR="00BA1410">
        <w:rPr>
          <w:rFonts w:ascii="Times New Roman" w:hAnsi="Times New Roman"/>
          <w:sz w:val="28"/>
        </w:rPr>
        <w:pict>
          <v:shape id="_x0000_i1029" type="#_x0000_t75" style="width:9.75pt;height:18.75pt">
            <v:imagedata r:id="rId10" o:title="" chromakey="white"/>
          </v:shape>
        </w:pict>
      </w:r>
      <w:r w:rsidRPr="004154CE">
        <w:rPr>
          <w:rFonts w:ascii="Times New Roman" w:hAnsi="Times New Roman"/>
          <w:sz w:val="28"/>
          <w:szCs w:val="28"/>
        </w:rPr>
        <w:fldChar w:fldCharType="end"/>
      </w:r>
      <w:r w:rsidR="00D47CCA" w:rsidRPr="004154CE">
        <w:rPr>
          <w:rFonts w:ascii="Times New Roman" w:hAnsi="Times New Roman"/>
          <w:sz w:val="28"/>
          <w:szCs w:val="28"/>
        </w:rPr>
        <w:t xml:space="preserve"> – коэффициент корреляции цены данной акции с ценами рынка в целом, т.е. со значениями биржевого индекса.</w:t>
      </w:r>
    </w:p>
    <w:p w:rsidR="00D47CCA" w:rsidRPr="004154CE" w:rsidRDefault="00D47CCA" w:rsidP="004154CE">
      <w:pPr>
        <w:pStyle w:val="a7"/>
        <w:numPr>
          <w:ilvl w:val="0"/>
          <w:numId w:val="1"/>
        </w:numPr>
        <w:spacing w:after="0" w:line="360" w:lineRule="auto"/>
        <w:ind w:left="0" w:firstLine="709"/>
        <w:jc w:val="both"/>
        <w:rPr>
          <w:rFonts w:ascii="Times New Roman" w:hAnsi="Times New Roman"/>
          <w:sz w:val="28"/>
          <w:szCs w:val="28"/>
        </w:rPr>
      </w:pPr>
      <w:r w:rsidRPr="004154CE">
        <w:rPr>
          <w:rFonts w:ascii="Times New Roman" w:hAnsi="Times New Roman"/>
          <w:sz w:val="28"/>
          <w:szCs w:val="28"/>
        </w:rPr>
        <w:t xml:space="preserve">Рассчитаем ожидаемую доходность </w:t>
      </w:r>
      <w:r w:rsidRPr="004154CE">
        <w:rPr>
          <w:rFonts w:ascii="Times New Roman" w:hAnsi="Times New Roman"/>
          <w:sz w:val="28"/>
          <w:szCs w:val="28"/>
          <w:lang w:val="en-US"/>
        </w:rPr>
        <w:t>i</w:t>
      </w:r>
      <w:r w:rsidRPr="004154CE">
        <w:rPr>
          <w:rFonts w:ascii="Times New Roman" w:hAnsi="Times New Roman"/>
          <w:sz w:val="28"/>
          <w:szCs w:val="28"/>
          <w:vertAlign w:val="subscript"/>
        </w:rPr>
        <w:t>ож</w:t>
      </w:r>
      <w:r w:rsidRPr="004154CE">
        <w:rPr>
          <w:rFonts w:ascii="Times New Roman" w:hAnsi="Times New Roman"/>
          <w:sz w:val="28"/>
          <w:szCs w:val="28"/>
        </w:rPr>
        <w:t xml:space="preserve"> для акций каждой компании по модели САРМ:</w:t>
      </w:r>
    </w:p>
    <w:p w:rsidR="00D47CCA" w:rsidRPr="004154CE" w:rsidRDefault="00BA1410" w:rsidP="004154CE">
      <w:pPr>
        <w:pStyle w:val="a7"/>
        <w:spacing w:after="0" w:line="360" w:lineRule="auto"/>
        <w:ind w:left="0" w:firstLine="709"/>
        <w:jc w:val="both"/>
        <w:rPr>
          <w:rFonts w:ascii="Times New Roman" w:hAnsi="Times New Roman"/>
          <w:sz w:val="28"/>
          <w:szCs w:val="28"/>
        </w:rPr>
      </w:pPr>
      <w:r>
        <w:rPr>
          <w:rFonts w:ascii="Times New Roman" w:hAnsi="Times New Roman"/>
          <w:sz w:val="28"/>
        </w:rPr>
        <w:pict>
          <v:shape id="_x0000_i1030" type="#_x0000_t75" style="width:145.5pt;height:21pt">
            <v:imagedata r:id="rId11" o:title="" chromakey="white"/>
          </v:shape>
        </w:pict>
      </w:r>
    </w:p>
    <w:p w:rsidR="00677794" w:rsidRPr="004154CE" w:rsidRDefault="00D47CCA" w:rsidP="004154CE">
      <w:pPr>
        <w:pStyle w:val="a7"/>
        <w:spacing w:after="0" w:line="360" w:lineRule="auto"/>
        <w:ind w:left="0" w:firstLine="709"/>
        <w:jc w:val="both"/>
        <w:rPr>
          <w:rFonts w:ascii="Times New Roman" w:hAnsi="Times New Roman"/>
          <w:sz w:val="28"/>
          <w:szCs w:val="28"/>
        </w:rPr>
      </w:pPr>
      <w:r w:rsidRPr="004154CE">
        <w:rPr>
          <w:rFonts w:ascii="Times New Roman" w:hAnsi="Times New Roman"/>
          <w:sz w:val="28"/>
          <w:szCs w:val="28"/>
        </w:rPr>
        <w:t xml:space="preserve">где </w:t>
      </w:r>
      <w:r w:rsidRPr="004154CE">
        <w:rPr>
          <w:rFonts w:ascii="Times New Roman" w:hAnsi="Times New Roman"/>
          <w:sz w:val="28"/>
          <w:szCs w:val="28"/>
          <w:lang w:val="en-US"/>
        </w:rPr>
        <w:t>i</w:t>
      </w:r>
      <w:r w:rsidRPr="004154CE">
        <w:rPr>
          <w:rFonts w:ascii="Times New Roman" w:hAnsi="Times New Roman"/>
          <w:sz w:val="28"/>
          <w:szCs w:val="28"/>
          <w:vertAlign w:val="subscript"/>
        </w:rPr>
        <w:t>0</w:t>
      </w:r>
      <w:r w:rsidRPr="004154CE">
        <w:rPr>
          <w:rFonts w:ascii="Times New Roman" w:hAnsi="Times New Roman"/>
          <w:sz w:val="28"/>
          <w:szCs w:val="28"/>
        </w:rPr>
        <w:t xml:space="preserve"> </w:t>
      </w:r>
      <w:r w:rsidR="00677794" w:rsidRPr="004154CE">
        <w:rPr>
          <w:rFonts w:ascii="Times New Roman" w:hAnsi="Times New Roman"/>
          <w:sz w:val="28"/>
          <w:szCs w:val="28"/>
        </w:rPr>
        <w:t xml:space="preserve">- </w:t>
      </w:r>
      <w:r w:rsidRPr="004154CE">
        <w:rPr>
          <w:rFonts w:ascii="Times New Roman" w:hAnsi="Times New Roman"/>
          <w:sz w:val="28"/>
          <w:szCs w:val="28"/>
        </w:rPr>
        <w:t>безрисковая рыночная доходность, принятая на уровне 6% годовых</w:t>
      </w:r>
      <w:r w:rsidR="00677794" w:rsidRPr="004154CE">
        <w:rPr>
          <w:rFonts w:ascii="Times New Roman" w:hAnsi="Times New Roman"/>
          <w:sz w:val="28"/>
          <w:szCs w:val="28"/>
        </w:rPr>
        <w:t>,</w:t>
      </w:r>
    </w:p>
    <w:p w:rsidR="00677794" w:rsidRPr="004154CE" w:rsidRDefault="00677794" w:rsidP="004154CE">
      <w:pPr>
        <w:pStyle w:val="a7"/>
        <w:spacing w:after="0" w:line="360" w:lineRule="auto"/>
        <w:ind w:left="0" w:firstLine="709"/>
        <w:jc w:val="both"/>
        <w:rPr>
          <w:rFonts w:ascii="Times New Roman" w:hAnsi="Times New Roman"/>
          <w:sz w:val="28"/>
          <w:szCs w:val="28"/>
        </w:rPr>
      </w:pPr>
      <w:r w:rsidRPr="004154CE">
        <w:rPr>
          <w:rFonts w:ascii="Times New Roman" w:hAnsi="Times New Roman"/>
          <w:sz w:val="28"/>
          <w:szCs w:val="28"/>
          <w:lang w:val="en-US"/>
        </w:rPr>
        <w:t>i</w:t>
      </w:r>
      <w:r w:rsidRPr="004154CE">
        <w:rPr>
          <w:rFonts w:ascii="Times New Roman" w:hAnsi="Times New Roman"/>
          <w:sz w:val="28"/>
          <w:szCs w:val="28"/>
          <w:vertAlign w:val="subscript"/>
        </w:rPr>
        <w:t>рын</w:t>
      </w:r>
      <w:r w:rsidRPr="004154CE">
        <w:rPr>
          <w:rFonts w:ascii="Times New Roman" w:hAnsi="Times New Roman"/>
          <w:sz w:val="28"/>
          <w:szCs w:val="28"/>
        </w:rPr>
        <w:t xml:space="preserve"> – доходность рынка</w:t>
      </w:r>
    </w:p>
    <w:p w:rsidR="00297D6F" w:rsidRPr="004154CE" w:rsidRDefault="00BA1410" w:rsidP="004154CE">
      <w:pPr>
        <w:pStyle w:val="a7"/>
        <w:spacing w:after="0" w:line="360" w:lineRule="auto"/>
        <w:ind w:left="0" w:firstLine="709"/>
        <w:jc w:val="both"/>
        <w:rPr>
          <w:rFonts w:ascii="Times New Roman" w:hAnsi="Times New Roman"/>
          <w:sz w:val="28"/>
          <w:szCs w:val="28"/>
        </w:rPr>
      </w:pPr>
      <w:r>
        <w:rPr>
          <w:rFonts w:ascii="Times New Roman" w:hAnsi="Times New Roman"/>
          <w:sz w:val="28"/>
        </w:rPr>
        <w:pict>
          <v:shape id="_x0000_i1031" type="#_x0000_t75" style="width:296.25pt;height:34.5pt">
            <v:imagedata r:id="rId12" o:title="" chromakey="white"/>
          </v:shape>
        </w:pict>
      </w:r>
    </w:p>
    <w:p w:rsidR="00677794" w:rsidRPr="004154CE" w:rsidRDefault="00677794" w:rsidP="004154CE">
      <w:pPr>
        <w:pStyle w:val="a7"/>
        <w:spacing w:after="0" w:line="360" w:lineRule="auto"/>
        <w:ind w:left="0" w:firstLine="709"/>
        <w:jc w:val="both"/>
        <w:rPr>
          <w:rFonts w:ascii="Times New Roman" w:hAnsi="Times New Roman"/>
          <w:sz w:val="28"/>
          <w:szCs w:val="28"/>
        </w:rPr>
      </w:pPr>
      <w:r w:rsidRPr="004154CE">
        <w:rPr>
          <w:rFonts w:ascii="Times New Roman" w:hAnsi="Times New Roman"/>
          <w:sz w:val="28"/>
          <w:szCs w:val="28"/>
        </w:rPr>
        <w:t>Все вышеперечисленные вычисления приведены в таблице 2.</w:t>
      </w:r>
    </w:p>
    <w:p w:rsidR="00F24F49" w:rsidRDefault="00F24F49" w:rsidP="004154CE">
      <w:pPr>
        <w:pStyle w:val="a7"/>
        <w:spacing w:after="0" w:line="360" w:lineRule="auto"/>
        <w:ind w:left="0" w:firstLine="709"/>
        <w:jc w:val="both"/>
        <w:rPr>
          <w:rFonts w:ascii="Times New Roman" w:hAnsi="Times New Roman"/>
          <w:sz w:val="28"/>
          <w:szCs w:val="28"/>
        </w:rPr>
      </w:pPr>
    </w:p>
    <w:p w:rsidR="00F24F49" w:rsidRPr="004154CE" w:rsidRDefault="00F24F49" w:rsidP="004154CE">
      <w:pPr>
        <w:pStyle w:val="a8"/>
        <w:keepNext/>
        <w:spacing w:after="0" w:line="360" w:lineRule="auto"/>
        <w:ind w:firstLine="709"/>
        <w:jc w:val="both"/>
        <w:rPr>
          <w:rFonts w:ascii="Times New Roman" w:hAnsi="Times New Roman"/>
          <w:b w:val="0"/>
          <w:color w:val="auto"/>
          <w:sz w:val="28"/>
          <w:szCs w:val="24"/>
        </w:rPr>
      </w:pPr>
      <w:r w:rsidRPr="004154CE">
        <w:rPr>
          <w:rFonts w:ascii="Times New Roman" w:hAnsi="Times New Roman"/>
          <w:b w:val="0"/>
          <w:color w:val="auto"/>
          <w:sz w:val="28"/>
          <w:szCs w:val="24"/>
        </w:rPr>
        <w:t xml:space="preserve">Таблица </w:t>
      </w:r>
      <w:r w:rsidRPr="004154CE">
        <w:rPr>
          <w:rFonts w:ascii="Times New Roman" w:hAnsi="Times New Roman"/>
          <w:b w:val="0"/>
          <w:color w:val="auto"/>
          <w:sz w:val="28"/>
          <w:szCs w:val="24"/>
        </w:rPr>
        <w:fldChar w:fldCharType="begin"/>
      </w:r>
      <w:r w:rsidRPr="004154CE">
        <w:rPr>
          <w:rFonts w:ascii="Times New Roman" w:hAnsi="Times New Roman"/>
          <w:b w:val="0"/>
          <w:color w:val="auto"/>
          <w:sz w:val="28"/>
          <w:szCs w:val="24"/>
        </w:rPr>
        <w:instrText xml:space="preserve"> SEQ Таблица \* ARABIC </w:instrText>
      </w:r>
      <w:r w:rsidRPr="004154CE">
        <w:rPr>
          <w:rFonts w:ascii="Times New Roman" w:hAnsi="Times New Roman"/>
          <w:b w:val="0"/>
          <w:color w:val="auto"/>
          <w:sz w:val="28"/>
          <w:szCs w:val="24"/>
        </w:rPr>
        <w:fldChar w:fldCharType="separate"/>
      </w:r>
      <w:r w:rsidR="00464108" w:rsidRPr="004154CE">
        <w:rPr>
          <w:rFonts w:ascii="Times New Roman" w:hAnsi="Times New Roman"/>
          <w:b w:val="0"/>
          <w:noProof/>
          <w:color w:val="auto"/>
          <w:sz w:val="28"/>
          <w:szCs w:val="24"/>
        </w:rPr>
        <w:t>2</w:t>
      </w:r>
      <w:r w:rsidRPr="004154CE">
        <w:rPr>
          <w:rFonts w:ascii="Times New Roman" w:hAnsi="Times New Roman"/>
          <w:b w:val="0"/>
          <w:color w:val="auto"/>
          <w:sz w:val="28"/>
          <w:szCs w:val="24"/>
        </w:rPr>
        <w:fldChar w:fldCharType="end"/>
      </w:r>
      <w:r w:rsidRPr="004154CE">
        <w:rPr>
          <w:rFonts w:ascii="Times New Roman" w:hAnsi="Times New Roman"/>
          <w:b w:val="0"/>
          <w:color w:val="auto"/>
          <w:sz w:val="28"/>
          <w:szCs w:val="24"/>
        </w:rPr>
        <w:t>. Расчеты коэффициентов</w:t>
      </w:r>
    </w:p>
    <w:tbl>
      <w:tblPr>
        <w:tblW w:w="4981" w:type="pct"/>
        <w:tblLayout w:type="fixed"/>
        <w:tblLook w:val="04A0" w:firstRow="1" w:lastRow="0" w:firstColumn="1" w:lastColumn="0" w:noHBand="0" w:noVBand="1"/>
      </w:tblPr>
      <w:tblGrid>
        <w:gridCol w:w="1079"/>
        <w:gridCol w:w="706"/>
        <w:gridCol w:w="692"/>
        <w:gridCol w:w="673"/>
        <w:gridCol w:w="664"/>
        <w:gridCol w:w="686"/>
        <w:gridCol w:w="772"/>
        <w:gridCol w:w="898"/>
        <w:gridCol w:w="685"/>
        <w:gridCol w:w="673"/>
        <w:gridCol w:w="667"/>
        <w:gridCol w:w="685"/>
        <w:gridCol w:w="654"/>
      </w:tblGrid>
      <w:tr w:rsidR="00F24F49" w:rsidRPr="004154CE" w:rsidTr="00F24F49">
        <w:trPr>
          <w:trHeight w:val="864"/>
          <w:tblHeader/>
        </w:trPr>
        <w:tc>
          <w:tcPr>
            <w:tcW w:w="566" w:type="pct"/>
            <w:tcBorders>
              <w:top w:val="single" w:sz="8" w:space="0" w:color="auto"/>
              <w:left w:val="single" w:sz="8" w:space="0" w:color="auto"/>
              <w:bottom w:val="single" w:sz="4"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Дата</w:t>
            </w:r>
          </w:p>
        </w:tc>
        <w:tc>
          <w:tcPr>
            <w:tcW w:w="370" w:type="pct"/>
            <w:tcBorders>
              <w:top w:val="single" w:sz="4" w:space="0" w:color="auto"/>
              <w:left w:val="single" w:sz="4" w:space="0" w:color="auto"/>
              <w:bottom w:val="single" w:sz="6" w:space="0" w:color="auto"/>
              <w:right w:val="single" w:sz="6"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Индекс рынка</w:t>
            </w:r>
          </w:p>
        </w:tc>
        <w:tc>
          <w:tcPr>
            <w:tcW w:w="363" w:type="pct"/>
            <w:tcBorders>
              <w:top w:val="single" w:sz="4" w:space="0" w:color="auto"/>
              <w:left w:val="single" w:sz="6" w:space="0" w:color="auto"/>
              <w:bottom w:val="single" w:sz="6" w:space="0" w:color="auto"/>
              <w:right w:val="single" w:sz="6"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Отклонение</w:t>
            </w:r>
          </w:p>
        </w:tc>
        <w:tc>
          <w:tcPr>
            <w:tcW w:w="353" w:type="pct"/>
            <w:tcBorders>
              <w:top w:val="single" w:sz="4" w:space="0" w:color="auto"/>
              <w:left w:val="single" w:sz="6" w:space="0" w:color="auto"/>
              <w:bottom w:val="single" w:sz="6"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Доля отклонения</w:t>
            </w:r>
          </w:p>
        </w:tc>
        <w:tc>
          <w:tcPr>
            <w:tcW w:w="348" w:type="pct"/>
            <w:tcBorders>
              <w:top w:val="single" w:sz="8" w:space="0" w:color="auto"/>
              <w:left w:val="single" w:sz="4" w:space="0" w:color="auto"/>
              <w:bottom w:val="single" w:sz="4"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Лукойл</w:t>
            </w:r>
          </w:p>
        </w:tc>
        <w:tc>
          <w:tcPr>
            <w:tcW w:w="360" w:type="pct"/>
            <w:tcBorders>
              <w:top w:val="single" w:sz="8" w:space="0" w:color="auto"/>
              <w:left w:val="nil"/>
              <w:bottom w:val="single" w:sz="4"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Отклонение</w:t>
            </w:r>
          </w:p>
        </w:tc>
        <w:tc>
          <w:tcPr>
            <w:tcW w:w="405" w:type="pct"/>
            <w:tcBorders>
              <w:top w:val="single" w:sz="8" w:space="0" w:color="auto"/>
              <w:left w:val="nil"/>
              <w:bottom w:val="single" w:sz="4" w:space="0" w:color="auto"/>
              <w:right w:val="single" w:sz="8"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Доля отклонения</w:t>
            </w:r>
          </w:p>
        </w:tc>
        <w:tc>
          <w:tcPr>
            <w:tcW w:w="471" w:type="pct"/>
            <w:tcBorders>
              <w:top w:val="single" w:sz="8" w:space="0" w:color="auto"/>
              <w:left w:val="nil"/>
              <w:bottom w:val="single" w:sz="4"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Сургутнефтегаз</w:t>
            </w:r>
          </w:p>
        </w:tc>
        <w:tc>
          <w:tcPr>
            <w:tcW w:w="359" w:type="pct"/>
            <w:tcBorders>
              <w:top w:val="single" w:sz="8" w:space="0" w:color="auto"/>
              <w:left w:val="nil"/>
              <w:bottom w:val="single" w:sz="4"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Отклонение</w:t>
            </w:r>
          </w:p>
        </w:tc>
        <w:tc>
          <w:tcPr>
            <w:tcW w:w="353" w:type="pct"/>
            <w:tcBorders>
              <w:top w:val="single" w:sz="8" w:space="0" w:color="auto"/>
              <w:left w:val="nil"/>
              <w:bottom w:val="single" w:sz="4" w:space="0" w:color="auto"/>
              <w:right w:val="single" w:sz="8"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Доля отклонения</w:t>
            </w:r>
          </w:p>
        </w:tc>
        <w:tc>
          <w:tcPr>
            <w:tcW w:w="350" w:type="pct"/>
            <w:tcBorders>
              <w:top w:val="single" w:sz="8" w:space="0" w:color="auto"/>
              <w:left w:val="nil"/>
              <w:bottom w:val="single" w:sz="4"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РАО ЕЭС</w:t>
            </w:r>
          </w:p>
        </w:tc>
        <w:tc>
          <w:tcPr>
            <w:tcW w:w="359" w:type="pct"/>
            <w:tcBorders>
              <w:top w:val="single" w:sz="8" w:space="0" w:color="auto"/>
              <w:left w:val="nil"/>
              <w:bottom w:val="single" w:sz="4" w:space="0" w:color="auto"/>
              <w:right w:val="single" w:sz="4"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Отклонение</w:t>
            </w:r>
          </w:p>
        </w:tc>
        <w:tc>
          <w:tcPr>
            <w:tcW w:w="343" w:type="pct"/>
            <w:tcBorders>
              <w:top w:val="single" w:sz="8" w:space="0" w:color="auto"/>
              <w:left w:val="nil"/>
              <w:bottom w:val="single" w:sz="4" w:space="0" w:color="auto"/>
              <w:right w:val="single" w:sz="8" w:space="0" w:color="auto"/>
            </w:tcBorders>
            <w:vAlign w:val="center"/>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Доля отклонения</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1927,63</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-111,37</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1969,14</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-80,57</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-0,0393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30,443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-1,49</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34,612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3,704</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0,1198</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1925,79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-113,21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1958,50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-91,21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-0,0445</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30,988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-0,95</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-0,030</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34,29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3,382</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0,1094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1886,83</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-152,17</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1910,94</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-138,77</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-0,0677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30,13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-1,80</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-0,056</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33,889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2,981</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0,0964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1820,3</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-218,7</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-0,107</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1863,78</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-185,93</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-0,0907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29,497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-2,44</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-0,076</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33,369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2,461</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0,0796</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1860,7</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-178,3</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-0,087</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1902,00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-147,71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-0,0721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30,82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-1,11</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-0,035</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33,48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2,572</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0,0832</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1852,15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-186,85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-0,092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1886,00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-163,71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-0,0799</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30,33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-1,60</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-0,050</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33,16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2,252</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0,0728</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1820,65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-218,35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-0,107</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1862,22</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-187,49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-0,0915</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29,633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-2,30</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32,987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2,079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0,0673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1853,77</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-185,23</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-0,091</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1894,00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-155,71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-0,0760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30,289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-1,64</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32,929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2,021</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0,0654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1864,59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-174,41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-0,086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1889,00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-160,71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-0,0784</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29,84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-2,09</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-0,066</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32,454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1,546</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0,0500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24.08.2007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1864,74</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-174,26</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-0,085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1891,99</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-157,72</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-0,0769</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30,55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-0,043</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32,386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1,478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0,0478</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27.08.2007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1895,71</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-143,29</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-0,070</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1902,00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-147,71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-0,0721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32,618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32,742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1,834</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0,0593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28.08.2007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1877,1</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-161,9</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1891,01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-158,70</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-0,0774</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31,799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-0,004</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1,492</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0,0483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1871,54</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-167,46</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-0,082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1887,00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-162,71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-0,0794</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31,24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-0,69</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32,677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1,769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0,0572</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1880,43</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-158,57</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-0,078</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1882,00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-167,71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-0,0818</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31,37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-0,018</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32,35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1,442</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0,0466</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31.08.2007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1919,89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-119,11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-0,058</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1907,00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-142,71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-0,0696</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32,16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32,361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1,453</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0,0470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1926,5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-112,5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1922,00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-127,71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-0,0623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32,12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0,19</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0,006</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32,653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1,745</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0,0564</w:t>
            </w:r>
          </w:p>
        </w:tc>
      </w:tr>
      <w:tr w:rsidR="00F24F49" w:rsidRPr="004154CE" w:rsidTr="00F24F49">
        <w:trPr>
          <w:trHeight w:val="276"/>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1904,76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-134,24</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1911,00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-138,71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-0,0677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31,74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-0,19</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-0,006</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31,619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0,711</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0,0230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1905,3</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-133,7</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1908,00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-141,71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-0,0691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-0,004</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31,387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0,479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0,0155</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1920,88</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-118,12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-0,058</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1940,45</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-109,26</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-0,0533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31,529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0,621</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0,0201</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07.09.2007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1898,19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-140,81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1905,10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-144,61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-0,0706</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31,077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30,915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0,007</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0,0002</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1898,26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-140,74</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1908,90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-140,81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-0,0687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30,793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-0,115</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-0,0037</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1911,97</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-127,03</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1915,30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-134,41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-0,0656</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-0,010</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30,516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-0,392</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-0,0127</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1899,95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-139,05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-0,068</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1899,50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-150,21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-0,0733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31,35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-0,018</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29,699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-1,209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-0,0391</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1932,68</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-106,32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1930,99</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-118,72</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-0,0579</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31,77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-0,005</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30,048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-0,860</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-0,0278</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1943,25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-95,75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-0,047</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1926,00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-123,71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-0,0604</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31,55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-1,308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-0,0423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1915,8</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-123,2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-0,060</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1908,00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-141,71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-0,0691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29,619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-1,289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-0,0417</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1938,52</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-100,48</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1934,99</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-114,72</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-0,0560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31,539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-0,39</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30,303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-0,605</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-0,0196</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2015,36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-23,64</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2015,50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-34,21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-0,0167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32,309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31,03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0,122</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0,0039</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2015,19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-23,81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2010,11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-39,60</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-0,0193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0,27</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0,008</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30,403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-0,505</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-0,0164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2026,29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-12,71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2021,00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-28,71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-0,0140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32,499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0,57</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0,018</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30,649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-0,259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-0,0084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24.09.2007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2042,2</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2028,50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-21,21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-0,0103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33,239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1,31</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30,18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-0,728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-0,0236</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25.09.2007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2008,97</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-30,03</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1996,01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-53,70</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-0,0262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32,942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1,01</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30,075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-0,833</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-0,0270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26.09.2007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2049,45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10,45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2036,00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-0,0067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33,897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-0,308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-0,0100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27.09.2007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2064,16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25,16</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2063,11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13,40</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0,0065</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34,15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2,22</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0,069</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30,654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-0,254</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-0,0082</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28.09.2007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2071,8</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32,8</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2081,80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32,09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0,0157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1,97</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30,265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-0,643</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-0,0208</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2047,09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8,09</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0,004</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2034,00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-15,71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-0,0077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33,599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1,67</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-1,108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-0,0359</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2108,57</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69,57</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0,034</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2112,00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62,29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0,0304</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34,141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2,21</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0,069</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30,475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-0,433</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-0,0140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2092,98</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53,98</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2095,00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45,29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0,0221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33,87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1,94</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-0,908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-0,0294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2090,08</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51,08</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2105,03</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55,32</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0,0270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33,71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0,056</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29,87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-1,038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-0,0336</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2115,43</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76,43</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0,037</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2173,04</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123,33</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0,0602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1,77</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0,055</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30,092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-0,816</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-0,0264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2130,2</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91,2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2176,70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126,99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0,0620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33,43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1,50</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29,95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-0,958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-0,0310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2141,79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102,79</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0,050</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2187,00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137,29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0,0670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33,344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1,41</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0,044</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29,847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-1,061</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-0,0343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2143,69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104,69</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0,051</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2175,00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125,29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0,0611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32,97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1,04</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29,371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-1,537</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-0,0497</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2173,11</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134,11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2219,60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169,89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0,0829</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32,963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29,998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-0,910</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-0,0295</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2163,11</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124,11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0,061</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2201,32</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151,61</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0,0740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32,64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0,71</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-1,208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-0,0391</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2176,9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137,9</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0,068</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2211,75</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162,04</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0,0791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32,62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0,69</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29,382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-1,526</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-0,0494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2159,84</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120,84</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2211,50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161,79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0,0789</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32,271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0,34</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29,15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-1,758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-0,0569</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17.10.2007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2158,09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119,09</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0,058</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2210,00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160,29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0,0782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32,15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0,22</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29,018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-1,890</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-0,0612</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2136,53</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97,53</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0,048</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2140,51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90,80</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0,0443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31,887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29,363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-1,545</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-0,0500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19.10.2007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2142,42</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103,42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0,051</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2132,00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82,29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0,0401</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31,801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-0,004</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29,55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-1,358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-0,0439</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2098,57</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59,57</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2076,99</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27,28</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0,0133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31,45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-0,015</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29,632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-1,276</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-0,0413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2127</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88</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0,043</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2094,00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44,29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0,0216</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31,489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-0,44</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-0,014</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30,835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-0,073</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-0,0024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24.10.2007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2123,36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84,36</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0,041</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2084,10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34,39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0,0168</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31,191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-0,74</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-0,023</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30,62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-0,288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-0,0093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25.10.2007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2151,1</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112,1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0,055</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2107,50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57,79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0,0282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31,57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30,627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-0,281</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-0,0091</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26.10.2007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2194,12</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155,12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0,076</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2174,00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124,29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0,0606</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32,365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0,43</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0,014</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30,632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-0,276</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-0,0089</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2226,02</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187,02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0,092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2232,00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182,29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0,0889</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32,795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0,027</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30,66</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-0,248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-0,0080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2206,34</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167,34</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0,082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2213,40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163,69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0,0799</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32,297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29,949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-0,959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-0,0310</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31.10.2007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2223,06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184,06</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0,090</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2237,01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187,30</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0,0914</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32,301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0,37</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-0,808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-0,0262</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01.11.2007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2220,16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181,16</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0,089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2230,00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180,29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0,0880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31,92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0,000</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30,39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-0,518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-0,0168</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02.11.2007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2228,15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189,15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0,093</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2255,00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205,29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0,1002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31,58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-0,35</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-0,011</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30,54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-0,368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-0,0119</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06.11.2007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2268,92</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229,92</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0,113</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2331,00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281,29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0,1372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31,771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-0,005</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30,28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-0,628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-0,0203</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07.11.2007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2280,95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241,95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0,119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2308,00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258,29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0,1260</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31,65</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-0,28</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-0,009</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30,04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-0,868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-0,0281</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08.11.2007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2288,15</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249,15</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0,122</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2303,11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253,40</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0,1236</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31,63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-0,30</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-0,010</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30,44</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-0,468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-0,0152</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09.11.2007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2262,11</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223,11</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0,109</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2239,00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189,29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0,0923</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30,412</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-1,52</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-0,048</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30,11</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-0,798</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-0,0258</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12.11.2007</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2245,86</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206,86</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0,101</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2203,00</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153,29</w:t>
            </w:r>
          </w:p>
        </w:tc>
        <w:tc>
          <w:tcPr>
            <w:tcW w:w="405" w:type="pct"/>
            <w:tcBorders>
              <w:top w:val="nil"/>
              <w:left w:val="nil"/>
              <w:bottom w:val="single" w:sz="4" w:space="0" w:color="auto"/>
              <w:right w:val="single" w:sz="8" w:space="0" w:color="auto"/>
            </w:tcBorders>
            <w:noWrap/>
            <w:vAlign w:val="center"/>
            <w:hideMark/>
          </w:tcPr>
          <w:p w:rsidR="00F24F49" w:rsidRPr="004154CE" w:rsidRDefault="00F24F49" w:rsidP="004154CE">
            <w:pPr>
              <w:spacing w:after="0" w:line="360" w:lineRule="auto"/>
              <w:ind w:firstLineChars="100" w:firstLine="200"/>
              <w:jc w:val="both"/>
              <w:rPr>
                <w:rFonts w:ascii="Times New Roman" w:hAnsi="Times New Roman"/>
                <w:sz w:val="20"/>
                <w:szCs w:val="20"/>
              </w:rPr>
            </w:pPr>
            <w:r w:rsidRPr="004154CE">
              <w:rPr>
                <w:rFonts w:ascii="Times New Roman" w:hAnsi="Times New Roman"/>
                <w:sz w:val="20"/>
                <w:szCs w:val="20"/>
              </w:rPr>
              <w:t>0,0748</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30,07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-1,86</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-0,058</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29,999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-0,909</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-0,0294</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Среднее</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2039</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2049,71</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31,93</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30,908</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Дисперсия</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0,0047</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0,0047</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0,0013</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0,0020</w:t>
            </w:r>
          </w:p>
        </w:tc>
      </w:tr>
      <w:tr w:rsidR="00F24F49" w:rsidRPr="004154CE" w:rsidTr="00F24F49">
        <w:trPr>
          <w:trHeight w:val="576"/>
        </w:trPr>
        <w:tc>
          <w:tcPr>
            <w:tcW w:w="566" w:type="pct"/>
            <w:tcBorders>
              <w:top w:val="nil"/>
              <w:left w:val="single" w:sz="8" w:space="0" w:color="auto"/>
              <w:bottom w:val="single" w:sz="4" w:space="0" w:color="auto"/>
              <w:right w:val="single" w:sz="4" w:space="0" w:color="auto"/>
            </w:tcBorders>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Корреляция с рынком</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0,984</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0,409</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-0,677</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β-коэффициент</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0,9812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0,1119</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-0,28661</w:t>
            </w:r>
          </w:p>
        </w:tc>
      </w:tr>
      <w:tr w:rsidR="00F24F49" w:rsidRPr="004154CE" w:rsidTr="00F24F49">
        <w:trPr>
          <w:trHeight w:val="288"/>
        </w:trPr>
        <w:tc>
          <w:tcPr>
            <w:tcW w:w="566" w:type="pct"/>
            <w:tcBorders>
              <w:top w:val="nil"/>
              <w:left w:val="single" w:sz="8"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I ожидаемое</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16,2282</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3,1802</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-2,8020</w:t>
            </w:r>
          </w:p>
        </w:tc>
      </w:tr>
      <w:tr w:rsidR="00F24F49" w:rsidRPr="004154CE" w:rsidTr="00F24F49">
        <w:trPr>
          <w:trHeight w:val="300"/>
        </w:trPr>
        <w:tc>
          <w:tcPr>
            <w:tcW w:w="566"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I фактическое</w:t>
            </w:r>
          </w:p>
        </w:tc>
        <w:tc>
          <w:tcPr>
            <w:tcW w:w="370" w:type="pct"/>
            <w:tcBorders>
              <w:top w:val="single" w:sz="6" w:space="0" w:color="auto"/>
              <w:left w:val="single" w:sz="4"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single" w:sz="4" w:space="0" w:color="auto"/>
              <w:bottom w:val="single" w:sz="8"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0" w:type="pct"/>
            <w:tcBorders>
              <w:top w:val="nil"/>
              <w:left w:val="nil"/>
              <w:bottom w:val="single" w:sz="8"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8"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11,8763</w:t>
            </w:r>
          </w:p>
        </w:tc>
        <w:tc>
          <w:tcPr>
            <w:tcW w:w="471" w:type="pct"/>
            <w:tcBorders>
              <w:top w:val="nil"/>
              <w:left w:val="nil"/>
              <w:bottom w:val="single" w:sz="8"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8"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8"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-1,2252</w:t>
            </w:r>
          </w:p>
        </w:tc>
        <w:tc>
          <w:tcPr>
            <w:tcW w:w="350" w:type="pct"/>
            <w:tcBorders>
              <w:top w:val="nil"/>
              <w:left w:val="nil"/>
              <w:bottom w:val="single" w:sz="8"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8"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8" w:space="0" w:color="auto"/>
              <w:right w:val="single" w:sz="8"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-13,3277</w:t>
            </w:r>
          </w:p>
        </w:tc>
      </w:tr>
      <w:tr w:rsidR="00F24F49" w:rsidRPr="004154CE" w:rsidTr="00F24F49">
        <w:trPr>
          <w:trHeight w:val="288"/>
        </w:trPr>
        <w:tc>
          <w:tcPr>
            <w:tcW w:w="566"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70" w:type="pct"/>
            <w:tcBorders>
              <w:top w:val="single" w:sz="6" w:space="0" w:color="auto"/>
              <w:left w:val="nil"/>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3" w:type="pct"/>
            <w:tcBorders>
              <w:top w:val="single" w:sz="6" w:space="0" w:color="auto"/>
              <w:left w:val="single" w:sz="6" w:space="0" w:color="auto"/>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24F49" w:rsidRPr="004154CE" w:rsidTr="00F24F49">
        <w:trPr>
          <w:trHeight w:val="635"/>
        </w:trPr>
        <w:tc>
          <w:tcPr>
            <w:tcW w:w="566"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p>
        </w:tc>
        <w:tc>
          <w:tcPr>
            <w:tcW w:w="733" w:type="pct"/>
            <w:gridSpan w:val="2"/>
            <w:tcBorders>
              <w:top w:val="single" w:sz="6" w:space="0" w:color="auto"/>
              <w:left w:val="nil"/>
              <w:bottom w:val="single" w:sz="6"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Доходность рынка</w:t>
            </w:r>
          </w:p>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single" w:sz="6" w:space="0" w:color="auto"/>
              <w:left w:val="single" w:sz="6" w:space="0" w:color="auto"/>
              <w:bottom w:val="single" w:sz="6"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876" w:type="pct"/>
            <w:gridSpan w:val="2"/>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Безрисковая доходность</w:t>
            </w:r>
          </w:p>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24F49" w:rsidRPr="004154CE" w:rsidTr="00F24F49">
        <w:trPr>
          <w:trHeight w:val="288"/>
        </w:trPr>
        <w:tc>
          <w:tcPr>
            <w:tcW w:w="566" w:type="pct"/>
            <w:tcBorders>
              <w:top w:val="nil"/>
              <w:left w:val="single" w:sz="4"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70" w:type="pct"/>
            <w:tcBorders>
              <w:top w:val="single" w:sz="6" w:space="0" w:color="auto"/>
              <w:left w:val="nil"/>
              <w:bottom w:val="single" w:sz="4"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1,1651</w:t>
            </w:r>
          </w:p>
        </w:tc>
        <w:tc>
          <w:tcPr>
            <w:tcW w:w="363" w:type="pct"/>
            <w:tcBorders>
              <w:top w:val="single" w:sz="6" w:space="0" w:color="auto"/>
              <w:left w:val="single" w:sz="6" w:space="0" w:color="auto"/>
              <w:bottom w:val="single" w:sz="4" w:space="0" w:color="auto"/>
              <w:right w:val="single" w:sz="6"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r w:rsidR="000A0582" w:rsidRPr="004154CE">
              <w:rPr>
                <w:rFonts w:ascii="Times New Roman" w:hAnsi="Times New Roman"/>
                <w:sz w:val="20"/>
                <w:szCs w:val="20"/>
              </w:rPr>
              <w:t>%</w:t>
            </w:r>
          </w:p>
        </w:tc>
        <w:tc>
          <w:tcPr>
            <w:tcW w:w="353" w:type="pct"/>
            <w:tcBorders>
              <w:top w:val="single" w:sz="6" w:space="0" w:color="auto"/>
              <w:left w:val="single" w:sz="6" w:space="0" w:color="auto"/>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8"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6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05"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1,5</w:t>
            </w:r>
          </w:p>
        </w:tc>
        <w:tc>
          <w:tcPr>
            <w:tcW w:w="471"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r w:rsidR="000A0582" w:rsidRPr="004154CE">
              <w:rPr>
                <w:rFonts w:ascii="Times New Roman" w:hAnsi="Times New Roman"/>
                <w:sz w:val="20"/>
                <w:szCs w:val="20"/>
              </w:rPr>
              <w:t>%</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3"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0"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59"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343" w:type="pct"/>
            <w:tcBorders>
              <w:top w:val="nil"/>
              <w:left w:val="nil"/>
              <w:bottom w:val="single" w:sz="4" w:space="0" w:color="auto"/>
              <w:right w:val="single" w:sz="4" w:space="0" w:color="auto"/>
            </w:tcBorders>
            <w:noWrap/>
            <w:vAlign w:val="bottom"/>
            <w:hideMark/>
          </w:tcPr>
          <w:p w:rsidR="00F24F49" w:rsidRPr="004154CE" w:rsidRDefault="00F24F49"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bl>
    <w:p w:rsidR="000A0582" w:rsidRPr="004154CE" w:rsidRDefault="000A0582" w:rsidP="004154CE">
      <w:pPr>
        <w:pStyle w:val="a7"/>
        <w:spacing w:after="0" w:line="360" w:lineRule="auto"/>
        <w:ind w:left="0" w:firstLine="709"/>
        <w:jc w:val="both"/>
        <w:rPr>
          <w:rFonts w:ascii="Times New Roman" w:hAnsi="Times New Roman"/>
          <w:sz w:val="28"/>
          <w:szCs w:val="28"/>
        </w:rPr>
      </w:pPr>
    </w:p>
    <w:p w:rsidR="00677794" w:rsidRPr="004154CE" w:rsidRDefault="000A0582"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Значения β-коэффициентов для трех компаний: Лукойл, Сургутнефтегаз и РАО ЕЭС – меньше 1. Это свидетельствует о том, что акции колеблются меньше рынка и считаются надежными.</w:t>
      </w:r>
      <w:r w:rsidR="00E07F4D" w:rsidRPr="004154CE">
        <w:rPr>
          <w:rFonts w:ascii="Times New Roman" w:hAnsi="Times New Roman"/>
          <w:sz w:val="28"/>
          <w:szCs w:val="28"/>
        </w:rPr>
        <w:t xml:space="preserve"> Помимо этого, по акциям Лукойл и Сргутнефтегаз ожидаемая доходность больше фактической, т.е. данные ценные бумаги недооценены и доходность по ним будет повышаться. Иная ситуация складывается с РАО ЕЭС: ожидаемая доходность меньше фактической, что говорит о переоценке данных ценных бумаг.</w:t>
      </w:r>
    </w:p>
    <w:p w:rsidR="00E07F4D" w:rsidRPr="004154CE" w:rsidRDefault="00512B00" w:rsidP="004154CE">
      <w:pPr>
        <w:pStyle w:val="a7"/>
        <w:numPr>
          <w:ilvl w:val="0"/>
          <w:numId w:val="1"/>
        </w:numPr>
        <w:spacing w:after="0" w:line="360" w:lineRule="auto"/>
        <w:ind w:left="0" w:firstLine="709"/>
        <w:jc w:val="both"/>
        <w:rPr>
          <w:rFonts w:ascii="Times New Roman" w:hAnsi="Times New Roman"/>
          <w:sz w:val="28"/>
          <w:szCs w:val="28"/>
        </w:rPr>
      </w:pPr>
      <w:r w:rsidRPr="004154CE">
        <w:rPr>
          <w:rFonts w:ascii="Times New Roman" w:hAnsi="Times New Roman"/>
          <w:sz w:val="28"/>
          <w:szCs w:val="28"/>
        </w:rPr>
        <w:t xml:space="preserve">Составим портфель на 200 тыс.руб., в который положим 40% (по стоимости покупки) бумаг Лукойл и по 30% - Сургутнефтегаз и РАО ЕЭС. </w:t>
      </w:r>
      <w:r w:rsidR="00E13ACE" w:rsidRPr="004154CE">
        <w:rPr>
          <w:rFonts w:ascii="Times New Roman" w:hAnsi="Times New Roman"/>
          <w:sz w:val="28"/>
          <w:szCs w:val="28"/>
        </w:rPr>
        <w:t>Определим количество каждого вида акций в портфеле и суммарную стоимость портфеля. Рассчитаем дисперсию и фактическую доходность портфеля:</w:t>
      </w:r>
    </w:p>
    <w:p w:rsidR="00E13ACE" w:rsidRPr="004154CE" w:rsidRDefault="00BA1410" w:rsidP="004154CE">
      <w:pPr>
        <w:pStyle w:val="a7"/>
        <w:spacing w:after="0" w:line="360" w:lineRule="auto"/>
        <w:ind w:left="0" w:firstLine="709"/>
        <w:jc w:val="both"/>
        <w:rPr>
          <w:rFonts w:ascii="Times New Roman" w:hAnsi="Times New Roman"/>
          <w:sz w:val="28"/>
        </w:rPr>
      </w:pPr>
      <w:r>
        <w:rPr>
          <w:rFonts w:ascii="Times New Roman" w:hAnsi="Times New Roman"/>
          <w:sz w:val="28"/>
        </w:rPr>
        <w:pict>
          <v:shape id="_x0000_i1032" type="#_x0000_t75" style="width:429.75pt;height:29.25pt">
            <v:imagedata r:id="rId13" o:title="" chromakey="white"/>
          </v:shape>
        </w:pict>
      </w:r>
    </w:p>
    <w:p w:rsidR="000A0582" w:rsidRPr="004154CE" w:rsidRDefault="00F937BB"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 xml:space="preserve">Определим β-коэффициент портфеля, его ожидаемую и требуемую доходность по модели САРМ. </w:t>
      </w:r>
    </w:p>
    <w:p w:rsidR="00F937BB" w:rsidRPr="004154CE" w:rsidRDefault="00F937BB"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Результаты расчетов приведем в таблице 3.</w:t>
      </w:r>
    </w:p>
    <w:p w:rsidR="004154CE" w:rsidRDefault="004154CE" w:rsidP="004154CE">
      <w:pPr>
        <w:pStyle w:val="a8"/>
        <w:spacing w:after="0" w:line="360" w:lineRule="auto"/>
        <w:ind w:firstLine="709"/>
        <w:jc w:val="both"/>
        <w:rPr>
          <w:rFonts w:ascii="Times New Roman" w:hAnsi="Times New Roman"/>
          <w:b w:val="0"/>
          <w:color w:val="auto"/>
          <w:sz w:val="28"/>
          <w:szCs w:val="24"/>
        </w:rPr>
      </w:pPr>
    </w:p>
    <w:p w:rsidR="00F937BB" w:rsidRPr="004154CE" w:rsidRDefault="001219EA" w:rsidP="004154CE">
      <w:pPr>
        <w:pStyle w:val="a8"/>
        <w:spacing w:after="0" w:line="360" w:lineRule="auto"/>
        <w:ind w:firstLine="709"/>
        <w:jc w:val="both"/>
        <w:rPr>
          <w:rFonts w:ascii="Times New Roman" w:hAnsi="Times New Roman"/>
          <w:b w:val="0"/>
          <w:color w:val="auto"/>
          <w:sz w:val="28"/>
          <w:szCs w:val="24"/>
        </w:rPr>
      </w:pPr>
      <w:r w:rsidRPr="004154CE">
        <w:rPr>
          <w:rFonts w:ascii="Times New Roman" w:hAnsi="Times New Roman"/>
          <w:b w:val="0"/>
          <w:color w:val="auto"/>
          <w:sz w:val="28"/>
          <w:szCs w:val="24"/>
        </w:rPr>
        <w:t xml:space="preserve">Таблица </w:t>
      </w:r>
      <w:r w:rsidRPr="004154CE">
        <w:rPr>
          <w:rFonts w:ascii="Times New Roman" w:hAnsi="Times New Roman"/>
          <w:b w:val="0"/>
          <w:color w:val="auto"/>
          <w:sz w:val="28"/>
          <w:szCs w:val="24"/>
        </w:rPr>
        <w:fldChar w:fldCharType="begin"/>
      </w:r>
      <w:r w:rsidRPr="004154CE">
        <w:rPr>
          <w:rFonts w:ascii="Times New Roman" w:hAnsi="Times New Roman"/>
          <w:b w:val="0"/>
          <w:color w:val="auto"/>
          <w:sz w:val="28"/>
          <w:szCs w:val="24"/>
        </w:rPr>
        <w:instrText xml:space="preserve"> SEQ Таблица \* ARABIC </w:instrText>
      </w:r>
      <w:r w:rsidRPr="004154CE">
        <w:rPr>
          <w:rFonts w:ascii="Times New Roman" w:hAnsi="Times New Roman"/>
          <w:b w:val="0"/>
          <w:color w:val="auto"/>
          <w:sz w:val="28"/>
          <w:szCs w:val="24"/>
        </w:rPr>
        <w:fldChar w:fldCharType="separate"/>
      </w:r>
      <w:r w:rsidR="00464108" w:rsidRPr="004154CE">
        <w:rPr>
          <w:rFonts w:ascii="Times New Roman" w:hAnsi="Times New Roman"/>
          <w:b w:val="0"/>
          <w:noProof/>
          <w:color w:val="auto"/>
          <w:sz w:val="28"/>
          <w:szCs w:val="24"/>
        </w:rPr>
        <w:t>3</w:t>
      </w:r>
      <w:r w:rsidRPr="004154CE">
        <w:rPr>
          <w:rFonts w:ascii="Times New Roman" w:hAnsi="Times New Roman"/>
          <w:b w:val="0"/>
          <w:color w:val="auto"/>
          <w:sz w:val="28"/>
          <w:szCs w:val="24"/>
        </w:rPr>
        <w:fldChar w:fldCharType="end"/>
      </w:r>
      <w:r w:rsidRPr="004154CE">
        <w:rPr>
          <w:rFonts w:ascii="Times New Roman" w:hAnsi="Times New Roman"/>
          <w:b w:val="0"/>
          <w:color w:val="auto"/>
          <w:sz w:val="28"/>
          <w:szCs w:val="24"/>
        </w:rPr>
        <w:t xml:space="preserve">. Расчет коэффициентов по портфелю ценных бумаг </w:t>
      </w:r>
    </w:p>
    <w:tbl>
      <w:tblPr>
        <w:tblW w:w="4988" w:type="pct"/>
        <w:tblInd w:w="-176" w:type="dxa"/>
        <w:tblLayout w:type="fixed"/>
        <w:tblLook w:val="04A0" w:firstRow="1" w:lastRow="0" w:firstColumn="1" w:lastColumn="0" w:noHBand="0" w:noVBand="1"/>
      </w:tblPr>
      <w:tblGrid>
        <w:gridCol w:w="1805"/>
        <w:gridCol w:w="992"/>
        <w:gridCol w:w="1259"/>
        <w:gridCol w:w="869"/>
        <w:gridCol w:w="1281"/>
        <w:gridCol w:w="991"/>
        <w:gridCol w:w="1094"/>
        <w:gridCol w:w="1256"/>
      </w:tblGrid>
      <w:tr w:rsidR="00F937BB" w:rsidRPr="004154CE" w:rsidTr="00F556FF">
        <w:trPr>
          <w:trHeight w:val="1488"/>
          <w:tblHeader/>
        </w:trPr>
        <w:tc>
          <w:tcPr>
            <w:tcW w:w="945" w:type="pct"/>
            <w:tcBorders>
              <w:top w:val="single" w:sz="4" w:space="0" w:color="auto"/>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single" w:sz="4" w:space="0" w:color="auto"/>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Лукойл</w:t>
            </w:r>
          </w:p>
        </w:tc>
        <w:tc>
          <w:tcPr>
            <w:tcW w:w="659" w:type="pct"/>
            <w:tcBorders>
              <w:top w:val="single" w:sz="4" w:space="0" w:color="auto"/>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Сургутнефтегаз</w:t>
            </w:r>
          </w:p>
        </w:tc>
        <w:tc>
          <w:tcPr>
            <w:tcW w:w="455" w:type="pct"/>
            <w:tcBorders>
              <w:top w:val="single" w:sz="4" w:space="0" w:color="auto"/>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РАО ЕЭС</w:t>
            </w:r>
          </w:p>
        </w:tc>
        <w:tc>
          <w:tcPr>
            <w:tcW w:w="671" w:type="pct"/>
            <w:tcBorders>
              <w:top w:val="single" w:sz="4" w:space="0" w:color="auto"/>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Суммарная стоимость портфеля</w:t>
            </w:r>
          </w:p>
        </w:tc>
        <w:tc>
          <w:tcPr>
            <w:tcW w:w="519" w:type="pct"/>
            <w:tcBorders>
              <w:top w:val="single" w:sz="4" w:space="0" w:color="auto"/>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Отклонение ст-ти портфеля от первоначальной</w:t>
            </w:r>
          </w:p>
        </w:tc>
        <w:tc>
          <w:tcPr>
            <w:tcW w:w="573" w:type="pct"/>
            <w:tcBorders>
              <w:top w:val="single" w:sz="4" w:space="0" w:color="auto"/>
              <w:left w:val="nil"/>
              <w:bottom w:val="nil"/>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Отклонение ст-ти портфеля от среднего</w:t>
            </w:r>
          </w:p>
        </w:tc>
        <w:tc>
          <w:tcPr>
            <w:tcW w:w="658" w:type="pct"/>
            <w:tcBorders>
              <w:top w:val="single" w:sz="4" w:space="0" w:color="auto"/>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Относительное отклонение портфеля (деленое на среднее)</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Кол-во акций</w:t>
            </w:r>
          </w:p>
        </w:tc>
        <w:tc>
          <w:tcPr>
            <w:tcW w:w="519" w:type="pct"/>
            <w:tcBorders>
              <w:top w:val="nil"/>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41</w:t>
            </w:r>
          </w:p>
        </w:tc>
        <w:tc>
          <w:tcPr>
            <w:tcW w:w="659" w:type="pct"/>
            <w:tcBorders>
              <w:top w:val="nil"/>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1971</w:t>
            </w:r>
          </w:p>
        </w:tc>
        <w:tc>
          <w:tcPr>
            <w:tcW w:w="455" w:type="pct"/>
            <w:tcBorders>
              <w:top w:val="nil"/>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1734</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200000</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single" w:sz="4" w:space="0" w:color="auto"/>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single" w:sz="4" w:space="0" w:color="auto"/>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Дата</w:t>
            </w:r>
          </w:p>
        </w:tc>
        <w:tc>
          <w:tcPr>
            <w:tcW w:w="519" w:type="pct"/>
            <w:tcBorders>
              <w:top w:val="nil"/>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Цена</w:t>
            </w:r>
          </w:p>
        </w:tc>
        <w:tc>
          <w:tcPr>
            <w:tcW w:w="659" w:type="pct"/>
            <w:tcBorders>
              <w:top w:val="nil"/>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Цена</w:t>
            </w:r>
          </w:p>
        </w:tc>
        <w:tc>
          <w:tcPr>
            <w:tcW w:w="455" w:type="pct"/>
            <w:tcBorders>
              <w:top w:val="nil"/>
              <w:left w:val="nil"/>
              <w:bottom w:val="single" w:sz="4" w:space="0" w:color="auto"/>
              <w:right w:val="single" w:sz="4" w:space="0" w:color="auto"/>
            </w:tcBorders>
            <w:vAlign w:val="center"/>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Цена</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13.08.2007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1969,14</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30,443</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34,612</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200000</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209,2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0,0010</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14.08.2007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1958,50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30,988</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34,29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200083,68</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83,7</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292,9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0,0015</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15.08.2007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1910,94</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30,13</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33,889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195765,3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-4234,7</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-4025,5</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-0,0201</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16.08.2007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1863,78</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29,497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33,369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191700,34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-8299,7</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-8090,4</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-0,0405</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17.08.2007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1902,00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30,82</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33,48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196053,01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-3947,0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-3737,7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-0,0187</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1886,00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30,33</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33,16</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193882,52</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-6117,5</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-5908,2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-0,0296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1862,22</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29,633</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32,987</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191242,81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-8757,2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-8548,0</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-0,0428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1894,00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30,289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32,929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193726,29</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-6273,7</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-6064,5</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-0,0304</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23.08.2007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1889,00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29,84</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32,454</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191814,81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-8185,2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-7975,9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-0,0399</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24.08.2007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1891,99</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30,55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32,386</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193217,75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-6782,3</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-6573,0</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-0,0329</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27.08.2007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1902,00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32,618</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32,742</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198317,36</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-1682,6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-1473,4</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-0,0074</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28.08.2007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1891,01</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31,799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32,4</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195663,85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-4336,2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-4126,9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-0,0207</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1887,00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31,24</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32,677</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194879,39</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-5120,6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-4911,4</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-0,0246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1882,00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31,37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32,35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194365,61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-5634,4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-5425,1</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-0,0272</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31.08.2007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1907,00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32,16</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32,361</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196957,36</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-3042,6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-2833,4</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-0,0142</w:t>
            </w:r>
          </w:p>
        </w:tc>
      </w:tr>
      <w:tr w:rsidR="00F937BB" w:rsidRPr="004154CE" w:rsidTr="00F556FF">
        <w:trPr>
          <w:trHeight w:val="273"/>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03.09.2007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1922,00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32,12</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32,653</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197994,11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-2005,9</w:t>
            </w:r>
          </w:p>
        </w:tc>
        <w:tc>
          <w:tcPr>
            <w:tcW w:w="573" w:type="pct"/>
            <w:tcBorders>
              <w:top w:val="single" w:sz="4" w:space="0" w:color="auto"/>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-1796,6</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-0,0090</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04.09.2007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1911,00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31,74</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31,619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195005,83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-4994,2</w:t>
            </w:r>
          </w:p>
        </w:tc>
        <w:tc>
          <w:tcPr>
            <w:tcW w:w="573" w:type="pct"/>
            <w:tcBorders>
              <w:top w:val="single" w:sz="4" w:space="0" w:color="auto"/>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-4784,9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-0,0239</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05.09.2007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1908,00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31,8</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31,387</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194600,03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-5400,0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-5190,7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-0,0260</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06.09.2007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1940,45</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31,529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196361,62</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-3638,4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-3429,1</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-0,0172</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07.09.2007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1905,10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31,077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30,915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192239,04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-7761,0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-7551,7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-0,0378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10.09.2007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1908,90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31,4</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30,793</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192818,54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-7181,5</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-6972,2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-0,0349</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11.09.2007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1915,30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31,6</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30,516</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192992,55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-7007,5</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-6798,2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-0,0340</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12.09.2007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1899,50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31,35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29,699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190441,65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-9558,4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-9349,1</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-0,0468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13.09.2007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1930,99</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31,77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30,048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193153,76</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-6846,2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-6637,0</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-0,0332</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14.09.2007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1926,00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31,55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29,6</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191740,82</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-8259,2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-8049,9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-0,0403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17.09.2007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1908,00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31,4</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29,619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190746,84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-9253,2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-9043,9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-0,0453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1934,99</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31,539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30,303</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193303,03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-6697,0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-6487,7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-0,0325</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2015,50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32,309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31,03</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199351,75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-648,3</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-439,0</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-0,0022</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2010,11</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32,2</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30,403</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197831,03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-2169,0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-1959,7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-0,0098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2021,00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32,499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30,649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199289,2</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-710,8</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-501,6</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-0,0025</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24.09.2007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2028,50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33,239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30,18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200239,35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239,4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448,6</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0,0022</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25.09.2007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1996,01</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32,942</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30,075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198152,01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-1848,0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-1638,7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-0,0082</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26.09.2007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2036,00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33,897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30,6</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202568,98</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2569,0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2778,2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0,0139</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27.09.2007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2063,11</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34,15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30,654</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204262,62</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4262,6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4471,9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0,0224</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28.09.2007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2081,80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30,265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203854,88</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3854,9</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4064,1</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0,0203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01.10.2007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2034,00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33,599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200513,59</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513,6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722,8</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0,0036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02.10.2007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2112,00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34,141</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30,475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205920,83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5920,8</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6130,1</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0,0307</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03.10.2007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2095,00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33,87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203872,65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3872,6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4081,9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0,0204</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04.10.2007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2105,03</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33,71</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29,87</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203739,43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3739,4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3948,7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0,0198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05.10.2007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2173,04</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30,092</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206867,6</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6867,6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7076,8</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0,0354</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08.10.2007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2176,70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33,43</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29,95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206237,99</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6238,0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6447,2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0,0323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09.10.2007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2187,00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33,344</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29,847</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206308,4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6308,4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6517,6</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0,0326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10.10.2007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2175,00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32,97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29,371</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204258,61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4258,6</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4467,9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0,0224</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11.10.2007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2219,60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32,963</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29,998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207143,68</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7143,7</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7352,9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0,0368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12.10.2007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2201,32</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32,64</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29,7</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205247,84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5247,8</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5457,1</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0,0273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15.10.2007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2211,75</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32,62</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29,382</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205080,91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5080,9</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5290,1</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0,0265</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16.10.2007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2211,50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32,271</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29,15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203980,74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3980,7</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4190,0</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0,0210</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17.10.2007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2210,00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32,15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29,018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203452,49</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3452,5</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3661,7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0,0183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18.10.2007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2140,51</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31,887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29,363</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200709,05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709,0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918,3</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0,0046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2132,00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31,801</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29,55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200517,98</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518,0</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727,2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0,0036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2076,99</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31,45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29,632</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197733,46</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-2266,5</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-2057,3</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-0,0103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23.10.2007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2094,00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31,489</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30,835</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200586,79</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586,8</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796,0</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0,0040</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24.10.2007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2084,10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31,191</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30,62</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199224,55</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-775,4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-566,2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-0,0028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25.10.2007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2107,50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31,57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30,627</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200934,33</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934,3</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1143,6</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0,0057</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26.10.2007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2174,00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32,365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30,632</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205211,54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5211,5</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5420,8</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0,0271</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2232,00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32,795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30,66</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208463,92</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8463,9</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8673,2</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0,0434</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2213,40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32,297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29,949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205494,24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5494,2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5703,5</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0,0285</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31.10.2007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2237,01</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32,301</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30,1</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206723,08</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6723,1</w:t>
            </w:r>
          </w:p>
        </w:tc>
        <w:tc>
          <w:tcPr>
            <w:tcW w:w="573" w:type="pct"/>
            <w:tcBorders>
              <w:top w:val="single" w:sz="4" w:space="0" w:color="auto"/>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6932,3</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0,0347</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01.11.2007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2230,00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31,92</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30,39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206190,09</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6190,1</w:t>
            </w:r>
          </w:p>
        </w:tc>
        <w:tc>
          <w:tcPr>
            <w:tcW w:w="573" w:type="pct"/>
            <w:tcBorders>
              <w:top w:val="single" w:sz="4" w:space="0" w:color="auto"/>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6399,3</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0,0320</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02.11.2007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2255,00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31,58</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30,54</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206795,68</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6795,7</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7004,9</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0,0351</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06.11.2007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2331,00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31,771</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30,28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209809,06</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9809,1</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10018,3</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0,0501</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07.11.2007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2308,00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31,65</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30,04</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208220,12</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8220,1</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8429,4</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0,0422</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08.11.2007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2303,11</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31,63</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30,44</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208675,44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8675,4</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8884,7</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0,0445</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09.11.2007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2239,00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30,412</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30,11</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203098,24</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3098,2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3307,5</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0,0166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12.11.2007</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2203,00</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30,07</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29,999</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200769,21</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769,2</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978,4</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0,0049</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среднее значение</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199790,76</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СКО портфеля</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0,0008</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Фактическая доходность портфеля</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0,38</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суммарный β-коэффициент</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0,3401</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корреляция портфеля</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0,8916</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β-коэффициент портфеля</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0,1443</w:t>
            </w:r>
          </w:p>
        </w:tc>
      </w:tr>
      <w:tr w:rsidR="00F937BB" w:rsidRPr="004154CE" w:rsidTr="00F556FF">
        <w:trPr>
          <w:trHeight w:val="288"/>
        </w:trPr>
        <w:tc>
          <w:tcPr>
            <w:tcW w:w="945" w:type="pct"/>
            <w:tcBorders>
              <w:top w:val="nil"/>
              <w:left w:val="single" w:sz="4" w:space="0" w:color="auto"/>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lang w:val="en-US"/>
              </w:rPr>
              <w:t>i</w:t>
            </w:r>
            <w:r w:rsidRPr="004154CE">
              <w:rPr>
                <w:rFonts w:ascii="Times New Roman" w:hAnsi="Times New Roman"/>
                <w:sz w:val="20"/>
                <w:szCs w:val="20"/>
              </w:rPr>
              <w:t xml:space="preserve"> ожидаемое</w:t>
            </w:r>
            <w:r w:rsidRPr="004154CE">
              <w:rPr>
                <w:rFonts w:ascii="Times New Roman" w:hAnsi="Times New Roman"/>
                <w:sz w:val="20"/>
                <w:szCs w:val="20"/>
                <w:lang w:val="en-US"/>
              </w:rPr>
              <w:t xml:space="preserve"> </w:t>
            </w:r>
            <w:r w:rsidRPr="004154CE">
              <w:rPr>
                <w:rFonts w:ascii="Times New Roman" w:hAnsi="Times New Roman"/>
                <w:sz w:val="20"/>
                <w:szCs w:val="20"/>
              </w:rPr>
              <w:t>-требуемое</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455"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71"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19"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573"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 </w:t>
            </w:r>
          </w:p>
        </w:tc>
        <w:tc>
          <w:tcPr>
            <w:tcW w:w="658" w:type="pct"/>
            <w:tcBorders>
              <w:top w:val="nil"/>
              <w:left w:val="nil"/>
              <w:bottom w:val="single" w:sz="4" w:space="0" w:color="auto"/>
              <w:right w:val="single" w:sz="4" w:space="0" w:color="auto"/>
            </w:tcBorders>
            <w:noWrap/>
            <w:vAlign w:val="bottom"/>
            <w:hideMark/>
          </w:tcPr>
          <w:p w:rsidR="00F937BB" w:rsidRPr="004154CE" w:rsidRDefault="00F937BB" w:rsidP="004154CE">
            <w:pPr>
              <w:spacing w:after="0" w:line="360" w:lineRule="auto"/>
              <w:jc w:val="both"/>
              <w:rPr>
                <w:rFonts w:ascii="Times New Roman" w:hAnsi="Times New Roman"/>
                <w:sz w:val="20"/>
                <w:szCs w:val="20"/>
              </w:rPr>
            </w:pPr>
            <w:r w:rsidRPr="004154CE">
              <w:rPr>
                <w:rFonts w:ascii="Times New Roman" w:hAnsi="Times New Roman"/>
                <w:sz w:val="20"/>
                <w:szCs w:val="20"/>
              </w:rPr>
              <w:t>1,3390</w:t>
            </w:r>
          </w:p>
        </w:tc>
      </w:tr>
    </w:tbl>
    <w:p w:rsidR="000A0582" w:rsidRPr="004154CE" w:rsidRDefault="000A0582" w:rsidP="004154CE">
      <w:pPr>
        <w:spacing w:after="0" w:line="360" w:lineRule="auto"/>
        <w:ind w:firstLine="709"/>
        <w:jc w:val="both"/>
        <w:rPr>
          <w:rFonts w:ascii="Times New Roman" w:hAnsi="Times New Roman"/>
          <w:sz w:val="28"/>
          <w:szCs w:val="28"/>
        </w:rPr>
      </w:pPr>
    </w:p>
    <w:p w:rsidR="00665518" w:rsidRPr="004154CE" w:rsidRDefault="00665518"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В течение исследуемого периода стоимость портфеля постоянно изменялась, преимущественно в сторону снижения. Самая большая стоимость была 06.11.2007 - 209 809,06руб. Стоимость портфеля на конец периода составила 200 769,21руб. Увеличение стоимости по сравнению с началом периода составило 769,21руб.</w:t>
      </w:r>
      <w:r w:rsidR="004154CE">
        <w:rPr>
          <w:rFonts w:ascii="Times New Roman" w:hAnsi="Times New Roman"/>
          <w:sz w:val="28"/>
          <w:szCs w:val="28"/>
        </w:rPr>
        <w:t xml:space="preserve"> </w:t>
      </w:r>
      <w:r w:rsidRPr="004154CE">
        <w:rPr>
          <w:rFonts w:ascii="Times New Roman" w:hAnsi="Times New Roman"/>
          <w:sz w:val="28"/>
          <w:szCs w:val="28"/>
        </w:rPr>
        <w:t>Средняя стоимость портфеля ценных бумаг 199 790,76руб.</w:t>
      </w:r>
    </w:p>
    <w:p w:rsidR="00665518" w:rsidRPr="004154CE" w:rsidRDefault="00665518"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 xml:space="preserve">Значение β-коэффициента портфеля ценных бумаг </w:t>
      </w:r>
      <w:r w:rsidR="00BE17FA" w:rsidRPr="004154CE">
        <w:rPr>
          <w:rFonts w:ascii="Times New Roman" w:hAnsi="Times New Roman"/>
          <w:sz w:val="28"/>
          <w:szCs w:val="28"/>
        </w:rPr>
        <w:t>меньше 1, что говорит о его надежности. В то же время, β-коэффициент портфеля меньше суммарного β-коэффициента (0,1443&lt;0,3401), следовательно надежность ценных бумаг в портфеле выше, чем по отдельности.</w:t>
      </w:r>
    </w:p>
    <w:p w:rsidR="00665518" w:rsidRPr="004154CE" w:rsidRDefault="00BE17FA"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ab/>
        <w:t>Фактическая доходность портфеля ценных бумаг меньше требуемой доходности в 3,5 раза</w:t>
      </w:r>
      <w:r w:rsidR="00D01F07" w:rsidRPr="004154CE">
        <w:rPr>
          <w:rFonts w:ascii="Times New Roman" w:hAnsi="Times New Roman"/>
          <w:sz w:val="28"/>
          <w:szCs w:val="28"/>
        </w:rPr>
        <w:t>, т.е. данный портфель ценных</w:t>
      </w:r>
      <w:r w:rsidR="00CE6C97" w:rsidRPr="004154CE">
        <w:rPr>
          <w:rFonts w:ascii="Times New Roman" w:hAnsi="Times New Roman"/>
          <w:sz w:val="28"/>
          <w:szCs w:val="28"/>
        </w:rPr>
        <w:t xml:space="preserve"> бумаг</w:t>
      </w:r>
      <w:r w:rsidR="00D01F07" w:rsidRPr="004154CE">
        <w:rPr>
          <w:rFonts w:ascii="Times New Roman" w:hAnsi="Times New Roman"/>
          <w:sz w:val="28"/>
          <w:szCs w:val="28"/>
        </w:rPr>
        <w:t xml:space="preserve"> недооценен, и его доходность будет повышаться.</w:t>
      </w:r>
      <w:r w:rsidR="004154CE">
        <w:rPr>
          <w:rFonts w:ascii="Times New Roman" w:hAnsi="Times New Roman"/>
          <w:sz w:val="28"/>
          <w:szCs w:val="28"/>
        </w:rPr>
        <w:t xml:space="preserve"> </w:t>
      </w:r>
    </w:p>
    <w:p w:rsidR="002706B1" w:rsidRPr="004154CE" w:rsidRDefault="00D129B7" w:rsidP="004154CE">
      <w:pPr>
        <w:pStyle w:val="a7"/>
        <w:numPr>
          <w:ilvl w:val="0"/>
          <w:numId w:val="1"/>
        </w:numPr>
        <w:spacing w:after="0" w:line="360" w:lineRule="auto"/>
        <w:ind w:left="0" w:firstLine="709"/>
        <w:jc w:val="both"/>
        <w:rPr>
          <w:rFonts w:ascii="Times New Roman" w:hAnsi="Times New Roman"/>
          <w:sz w:val="28"/>
          <w:szCs w:val="28"/>
        </w:rPr>
      </w:pPr>
      <w:r w:rsidRPr="004154CE">
        <w:rPr>
          <w:rFonts w:ascii="Times New Roman" w:hAnsi="Times New Roman"/>
          <w:sz w:val="28"/>
          <w:szCs w:val="28"/>
        </w:rPr>
        <w:t xml:space="preserve">Оценим </w:t>
      </w:r>
      <w:r w:rsidR="002706B1" w:rsidRPr="004154CE">
        <w:rPr>
          <w:rFonts w:ascii="Times New Roman" w:hAnsi="Times New Roman"/>
          <w:sz w:val="28"/>
          <w:szCs w:val="28"/>
        </w:rPr>
        <w:t>эффективность инвестиционного проекта с точки зрения владельца портфеля. Денежные потоки, связанные с инвестиционным проектом, приведены в таблице 4.</w:t>
      </w:r>
    </w:p>
    <w:p w:rsidR="002706B1" w:rsidRPr="004154CE" w:rsidRDefault="002706B1" w:rsidP="004154CE">
      <w:pPr>
        <w:pStyle w:val="a7"/>
        <w:spacing w:after="0" w:line="360" w:lineRule="auto"/>
        <w:ind w:left="0" w:firstLine="709"/>
        <w:jc w:val="both"/>
        <w:rPr>
          <w:rFonts w:ascii="Times New Roman" w:hAnsi="Times New Roman"/>
          <w:sz w:val="28"/>
          <w:szCs w:val="28"/>
        </w:rPr>
      </w:pPr>
    </w:p>
    <w:p w:rsidR="002706B1" w:rsidRPr="004154CE" w:rsidRDefault="002706B1" w:rsidP="004154CE">
      <w:pPr>
        <w:pStyle w:val="a8"/>
        <w:spacing w:after="0" w:line="360" w:lineRule="auto"/>
        <w:ind w:firstLine="709"/>
        <w:jc w:val="both"/>
        <w:rPr>
          <w:rFonts w:ascii="Times New Roman" w:hAnsi="Times New Roman"/>
          <w:b w:val="0"/>
          <w:color w:val="auto"/>
          <w:sz w:val="28"/>
          <w:szCs w:val="24"/>
        </w:rPr>
      </w:pPr>
      <w:r w:rsidRPr="004154CE">
        <w:rPr>
          <w:rFonts w:ascii="Times New Roman" w:hAnsi="Times New Roman"/>
          <w:b w:val="0"/>
          <w:color w:val="auto"/>
          <w:sz w:val="28"/>
          <w:szCs w:val="24"/>
        </w:rPr>
        <w:t xml:space="preserve">Таблица </w:t>
      </w:r>
      <w:r w:rsidRPr="004154CE">
        <w:rPr>
          <w:rFonts w:ascii="Times New Roman" w:hAnsi="Times New Roman"/>
          <w:b w:val="0"/>
          <w:color w:val="auto"/>
          <w:sz w:val="28"/>
          <w:szCs w:val="24"/>
        </w:rPr>
        <w:fldChar w:fldCharType="begin"/>
      </w:r>
      <w:r w:rsidRPr="004154CE">
        <w:rPr>
          <w:rFonts w:ascii="Times New Roman" w:hAnsi="Times New Roman"/>
          <w:b w:val="0"/>
          <w:color w:val="auto"/>
          <w:sz w:val="28"/>
          <w:szCs w:val="24"/>
        </w:rPr>
        <w:instrText xml:space="preserve"> SEQ Таблица \* ARABIC </w:instrText>
      </w:r>
      <w:r w:rsidRPr="004154CE">
        <w:rPr>
          <w:rFonts w:ascii="Times New Roman" w:hAnsi="Times New Roman"/>
          <w:b w:val="0"/>
          <w:color w:val="auto"/>
          <w:sz w:val="28"/>
          <w:szCs w:val="24"/>
        </w:rPr>
        <w:fldChar w:fldCharType="separate"/>
      </w:r>
      <w:r w:rsidR="00464108" w:rsidRPr="004154CE">
        <w:rPr>
          <w:rFonts w:ascii="Times New Roman" w:hAnsi="Times New Roman"/>
          <w:b w:val="0"/>
          <w:noProof/>
          <w:color w:val="auto"/>
          <w:sz w:val="28"/>
          <w:szCs w:val="24"/>
        </w:rPr>
        <w:t>4</w:t>
      </w:r>
      <w:r w:rsidRPr="004154CE">
        <w:rPr>
          <w:rFonts w:ascii="Times New Roman" w:hAnsi="Times New Roman"/>
          <w:b w:val="0"/>
          <w:color w:val="auto"/>
          <w:sz w:val="28"/>
          <w:szCs w:val="24"/>
        </w:rPr>
        <w:fldChar w:fldCharType="end"/>
      </w:r>
      <w:r w:rsidRPr="004154CE">
        <w:rPr>
          <w:rFonts w:ascii="Times New Roman" w:hAnsi="Times New Roman"/>
          <w:b w:val="0"/>
          <w:color w:val="auto"/>
          <w:sz w:val="28"/>
          <w:szCs w:val="24"/>
        </w:rPr>
        <w:t>. Денежные потоки, связанные с инвестиционным проектом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1595"/>
        <w:gridCol w:w="1595"/>
        <w:gridCol w:w="1595"/>
        <w:gridCol w:w="1595"/>
        <w:gridCol w:w="1596"/>
      </w:tblGrid>
      <w:tr w:rsidR="002706B1" w:rsidRPr="004154CE" w:rsidTr="00D43894">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Годы</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1</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2</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3</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4</w:t>
            </w:r>
          </w:p>
        </w:tc>
        <w:tc>
          <w:tcPr>
            <w:tcW w:w="1596"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5</w:t>
            </w:r>
          </w:p>
        </w:tc>
      </w:tr>
      <w:tr w:rsidR="002706B1" w:rsidRPr="004154CE" w:rsidTr="00D43894">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Рубли</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-10 000</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+1000</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+4000</w:t>
            </w:r>
          </w:p>
        </w:tc>
        <w:tc>
          <w:tcPr>
            <w:tcW w:w="1595"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+5000</w:t>
            </w:r>
          </w:p>
        </w:tc>
        <w:tc>
          <w:tcPr>
            <w:tcW w:w="1596" w:type="dxa"/>
          </w:tcPr>
          <w:p w:rsidR="002706B1" w:rsidRPr="004154CE" w:rsidRDefault="002706B1" w:rsidP="004154CE">
            <w:pPr>
              <w:spacing w:after="0" w:line="360" w:lineRule="auto"/>
              <w:jc w:val="both"/>
              <w:rPr>
                <w:rFonts w:ascii="Times New Roman" w:hAnsi="Times New Roman"/>
                <w:sz w:val="20"/>
                <w:szCs w:val="20"/>
              </w:rPr>
            </w:pPr>
            <w:r w:rsidRPr="004154CE">
              <w:rPr>
                <w:rFonts w:ascii="Times New Roman" w:hAnsi="Times New Roman"/>
                <w:sz w:val="20"/>
                <w:szCs w:val="20"/>
              </w:rPr>
              <w:t>+6000</w:t>
            </w:r>
          </w:p>
        </w:tc>
      </w:tr>
    </w:tbl>
    <w:p w:rsidR="002706B1" w:rsidRPr="004154CE" w:rsidRDefault="002706B1" w:rsidP="004154CE">
      <w:pPr>
        <w:spacing w:after="0" w:line="360" w:lineRule="auto"/>
        <w:ind w:firstLine="709"/>
        <w:jc w:val="both"/>
        <w:rPr>
          <w:rFonts w:ascii="Times New Roman" w:hAnsi="Times New Roman"/>
          <w:sz w:val="28"/>
        </w:rPr>
      </w:pPr>
    </w:p>
    <w:p w:rsidR="002706B1" w:rsidRPr="004154CE" w:rsidRDefault="002706B1"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Воспользуемся формулой чистой настоящей стоимости:</w:t>
      </w:r>
    </w:p>
    <w:p w:rsidR="002706B1" w:rsidRPr="004154CE" w:rsidRDefault="00BA1410" w:rsidP="004154CE">
      <w:pPr>
        <w:spacing w:after="0" w:line="360" w:lineRule="auto"/>
        <w:ind w:firstLine="709"/>
        <w:jc w:val="both"/>
        <w:rPr>
          <w:rFonts w:ascii="Times New Roman" w:hAnsi="Times New Roman"/>
          <w:sz w:val="28"/>
          <w:szCs w:val="24"/>
          <w:lang w:val="en-US"/>
        </w:rPr>
      </w:pPr>
      <w:r>
        <w:rPr>
          <w:rFonts w:ascii="Times New Roman" w:hAnsi="Times New Roman"/>
          <w:sz w:val="28"/>
        </w:rPr>
        <w:pict>
          <v:shape id="_x0000_i1033" type="#_x0000_t75" style="width:150.75pt;height:31.5pt">
            <v:imagedata r:id="rId14" o:title="" chromakey="white"/>
          </v:shape>
        </w:pict>
      </w:r>
    </w:p>
    <w:p w:rsidR="00CF7E06" w:rsidRPr="004154CE" w:rsidRDefault="00CF7E06"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В качестве ставки дисконта возьмем годовую требуемую доходность портфеля.</w:t>
      </w:r>
    </w:p>
    <w:p w:rsidR="00CF7E06" w:rsidRPr="004154CE" w:rsidRDefault="00BA1410" w:rsidP="004154CE">
      <w:pPr>
        <w:spacing w:after="0" w:line="360" w:lineRule="auto"/>
        <w:ind w:firstLine="709"/>
        <w:jc w:val="both"/>
        <w:rPr>
          <w:rFonts w:ascii="Times New Roman" w:hAnsi="Times New Roman"/>
          <w:sz w:val="28"/>
          <w:szCs w:val="24"/>
        </w:rPr>
      </w:pPr>
      <w:r>
        <w:rPr>
          <w:rFonts w:ascii="Times New Roman" w:hAnsi="Times New Roman"/>
          <w:sz w:val="28"/>
        </w:rPr>
        <w:pict>
          <v:shape id="_x0000_i1034" type="#_x0000_t75" style="width:140.25pt;height:29.25pt">
            <v:imagedata r:id="rId15" o:title="" chromakey="white"/>
          </v:shape>
        </w:pict>
      </w:r>
    </w:p>
    <w:p w:rsidR="00CF7E06" w:rsidRPr="004154CE" w:rsidRDefault="00D43894" w:rsidP="004154CE">
      <w:pPr>
        <w:spacing w:after="0" w:line="360" w:lineRule="auto"/>
        <w:ind w:firstLine="709"/>
        <w:jc w:val="both"/>
        <w:rPr>
          <w:rFonts w:ascii="Times New Roman" w:hAnsi="Times New Roman"/>
          <w:sz w:val="28"/>
          <w:szCs w:val="24"/>
        </w:rPr>
      </w:pPr>
      <w:r w:rsidRPr="004154CE">
        <w:rPr>
          <w:rFonts w:ascii="Times New Roman" w:hAnsi="Times New Roman"/>
          <w:sz w:val="28"/>
          <w:szCs w:val="24"/>
        </w:rPr>
        <w:fldChar w:fldCharType="begin"/>
      </w:r>
      <w:r w:rsidRPr="004154CE">
        <w:rPr>
          <w:rFonts w:ascii="Times New Roman" w:hAnsi="Times New Roman"/>
          <w:sz w:val="28"/>
          <w:szCs w:val="24"/>
        </w:rPr>
        <w:instrText xml:space="preserve"> QUOTE </w:instrText>
      </w:r>
      <w:r w:rsidR="00BA1410">
        <w:rPr>
          <w:rFonts w:ascii="Times New Roman" w:hAnsi="Times New Roman"/>
          <w:sz w:val="28"/>
        </w:rPr>
        <w:pict>
          <v:shape id="_x0000_i1035" type="#_x0000_t75" style="width:351pt;height:23.25pt">
            <v:imagedata r:id="rId16" o:title="" chromakey="white"/>
          </v:shape>
        </w:pict>
      </w:r>
      <w:r w:rsidRPr="004154CE">
        <w:rPr>
          <w:rFonts w:ascii="Times New Roman" w:hAnsi="Times New Roman"/>
          <w:sz w:val="28"/>
          <w:szCs w:val="24"/>
        </w:rPr>
        <w:instrText xml:space="preserve"> </w:instrText>
      </w:r>
      <w:r w:rsidRPr="004154CE">
        <w:rPr>
          <w:rFonts w:ascii="Times New Roman" w:hAnsi="Times New Roman"/>
          <w:sz w:val="28"/>
          <w:szCs w:val="24"/>
        </w:rPr>
        <w:fldChar w:fldCharType="separate"/>
      </w:r>
      <w:r w:rsidR="00BA1410">
        <w:rPr>
          <w:rFonts w:ascii="Times New Roman" w:hAnsi="Times New Roman"/>
          <w:sz w:val="28"/>
        </w:rPr>
        <w:pict>
          <v:shape id="_x0000_i1036" type="#_x0000_t75" style="width:351pt;height:23.25pt">
            <v:imagedata r:id="rId16" o:title="" chromakey="white"/>
          </v:shape>
        </w:pict>
      </w:r>
      <w:r w:rsidRPr="004154CE">
        <w:rPr>
          <w:rFonts w:ascii="Times New Roman" w:hAnsi="Times New Roman"/>
          <w:sz w:val="28"/>
          <w:szCs w:val="24"/>
        </w:rPr>
        <w:fldChar w:fldCharType="end"/>
      </w:r>
      <w:r w:rsidR="007A5D12" w:rsidRPr="004154CE">
        <w:rPr>
          <w:rFonts w:ascii="Times New Roman" w:hAnsi="Times New Roman"/>
          <w:sz w:val="28"/>
          <w:szCs w:val="24"/>
        </w:rPr>
        <w:t xml:space="preserve"> руб.</w:t>
      </w:r>
    </w:p>
    <w:p w:rsidR="008C5674" w:rsidRPr="004154CE" w:rsidRDefault="00950C5A"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Так как значение чистой текущей стоимости отрицательно, инвестору выгоднее вложить деньги в портфель ценных бумаг.</w:t>
      </w:r>
    </w:p>
    <w:p w:rsidR="007A5D12" w:rsidRPr="004154CE" w:rsidRDefault="008C5674" w:rsidP="004154CE">
      <w:pPr>
        <w:spacing w:after="0" w:line="360" w:lineRule="auto"/>
        <w:ind w:firstLine="709"/>
        <w:jc w:val="center"/>
        <w:rPr>
          <w:rFonts w:ascii="Times New Roman" w:hAnsi="Times New Roman"/>
          <w:b/>
          <w:sz w:val="28"/>
        </w:rPr>
      </w:pPr>
      <w:r w:rsidRPr="004154CE">
        <w:rPr>
          <w:rFonts w:ascii="Times New Roman" w:hAnsi="Times New Roman"/>
          <w:sz w:val="28"/>
          <w:szCs w:val="28"/>
        </w:rPr>
        <w:br w:type="page"/>
      </w:r>
      <w:bookmarkStart w:id="1" w:name="_Toc182899191"/>
      <w:r w:rsidRPr="004154CE">
        <w:rPr>
          <w:rFonts w:ascii="Times New Roman" w:hAnsi="Times New Roman"/>
          <w:b/>
          <w:sz w:val="28"/>
        </w:rPr>
        <w:t>Теоретическая часть</w:t>
      </w:r>
      <w:bookmarkEnd w:id="1"/>
    </w:p>
    <w:p w:rsidR="00261321" w:rsidRPr="004154CE" w:rsidRDefault="00261321" w:rsidP="004154CE">
      <w:pPr>
        <w:spacing w:after="0" w:line="360" w:lineRule="auto"/>
        <w:ind w:firstLine="709"/>
        <w:jc w:val="center"/>
        <w:rPr>
          <w:rFonts w:ascii="Times New Roman" w:hAnsi="Times New Roman"/>
          <w:b/>
          <w:sz w:val="28"/>
          <w:szCs w:val="28"/>
        </w:rPr>
      </w:pPr>
    </w:p>
    <w:p w:rsidR="00261321" w:rsidRPr="004154CE" w:rsidRDefault="00261321" w:rsidP="004154CE">
      <w:pPr>
        <w:spacing w:after="0" w:line="360" w:lineRule="auto"/>
        <w:ind w:firstLine="709"/>
        <w:jc w:val="center"/>
        <w:rPr>
          <w:rFonts w:ascii="Times New Roman" w:hAnsi="Times New Roman"/>
          <w:b/>
          <w:sz w:val="28"/>
          <w:szCs w:val="28"/>
        </w:rPr>
      </w:pPr>
      <w:r w:rsidRPr="004154CE">
        <w:rPr>
          <w:rFonts w:ascii="Times New Roman" w:hAnsi="Times New Roman"/>
          <w:b/>
          <w:sz w:val="28"/>
          <w:szCs w:val="28"/>
        </w:rPr>
        <w:t>Основные достижения фи</w:t>
      </w:r>
      <w:r w:rsidR="004154CE">
        <w:rPr>
          <w:rFonts w:ascii="Times New Roman" w:hAnsi="Times New Roman"/>
          <w:b/>
          <w:sz w:val="28"/>
          <w:szCs w:val="28"/>
        </w:rPr>
        <w:t>нансового менеджмента как науки</w:t>
      </w:r>
    </w:p>
    <w:p w:rsidR="004154CE" w:rsidRDefault="004154CE" w:rsidP="004154CE">
      <w:pPr>
        <w:spacing w:after="0" w:line="360" w:lineRule="auto"/>
        <w:ind w:firstLine="709"/>
        <w:jc w:val="both"/>
        <w:rPr>
          <w:rFonts w:ascii="Times New Roman" w:hAnsi="Times New Roman"/>
          <w:sz w:val="28"/>
          <w:szCs w:val="28"/>
        </w:rPr>
      </w:pPr>
    </w:p>
    <w:p w:rsidR="00261321" w:rsidRPr="004154CE" w:rsidRDefault="00261321"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 xml:space="preserve">К основным достижениям финансового менеджмента как науки относится разработка ряда моделей и методов, позволяющих оценить эффективность вложения денежных средств, а также выбрать проект, приносящий максимальный доход. К основным из них относятся: анализ </w:t>
      </w:r>
      <w:r w:rsidRPr="004154CE">
        <w:rPr>
          <w:rFonts w:ascii="Times New Roman" w:hAnsi="Times New Roman"/>
          <w:sz w:val="28"/>
          <w:szCs w:val="28"/>
          <w:lang w:val="en-US"/>
        </w:rPr>
        <w:t>DCF</w:t>
      </w:r>
      <w:r w:rsidRPr="004154CE">
        <w:rPr>
          <w:rFonts w:ascii="Times New Roman" w:hAnsi="Times New Roman"/>
          <w:sz w:val="28"/>
          <w:szCs w:val="28"/>
        </w:rPr>
        <w:t xml:space="preserve">, гипотеза Модильяни-Миллера, теория портфеля Г.Марковица, модель </w:t>
      </w:r>
      <w:r w:rsidRPr="004154CE">
        <w:rPr>
          <w:rFonts w:ascii="Times New Roman" w:hAnsi="Times New Roman"/>
          <w:sz w:val="28"/>
          <w:szCs w:val="28"/>
          <w:lang w:val="en-US"/>
        </w:rPr>
        <w:t>CAPM</w:t>
      </w:r>
      <w:r w:rsidRPr="004154CE">
        <w:rPr>
          <w:rFonts w:ascii="Times New Roman" w:hAnsi="Times New Roman"/>
          <w:sz w:val="28"/>
          <w:szCs w:val="28"/>
        </w:rPr>
        <w:t xml:space="preserve">, модель арбитражного ценообразования </w:t>
      </w:r>
      <w:r w:rsidRPr="004154CE">
        <w:rPr>
          <w:rFonts w:ascii="Times New Roman" w:hAnsi="Times New Roman"/>
          <w:sz w:val="28"/>
          <w:szCs w:val="28"/>
          <w:lang w:val="en-US"/>
        </w:rPr>
        <w:t>APM</w:t>
      </w:r>
      <w:r w:rsidRPr="004154CE">
        <w:rPr>
          <w:rFonts w:ascii="Times New Roman" w:hAnsi="Times New Roman"/>
          <w:sz w:val="28"/>
          <w:szCs w:val="28"/>
        </w:rPr>
        <w:t>.</w:t>
      </w:r>
    </w:p>
    <w:p w:rsidR="00261321" w:rsidRPr="004154CE" w:rsidRDefault="00261321"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Впервые метод дисконтированных денежных потоков (DCF – discount cash flow) был</w:t>
      </w:r>
      <w:r w:rsidR="004154CE">
        <w:rPr>
          <w:rFonts w:ascii="Times New Roman" w:hAnsi="Times New Roman"/>
          <w:sz w:val="28"/>
          <w:szCs w:val="28"/>
        </w:rPr>
        <w:t xml:space="preserve"> </w:t>
      </w:r>
      <w:r w:rsidRPr="004154CE">
        <w:rPr>
          <w:rFonts w:ascii="Times New Roman" w:hAnsi="Times New Roman"/>
          <w:sz w:val="28"/>
          <w:szCs w:val="28"/>
        </w:rPr>
        <w:t xml:space="preserve">официально сформулирован в 1938г. Д.Б.Уильямсоном после краха на бирже 1929г, когда инвесторы стали с осторожностью относиться ко всем стоимостным показателям, кроме денежных средств. </w:t>
      </w:r>
      <w:r w:rsidRPr="004154CE">
        <w:rPr>
          <w:rFonts w:ascii="Times New Roman" w:hAnsi="Times New Roman"/>
          <w:sz w:val="28"/>
          <w:szCs w:val="28"/>
          <w:lang w:val="en-US"/>
        </w:rPr>
        <w:t>DCF</w:t>
      </w:r>
      <w:r w:rsidRPr="004154CE">
        <w:rPr>
          <w:rFonts w:ascii="Times New Roman" w:hAnsi="Times New Roman"/>
          <w:sz w:val="28"/>
          <w:szCs w:val="28"/>
        </w:rPr>
        <w:t xml:space="preserve"> представляет собой оценку будущих денежных потоков, приведение их к сегодняшним условиям, и оценку их стоимости на текущий момент.</w:t>
      </w:r>
    </w:p>
    <w:p w:rsidR="00261321" w:rsidRPr="004154CE" w:rsidRDefault="00261321" w:rsidP="004154CE">
      <w:pPr>
        <w:pStyle w:val="af"/>
        <w:spacing w:line="360" w:lineRule="auto"/>
        <w:ind w:firstLine="709"/>
        <w:jc w:val="both"/>
        <w:rPr>
          <w:rFonts w:ascii="Times New Roman" w:hAnsi="Times New Roman"/>
          <w:sz w:val="28"/>
          <w:szCs w:val="28"/>
        </w:rPr>
      </w:pPr>
      <w:r w:rsidRPr="004154CE">
        <w:rPr>
          <w:rFonts w:ascii="Times New Roman" w:hAnsi="Times New Roman"/>
          <w:sz w:val="28"/>
          <w:szCs w:val="28"/>
        </w:rPr>
        <w:t>Следующей важной теорией является гипотеза Модильяни-Миллера - предположение о независимости рыночной цены предприятия от структуры корпоративных ценных бумаг (соотношения собственного (акционерного) и заёмного (эмиссия облигаций) капитала, условий выплат по выпущенным ценным бумагам и т.п.) для заданного потока дивидендов, при условии рациональности экономических субъектов и совершенстве рынка капитала. Если финансирование деятельности предприятия более выгодно за счет заёмного капитала, а не за счет собственных источников средств, то владельцы акций предприятия со смешанной структурой капитала предпочтут продать часть акций своего предприятия, использовав вырученные средства на покупку акций предприятия, не пользующегося привлеченными источниками, и восполнив недостаток в финансовых ресурсах за счет заёмного капитала. Одновременные операции с ценными бумагами предприятий с относительно высокой и относительно низкой долей заёмного капитала приведут, в конце концов, к тому, что цены таких предприятий будут примерно совпадать. Несмотря на то, что данная теория верна при наличии определенных предпосылок, гипотеза Модильяни-Миллера внесла значительный вклад в понимание возможного влияния заемного финансирования.</w:t>
      </w:r>
    </w:p>
    <w:p w:rsidR="00261321" w:rsidRPr="004154CE" w:rsidRDefault="00261321" w:rsidP="004154CE">
      <w:pPr>
        <w:pStyle w:val="af"/>
        <w:spacing w:line="360" w:lineRule="auto"/>
        <w:ind w:firstLine="709"/>
        <w:jc w:val="both"/>
        <w:rPr>
          <w:rFonts w:ascii="Times New Roman" w:hAnsi="Times New Roman"/>
          <w:sz w:val="28"/>
          <w:szCs w:val="28"/>
        </w:rPr>
      </w:pPr>
      <w:r w:rsidRPr="004154CE">
        <w:rPr>
          <w:rFonts w:ascii="Times New Roman" w:hAnsi="Times New Roman"/>
          <w:sz w:val="28"/>
          <w:szCs w:val="28"/>
        </w:rPr>
        <w:t xml:space="preserve">В </w:t>
      </w:r>
      <w:hyperlink r:id="rId17" w:tooltip="1963" w:history="1">
        <w:r w:rsidRPr="004154CE">
          <w:rPr>
            <w:rFonts w:ascii="Times New Roman" w:hAnsi="Times New Roman"/>
            <w:sz w:val="28"/>
            <w:szCs w:val="28"/>
          </w:rPr>
          <w:t>1963</w:t>
        </w:r>
      </w:hyperlink>
      <w:r w:rsidRPr="004154CE">
        <w:rPr>
          <w:rFonts w:ascii="Times New Roman" w:hAnsi="Times New Roman"/>
          <w:sz w:val="28"/>
          <w:szCs w:val="28"/>
        </w:rPr>
        <w:t xml:space="preserve"> году Модильяни и Миллер опубликовали вторую работу, посвященную структуре капитала, в которой ввели в первоначальную модель налоги на корпорации. С учетом налогообложения было показано, что цена акций непосредственно связана с использованием предприятием заёмного финансирования: чем выше доля заёмного капитала, тем выше и цена акций. Согласно пересмотренной теории, предприятиям следовало бы финансироваться на 100% за счет заёмного капитала, так как это обеспечило бы им наивысшие курсы акций. Такой вывод обусловлен структурой налогообложения предприятий в США: доходы акционерам выплачивают из прибыли, остающейся после уплаты налогов, а выплаты кредиторам производят из прибыли до уплаты налогов. Таким образом, при увеличении доли заёмного капитала увеличивается и доля валового дохода фирмы, остающаяся в распоряжении инвесторов. </w:t>
      </w:r>
    </w:p>
    <w:p w:rsidR="00261321" w:rsidRPr="004154CE" w:rsidRDefault="00261321" w:rsidP="004154CE">
      <w:pPr>
        <w:tabs>
          <w:tab w:val="left" w:pos="709"/>
        </w:tabs>
        <w:spacing w:after="0" w:line="360" w:lineRule="auto"/>
        <w:ind w:firstLine="709"/>
        <w:jc w:val="both"/>
        <w:rPr>
          <w:rFonts w:ascii="Times New Roman" w:hAnsi="Times New Roman"/>
          <w:sz w:val="28"/>
          <w:szCs w:val="28"/>
        </w:rPr>
      </w:pPr>
      <w:r w:rsidRPr="004154CE">
        <w:rPr>
          <w:rFonts w:ascii="Times New Roman" w:hAnsi="Times New Roman"/>
          <w:sz w:val="28"/>
          <w:szCs w:val="28"/>
        </w:rPr>
        <w:t>В 1952г. Г.</w:t>
      </w:r>
      <w:r w:rsidR="004154CE">
        <w:rPr>
          <w:rFonts w:ascii="Times New Roman" w:hAnsi="Times New Roman"/>
          <w:sz w:val="28"/>
          <w:szCs w:val="28"/>
        </w:rPr>
        <w:t xml:space="preserve"> </w:t>
      </w:r>
      <w:r w:rsidRPr="004154CE">
        <w:rPr>
          <w:rFonts w:ascii="Times New Roman" w:hAnsi="Times New Roman"/>
          <w:sz w:val="28"/>
          <w:szCs w:val="28"/>
        </w:rPr>
        <w:t xml:space="preserve">Марковиц разработал новую теорию портфеля, посвященную проблеме составления рационального портфеля ценных бумаг, обеспечивающего максимальный средний доход при ограничении на величину риска, измеряемого дисперсией портфеля. Соответствующий вероятностный анализ получил название анализ «среднее-вариация». Таким образом, инвесторы, будучи не склонными к риску, должны располагать портфелем с наивысшей ожидаемой доходностью для определенного уровня риска. Этот подход стал известен как "эффективность по среднему/дисперсии". Замкнутая кривая, представляющая множество всех эффективных портфелей, была названа "эффективной границей", поскольку она заключает внутри себя портфели с наивысшими уровнями ожидаемых доходов для данных уровней риска, или стандартного отклонения. </w:t>
      </w:r>
    </w:p>
    <w:p w:rsidR="004154CE" w:rsidRDefault="00261321" w:rsidP="004154CE">
      <w:pPr>
        <w:tabs>
          <w:tab w:val="left" w:pos="709"/>
        </w:tabs>
        <w:spacing w:after="0" w:line="360" w:lineRule="auto"/>
        <w:ind w:firstLine="709"/>
        <w:jc w:val="both"/>
        <w:rPr>
          <w:rFonts w:ascii="Times New Roman" w:hAnsi="Times New Roman"/>
          <w:sz w:val="28"/>
          <w:szCs w:val="28"/>
        </w:rPr>
      </w:pPr>
      <w:r w:rsidRPr="004154CE">
        <w:rPr>
          <w:rFonts w:ascii="Times New Roman" w:hAnsi="Times New Roman"/>
          <w:sz w:val="28"/>
          <w:szCs w:val="28"/>
        </w:rPr>
        <w:t xml:space="preserve">Данная концепция была расширена Шарпом (1964 г.), Литнером (1965 г.) и Моссином (1966 г.) и вылилась в известную модель оценки капитальных активов Capital Asset Pricing Model (CAPM). САРМ объединила гипотезу эффективного рынка (ЕМН) и математическую модель теории портфеля Марковица в модели инвесторского поведения, основанной на рациональных ожиданиях в рамках общей концепции равновесия. В частности, она предполагает, что инвесторы имеют однородные ожидания, касающиеся прибыли, таким образом, одинаково интерпретируя информацию. </w:t>
      </w:r>
    </w:p>
    <w:p w:rsidR="00261321" w:rsidRPr="004154CE" w:rsidRDefault="00261321" w:rsidP="004154CE">
      <w:pPr>
        <w:tabs>
          <w:tab w:val="left" w:pos="709"/>
        </w:tabs>
        <w:spacing w:after="0" w:line="360" w:lineRule="auto"/>
        <w:ind w:firstLine="709"/>
        <w:jc w:val="both"/>
        <w:rPr>
          <w:rFonts w:ascii="Times New Roman" w:hAnsi="Times New Roman"/>
          <w:sz w:val="28"/>
          <w:szCs w:val="28"/>
        </w:rPr>
      </w:pPr>
      <w:r w:rsidRPr="004154CE">
        <w:rPr>
          <w:rFonts w:ascii="Times New Roman" w:hAnsi="Times New Roman"/>
          <w:sz w:val="28"/>
          <w:szCs w:val="28"/>
        </w:rPr>
        <w:t>В основу модели САРМ положены следующие предположения:</w:t>
      </w:r>
    </w:p>
    <w:p w:rsidR="00261321" w:rsidRPr="004154CE" w:rsidRDefault="00261321" w:rsidP="004154CE">
      <w:pPr>
        <w:pStyle w:val="a7"/>
        <w:numPr>
          <w:ilvl w:val="0"/>
          <w:numId w:val="2"/>
        </w:numPr>
        <w:tabs>
          <w:tab w:val="left" w:pos="709"/>
        </w:tabs>
        <w:spacing w:after="0" w:line="360" w:lineRule="auto"/>
        <w:ind w:left="0" w:firstLine="709"/>
        <w:jc w:val="both"/>
        <w:rPr>
          <w:rFonts w:ascii="Times New Roman" w:hAnsi="Times New Roman"/>
          <w:sz w:val="28"/>
          <w:szCs w:val="28"/>
        </w:rPr>
      </w:pPr>
      <w:r w:rsidRPr="004154CE">
        <w:rPr>
          <w:rFonts w:ascii="Times New Roman" w:hAnsi="Times New Roman"/>
          <w:sz w:val="28"/>
          <w:szCs w:val="28"/>
        </w:rPr>
        <w:t>участники рынка свободны от издержек на совершение сделок, комиссионных и налогов. Это упрощение необходимо для отделения инвесторского поведения от ограничений, накладываемых обществом;</w:t>
      </w:r>
    </w:p>
    <w:p w:rsidR="00261321" w:rsidRPr="004154CE" w:rsidRDefault="00261321" w:rsidP="004154CE">
      <w:pPr>
        <w:pStyle w:val="a7"/>
        <w:numPr>
          <w:ilvl w:val="0"/>
          <w:numId w:val="2"/>
        </w:numPr>
        <w:tabs>
          <w:tab w:val="left" w:pos="709"/>
        </w:tabs>
        <w:spacing w:after="0" w:line="360" w:lineRule="auto"/>
        <w:ind w:left="0" w:firstLine="709"/>
        <w:jc w:val="both"/>
        <w:rPr>
          <w:rFonts w:ascii="Times New Roman" w:hAnsi="Times New Roman"/>
          <w:sz w:val="28"/>
          <w:szCs w:val="28"/>
        </w:rPr>
      </w:pPr>
      <w:r w:rsidRPr="004154CE">
        <w:rPr>
          <w:rFonts w:ascii="Times New Roman" w:hAnsi="Times New Roman"/>
          <w:sz w:val="28"/>
          <w:szCs w:val="28"/>
        </w:rPr>
        <w:t>каждый участник рынка может заимствовать средства и давать взаймы по безрисковой ставке процента;</w:t>
      </w:r>
    </w:p>
    <w:p w:rsidR="00261321" w:rsidRPr="004154CE" w:rsidRDefault="00261321" w:rsidP="004154CE">
      <w:pPr>
        <w:pStyle w:val="a7"/>
        <w:numPr>
          <w:ilvl w:val="0"/>
          <w:numId w:val="2"/>
        </w:numPr>
        <w:tabs>
          <w:tab w:val="left" w:pos="709"/>
        </w:tabs>
        <w:spacing w:after="0" w:line="360" w:lineRule="auto"/>
        <w:ind w:left="0" w:firstLine="709"/>
        <w:jc w:val="both"/>
        <w:rPr>
          <w:rFonts w:ascii="Times New Roman" w:hAnsi="Times New Roman"/>
          <w:sz w:val="28"/>
          <w:szCs w:val="28"/>
        </w:rPr>
      </w:pPr>
      <w:r w:rsidRPr="004154CE">
        <w:rPr>
          <w:rFonts w:ascii="Times New Roman" w:hAnsi="Times New Roman"/>
          <w:sz w:val="28"/>
          <w:szCs w:val="28"/>
        </w:rPr>
        <w:t>инвесторы стремятся к среднедисперсной эффективности Марковица, т.е. желают иметь портфель с наивысшим уровнем ожидаемой прибыли для заданного уровня риска, и в целом не любят рисковать.</w:t>
      </w:r>
    </w:p>
    <w:p w:rsidR="00261321" w:rsidRPr="004154CE" w:rsidRDefault="00261321" w:rsidP="004154CE">
      <w:pPr>
        <w:tabs>
          <w:tab w:val="left" w:pos="709"/>
        </w:tabs>
        <w:spacing w:after="0" w:line="360" w:lineRule="auto"/>
        <w:ind w:firstLine="709"/>
        <w:jc w:val="both"/>
        <w:rPr>
          <w:rFonts w:ascii="Times New Roman" w:hAnsi="Times New Roman"/>
          <w:sz w:val="28"/>
          <w:szCs w:val="28"/>
        </w:rPr>
      </w:pPr>
      <w:r w:rsidRPr="004154CE">
        <w:rPr>
          <w:rFonts w:ascii="Times New Roman" w:hAnsi="Times New Roman"/>
          <w:sz w:val="28"/>
          <w:szCs w:val="28"/>
        </w:rPr>
        <w:t>Таким образом, при соблюдении сделанных в модели допущений, существует только один источник систематического риска, влияющий на доходность, - это рыночный риск, т.е. тенденция изменения цен отдельных активов в зависимости от поведения рынка в целом, что распространяется лишь на хорошо диверсифицируемые портфели.</w:t>
      </w:r>
    </w:p>
    <w:p w:rsidR="00261321" w:rsidRPr="004154CE" w:rsidRDefault="00261321"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Также стоит отметить предложенную С.Россом модель арбитражного ценообразования APM (Arbitrage Pricing Model), которая</w:t>
      </w:r>
      <w:r w:rsidR="004154CE">
        <w:rPr>
          <w:rFonts w:ascii="Times New Roman" w:hAnsi="Times New Roman"/>
          <w:sz w:val="28"/>
          <w:szCs w:val="28"/>
        </w:rPr>
        <w:t xml:space="preserve"> </w:t>
      </w:r>
      <w:r w:rsidRPr="004154CE">
        <w:rPr>
          <w:rFonts w:ascii="Times New Roman" w:hAnsi="Times New Roman"/>
          <w:sz w:val="28"/>
          <w:szCs w:val="28"/>
        </w:rPr>
        <w:t>базируется на существенно меньшем количестве предположений о характере фондового рынка, чем САРМ. Само понятие "арбитраж" подразумевает получение гарантированной, безрисковой прибыли от игры на рынке. В основе теории АРМ – закон одной цены, согласно которому на эффективном рынке портфели или активы с одинаковым риском должны иметь одну и ту же цену.</w:t>
      </w:r>
    </w:p>
    <w:p w:rsidR="008C5674" w:rsidRPr="004154CE" w:rsidRDefault="00261321" w:rsidP="004154CE">
      <w:pPr>
        <w:spacing w:after="0" w:line="360" w:lineRule="auto"/>
        <w:ind w:firstLine="709"/>
        <w:jc w:val="both"/>
        <w:rPr>
          <w:rFonts w:ascii="Times New Roman" w:hAnsi="Times New Roman"/>
          <w:sz w:val="28"/>
          <w:szCs w:val="28"/>
        </w:rPr>
      </w:pPr>
      <w:r w:rsidRPr="004154CE">
        <w:rPr>
          <w:rFonts w:ascii="Times New Roman" w:hAnsi="Times New Roman"/>
          <w:sz w:val="28"/>
          <w:szCs w:val="28"/>
        </w:rPr>
        <w:t>В модели АРТ, по сравнению с САРМ, появилась возможность учитывать несколько факторов. Теперь актив характеризуется набором показателей "бета", каждый из которых представляет собой чувствительность актива к определённому фактору и характеризует систематический риск, связанный с влиянием именно этого фактора, и, по-прежнему, остаточной доходностью Е. Только теперь величина специфического (необъяснённого факторами) риска стала гораздо меньше. Учёт нескольких факторов позволяет строить более строгую модель, что приводит к более точному прогнозу изменения цены актива</w:t>
      </w:r>
      <w:r w:rsidR="004154CE">
        <w:rPr>
          <w:rFonts w:ascii="Times New Roman" w:hAnsi="Times New Roman"/>
          <w:sz w:val="28"/>
          <w:szCs w:val="28"/>
        </w:rPr>
        <w:t xml:space="preserve"> </w:t>
      </w:r>
      <w:r w:rsidRPr="004154CE">
        <w:rPr>
          <w:rFonts w:ascii="Times New Roman" w:hAnsi="Times New Roman"/>
          <w:sz w:val="28"/>
          <w:szCs w:val="28"/>
        </w:rPr>
        <w:t>и</w:t>
      </w:r>
      <w:r w:rsidR="004154CE">
        <w:rPr>
          <w:rFonts w:ascii="Times New Roman" w:hAnsi="Times New Roman"/>
          <w:sz w:val="28"/>
          <w:szCs w:val="28"/>
        </w:rPr>
        <w:t xml:space="preserve"> </w:t>
      </w:r>
      <w:r w:rsidRPr="004154CE">
        <w:rPr>
          <w:rFonts w:ascii="Times New Roman" w:hAnsi="Times New Roman"/>
          <w:sz w:val="28"/>
          <w:szCs w:val="28"/>
        </w:rPr>
        <w:t>к уменьшению несистематического риска, даже без составления портфеля.</w:t>
      </w:r>
      <w:bookmarkStart w:id="2" w:name="_GoBack"/>
      <w:bookmarkEnd w:id="2"/>
    </w:p>
    <w:sectPr w:rsidR="008C5674" w:rsidRPr="004154CE" w:rsidSect="004154CE">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1E" w:rsidRDefault="00F75F1E" w:rsidP="00382C77">
      <w:pPr>
        <w:spacing w:after="0" w:line="240" w:lineRule="auto"/>
      </w:pPr>
      <w:r>
        <w:separator/>
      </w:r>
    </w:p>
  </w:endnote>
  <w:endnote w:type="continuationSeparator" w:id="0">
    <w:p w:rsidR="00F75F1E" w:rsidRDefault="00F75F1E" w:rsidP="0038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BB" w:rsidRDefault="00C7763E">
    <w:pPr>
      <w:pStyle w:val="a5"/>
      <w:jc w:val="center"/>
    </w:pPr>
    <w:r>
      <w:fldChar w:fldCharType="begin"/>
    </w:r>
    <w:r>
      <w:instrText xml:space="preserve"> PAGE   \* MERGEFORMAT </w:instrText>
    </w:r>
    <w:r>
      <w:fldChar w:fldCharType="separate"/>
    </w:r>
    <w:r w:rsidR="001315BA">
      <w:rPr>
        <w:noProof/>
      </w:rPr>
      <w:t>3</w:t>
    </w:r>
    <w:r>
      <w:fldChar w:fldCharType="end"/>
    </w:r>
  </w:p>
  <w:p w:rsidR="00D509BB" w:rsidRDefault="00D509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1E" w:rsidRDefault="00F75F1E" w:rsidP="00382C77">
      <w:pPr>
        <w:spacing w:after="0" w:line="240" w:lineRule="auto"/>
      </w:pPr>
      <w:r>
        <w:separator/>
      </w:r>
    </w:p>
  </w:footnote>
  <w:footnote w:type="continuationSeparator" w:id="0">
    <w:p w:rsidR="00F75F1E" w:rsidRDefault="00F75F1E" w:rsidP="00382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362F0"/>
    <w:multiLevelType w:val="hybridMultilevel"/>
    <w:tmpl w:val="151AED5A"/>
    <w:lvl w:ilvl="0" w:tplc="28C8D12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95760F"/>
    <w:multiLevelType w:val="hybridMultilevel"/>
    <w:tmpl w:val="D3608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C77"/>
    <w:rsid w:val="00045547"/>
    <w:rsid w:val="000A0582"/>
    <w:rsid w:val="000C0934"/>
    <w:rsid w:val="000F2ECD"/>
    <w:rsid w:val="001219EA"/>
    <w:rsid w:val="001315BA"/>
    <w:rsid w:val="001D4EB2"/>
    <w:rsid w:val="00261321"/>
    <w:rsid w:val="002706B1"/>
    <w:rsid w:val="00276652"/>
    <w:rsid w:val="00297D6F"/>
    <w:rsid w:val="00356F74"/>
    <w:rsid w:val="00382C77"/>
    <w:rsid w:val="004154CE"/>
    <w:rsid w:val="00464108"/>
    <w:rsid w:val="00512B00"/>
    <w:rsid w:val="005D2400"/>
    <w:rsid w:val="00665518"/>
    <w:rsid w:val="00677794"/>
    <w:rsid w:val="006F09AC"/>
    <w:rsid w:val="007A5D12"/>
    <w:rsid w:val="007D2E06"/>
    <w:rsid w:val="00835CDB"/>
    <w:rsid w:val="008564E5"/>
    <w:rsid w:val="008C5674"/>
    <w:rsid w:val="00933D47"/>
    <w:rsid w:val="00950C5A"/>
    <w:rsid w:val="00A043BA"/>
    <w:rsid w:val="00B0666F"/>
    <w:rsid w:val="00BA1410"/>
    <w:rsid w:val="00BE17FA"/>
    <w:rsid w:val="00C7763E"/>
    <w:rsid w:val="00CE6C97"/>
    <w:rsid w:val="00CF7E06"/>
    <w:rsid w:val="00D01F07"/>
    <w:rsid w:val="00D129B7"/>
    <w:rsid w:val="00D13B48"/>
    <w:rsid w:val="00D2173B"/>
    <w:rsid w:val="00D43894"/>
    <w:rsid w:val="00D47CCA"/>
    <w:rsid w:val="00D509BB"/>
    <w:rsid w:val="00D80413"/>
    <w:rsid w:val="00E07F4D"/>
    <w:rsid w:val="00E13ACE"/>
    <w:rsid w:val="00E26BF5"/>
    <w:rsid w:val="00E773E4"/>
    <w:rsid w:val="00F24F49"/>
    <w:rsid w:val="00F256FF"/>
    <w:rsid w:val="00F556FF"/>
    <w:rsid w:val="00F75F1E"/>
    <w:rsid w:val="00F9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C3A92A7E-5FD6-4479-91DA-54CA03C1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AC"/>
    <w:pPr>
      <w:spacing w:after="200" w:line="276" w:lineRule="auto"/>
    </w:pPr>
    <w:rPr>
      <w:rFonts w:cs="Times New Roman"/>
      <w:sz w:val="22"/>
      <w:szCs w:val="22"/>
    </w:rPr>
  </w:style>
  <w:style w:type="paragraph" w:styleId="1">
    <w:name w:val="heading 1"/>
    <w:basedOn w:val="a"/>
    <w:next w:val="a"/>
    <w:link w:val="10"/>
    <w:uiPriority w:val="9"/>
    <w:qFormat/>
    <w:rsid w:val="00B0666F"/>
    <w:pPr>
      <w:keepNext/>
      <w:keepLines/>
      <w:spacing w:before="480" w:after="0"/>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0666F"/>
    <w:rPr>
      <w:rFonts w:ascii="Times New Roman" w:hAnsi="Times New Roman" w:cs="Times New Roman"/>
      <w:b/>
      <w:bCs/>
      <w:sz w:val="28"/>
      <w:szCs w:val="28"/>
    </w:rPr>
  </w:style>
  <w:style w:type="paragraph" w:styleId="a3">
    <w:name w:val="header"/>
    <w:basedOn w:val="a"/>
    <w:link w:val="a4"/>
    <w:uiPriority w:val="99"/>
    <w:semiHidden/>
    <w:unhideWhenUsed/>
    <w:rsid w:val="00382C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382C77"/>
    <w:rPr>
      <w:rFonts w:cs="Times New Roman"/>
    </w:rPr>
  </w:style>
  <w:style w:type="paragraph" w:styleId="a5">
    <w:name w:val="footer"/>
    <w:basedOn w:val="a"/>
    <w:link w:val="a6"/>
    <w:uiPriority w:val="99"/>
    <w:unhideWhenUsed/>
    <w:rsid w:val="00382C7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82C77"/>
    <w:rPr>
      <w:rFonts w:cs="Times New Roman"/>
    </w:rPr>
  </w:style>
  <w:style w:type="paragraph" w:styleId="a7">
    <w:name w:val="List Paragraph"/>
    <w:basedOn w:val="a"/>
    <w:uiPriority w:val="34"/>
    <w:qFormat/>
    <w:rsid w:val="00382C77"/>
    <w:pPr>
      <w:ind w:left="720"/>
      <w:contextualSpacing/>
    </w:pPr>
  </w:style>
  <w:style w:type="paragraph" w:styleId="a8">
    <w:name w:val="caption"/>
    <w:basedOn w:val="a"/>
    <w:next w:val="a"/>
    <w:uiPriority w:val="35"/>
    <w:unhideWhenUsed/>
    <w:qFormat/>
    <w:rsid w:val="008564E5"/>
    <w:pPr>
      <w:spacing w:line="240" w:lineRule="auto"/>
    </w:pPr>
    <w:rPr>
      <w:b/>
      <w:bCs/>
      <w:color w:val="4F81BD"/>
      <w:sz w:val="18"/>
      <w:szCs w:val="18"/>
    </w:rPr>
  </w:style>
  <w:style w:type="character" w:styleId="a9">
    <w:name w:val="Placeholder Text"/>
    <w:basedOn w:val="a0"/>
    <w:uiPriority w:val="99"/>
    <w:semiHidden/>
    <w:rsid w:val="00297D6F"/>
    <w:rPr>
      <w:rFonts w:cs="Times New Roman"/>
      <w:color w:val="808080"/>
    </w:rPr>
  </w:style>
  <w:style w:type="paragraph" w:styleId="aa">
    <w:name w:val="Balloon Text"/>
    <w:basedOn w:val="a"/>
    <w:link w:val="ab"/>
    <w:uiPriority w:val="99"/>
    <w:semiHidden/>
    <w:unhideWhenUsed/>
    <w:rsid w:val="00297D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97D6F"/>
    <w:rPr>
      <w:rFonts w:ascii="Tahoma" w:hAnsi="Tahoma" w:cs="Tahoma"/>
      <w:sz w:val="16"/>
      <w:szCs w:val="16"/>
    </w:rPr>
  </w:style>
  <w:style w:type="table" w:styleId="ac">
    <w:name w:val="Table Grid"/>
    <w:basedOn w:val="a1"/>
    <w:uiPriority w:val="59"/>
    <w:rsid w:val="002706B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835CDB"/>
    <w:pPr>
      <w:outlineLvl w:val="9"/>
    </w:pPr>
    <w:rPr>
      <w:lang w:eastAsia="en-US"/>
    </w:rPr>
  </w:style>
  <w:style w:type="paragraph" w:styleId="11">
    <w:name w:val="toc 1"/>
    <w:basedOn w:val="a"/>
    <w:next w:val="a"/>
    <w:autoRedefine/>
    <w:uiPriority w:val="39"/>
    <w:unhideWhenUsed/>
    <w:rsid w:val="00835CDB"/>
    <w:pPr>
      <w:spacing w:after="100"/>
    </w:pPr>
  </w:style>
  <w:style w:type="character" w:styleId="ae">
    <w:name w:val="Hyperlink"/>
    <w:basedOn w:val="a0"/>
    <w:uiPriority w:val="99"/>
    <w:unhideWhenUsed/>
    <w:rsid w:val="00835CDB"/>
    <w:rPr>
      <w:rFonts w:cs="Times New Roman"/>
      <w:color w:val="0000FF"/>
      <w:u w:val="single"/>
    </w:rPr>
  </w:style>
  <w:style w:type="paragraph" w:styleId="af">
    <w:name w:val="No Spacing"/>
    <w:uiPriority w:val="1"/>
    <w:qFormat/>
    <w:rsid w:val="0026132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14082">
      <w:marLeft w:val="0"/>
      <w:marRight w:val="0"/>
      <w:marTop w:val="0"/>
      <w:marBottom w:val="0"/>
      <w:divBdr>
        <w:top w:val="none" w:sz="0" w:space="0" w:color="auto"/>
        <w:left w:val="none" w:sz="0" w:space="0" w:color="auto"/>
        <w:bottom w:val="none" w:sz="0" w:space="0" w:color="auto"/>
        <w:right w:val="none" w:sz="0" w:space="0" w:color="auto"/>
      </w:divBdr>
    </w:div>
    <w:div w:id="1911114083">
      <w:marLeft w:val="0"/>
      <w:marRight w:val="0"/>
      <w:marTop w:val="0"/>
      <w:marBottom w:val="0"/>
      <w:divBdr>
        <w:top w:val="none" w:sz="0" w:space="0" w:color="auto"/>
        <w:left w:val="none" w:sz="0" w:space="0" w:color="auto"/>
        <w:bottom w:val="none" w:sz="0" w:space="0" w:color="auto"/>
        <w:right w:val="none" w:sz="0" w:space="0" w:color="auto"/>
      </w:divBdr>
    </w:div>
    <w:div w:id="1911114084">
      <w:marLeft w:val="0"/>
      <w:marRight w:val="0"/>
      <w:marTop w:val="0"/>
      <w:marBottom w:val="0"/>
      <w:divBdr>
        <w:top w:val="none" w:sz="0" w:space="0" w:color="auto"/>
        <w:left w:val="none" w:sz="0" w:space="0" w:color="auto"/>
        <w:bottom w:val="none" w:sz="0" w:space="0" w:color="auto"/>
        <w:right w:val="none" w:sz="0" w:space="0" w:color="auto"/>
      </w:divBdr>
    </w:div>
    <w:div w:id="1911114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ru.wikipedia.org/wiki/1963"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7E06-5141-440E-8620-F2D48851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3652</Words>
  <Characters>20821</Characters>
  <Application>Microsoft Office Word</Application>
  <DocSecurity>0</DocSecurity>
  <Lines>173</Lines>
  <Paragraphs>48</Paragraphs>
  <ScaleCrop>false</ScaleCrop>
  <Company/>
  <LinksUpToDate>false</LinksUpToDate>
  <CharactersWithSpaces>24425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admin</cp:lastModifiedBy>
  <cp:revision>2</cp:revision>
  <cp:lastPrinted>2007-11-20T07:43:00Z</cp:lastPrinted>
  <dcterms:created xsi:type="dcterms:W3CDTF">2014-04-03T17:04:00Z</dcterms:created>
  <dcterms:modified xsi:type="dcterms:W3CDTF">2014-04-03T17:04:00Z</dcterms:modified>
</cp:coreProperties>
</file>