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64" w:rsidRPr="009B6A27" w:rsidRDefault="00A13608" w:rsidP="00A1360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B6A27">
        <w:rPr>
          <w:b/>
          <w:color w:val="000000"/>
          <w:sz w:val="28"/>
          <w:szCs w:val="28"/>
        </w:rPr>
        <w:t>Задание №1</w:t>
      </w:r>
    </w:p>
    <w:p w:rsidR="005F4B64" w:rsidRPr="009B6A27" w:rsidRDefault="00BA68F6" w:rsidP="00A1360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B6A27">
        <w:rPr>
          <w:b/>
          <w:color w:val="000000"/>
          <w:sz w:val="28"/>
          <w:szCs w:val="28"/>
        </w:rPr>
        <w:t>Учёт финансовых результатов</w:t>
      </w:r>
    </w:p>
    <w:p w:rsidR="005F4B64" w:rsidRPr="009B6A27" w:rsidRDefault="005F4B64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 xml:space="preserve">Формирование и распределение финансовых результатов хозяйственной деятельности предприятия в Российской Федерации регулируется нормативными актами, которые можно подразделить на следующие группы: законодательные акты (законы), принимаемые Федеральным собранием РФ, указы Президента и постановления правительства РФ, нормативные акты Министерства финансов РФ, нормативные акты других министерств и ведомств. 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Учет финансовых результатов ведут на активно-пассивном счете 99 «Прибыли и убытки». По кредиту его отражают полученную прибыль, по дебету – убыток. На основе сопоставления дебетового и кредитового оборотов за отчетный период выводят финансовый результат – чистую (балансовую) прибыль или чистый убыток. Финансовый результат формируется из нескольких слагаемых, основной из которых является реализационный результат, полученный от продажи продукции, товаров, работ, услуг, а также от хозяйственных операций, составляющих предмет деятельности предприятия. Этот финансовый результат списывается на счет 99 в установленном порядке со счета 90 «Продажи». Доходы и расходы, непосредственно не связанные с формированием основного финансового результата, образуют прочий финансовый результат, включающий в себя операционные и внереализационные доходы и расходы. Такой финансовый результат выводится на счете 91 «Прочие доходы и расходы» и перечисляются на счет 99 как и по предыдущему счету.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Учет чрезвычайных доходов и расходов (в результате пожаров, аварии, стихийного бедствия и др.) сразу относят на счет 99 «Прибыли и убытки», что также увеличивает либо уменьшает общий финансовый результат. Кроме этого, по счету 99 также отражают начисленные платежи на прибыль и суммы причитающихся налоговых санкций.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Прибыль, остающаяся в распоряжении предприятия после уплаты в бюджет налогов и сборов в бухгалтерском учете принято называть нераспределенной прибылью, которая отражается на счете 84 «Нераспределенная прибыль (непокрытый убыток)». Сумма чистой прибыли отчетного года списывается заключительными оборотами декабря записью Дт99 Кт84. Сумма убытка – обратной проводкой.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Оставшаяся после расходования на пополнение резервного фонда и начисления дивидендов прибыль, не подлежит распределению. Таким образом, эта часть прибыли представляет собой совокупность фондов накопления и социальной сферы как источников средств финансирования капитальных вложений производственного и непроизводственного назначения. Но остается открытым вопрос о том, нужно ли полностью использовать нераспределенную прибыль для формирования фондов, так как на предприятии имеется перечень затрат, которые не могут быть включены в текущие издержки производства и обращения, а покрываются только за счет прибыли, оставшейся в распоряжении предприятия.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При получении убытка существует несколько вариантов его покрытия: за счет прибыли будущих отчетных периодов; за счет свободных собственных источников, находящихся в распоряжении предприятия или за счет учредителей организации при их решении о покрытии убытка.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С вступлением в силу ПБУ 4/99 существенные изменения внесены в порядок отражения непокрытого убытка. Если раньше он отражался в третьем разделе актива баланса, то теперь – в пассиве по статье «Нераспределенная прибыль (непокрытый убыток)» со знаком «минус». Такой подход более объективно отражает валюту баланса.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Источником информации для анализа финансовых результатов является «Отчет о прибылях и убытках» (форма №2 бухгалтерского баланса), который отражает ступенчатый порядок формирования конечного финансового результата деятельности организации в отчетном году – чистую прибыль. В ней соблюдается принцип сбалансированности доходов и расходов организации за отчетный год.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Финансовый результат от продажи продукции (работ и услуг) определяют по активно-пассивному счету 90 «Продажи». Этот счет предназначен для обобщения информации о доходах и расходах, связанных с обычными видами деятельности организации, а также для определения финансового результата по ним. На этом счете отражается, в частности, выручка и себестоимость по: работам и услугам промышленного и непромышленного характера; строительно-монтажным работам; предоставлению за оплату во временное пользование своих активов по договору аренды и т. д. (когда это является предметом деятельности организации).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К счету 90 «Продажи» открывают следующие субсчета: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- 90/1.1 «Выручка от грузо-пассажирских перевозок»;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- 90/1.3 «Себестоимость выполненных работ»;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- 90/1.4 «Прибыль, убыток от реализации»;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- 90/2 «Себестоимость продаж»;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- 90/3 «Налог на добавленную стоимость»;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- 90/9 «Прибыль (убыток) от продаж».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На счетах 90/1, 90/2, 90/3 учитываются соответственно поступившая выручка от реализации услуг предприятия, себестоимость проданной продукции/услуг, начисленный НДС.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Счет 90/9 предназначен для выявления финансового результата от продаж за отчетный месяц.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В организациях в дебет счета 90 в течение года списывается плановая себестоимость оказанных услуг, а по кредиту отражается выручка в корреспонденции со счетом 62 «Расчеты с покупателями и заказчиками».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В конце года плановая себестоимость по дебету счета доводится до фактической путем отнесения разниц между рассчитанной фактической себестоимостью в конце года и плановой себестоимостью (суммы экономии сторнируются, суммы перерасхода проводятся дополнительной записью в дебет счета 90 с кредита счетов учета продукции или затрат на производство).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Записи по субсчетам 90/1, 90/2, 90/3 производят накопительно в течение отчетного года. Ежемесячно сопоставлением совокупного дебетового оборота по субсчетам 90/2, 90/3 и кредитового оборота по субсчету 90/1 определяют результат от продаж за отчетный месяц. Выявленную прибыль или убыток ежемесячно заключительными проводками списывают с субсчета 90/9 на счет 99 «Прибыли и убытки».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Дт 90 Кт 99 – получена прибыль от продаж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Таким образом, синтетический счет 90 ежемесячно закрывается и сальдо на отчетную дату не имеет.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По окончании отчетного года все субсчета к счету 90 закрываются внутренними записями на субсчет 90/9 «Прибыль (убыток) от продаж».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При этом составляются следующие проводки: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Списываются в конце года обороты по счету 90/2 и 91 на счет 90/9: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Дт 90/9 Кт 90/2 - … руб.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Дт 90/1 Кт 90/9 - … руб.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Списываются ежемесячно сальдо со счета 90/9 на счет 99: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Дт 90/9 Кт 99 - … руб. - прибыль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Дт 99 Кт 90/9 - … руб. – убыток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 xml:space="preserve">Аналитический учет по счету 90 «Продажи» ведется по каждому виду выполненных работ, оказанных услуг и др. 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Для обобщения информации об операционных и внереализационных доходах и расходах используют счет 91 «Прочие доходы и расходы». К этому счету могут быть открыты субсчета: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- 91/1.1 «Расходы по изменению Устава»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- 91/1.1 «Прочая реализация»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- 91/1.18 «Списание Дт и Кт задолженности»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- 91/1.3 «Себестоимость прочей реализации»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- 91/1.4 «Сальдо прочих доходов (прочей реализации»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На субсчете 91/1 учитываются операционные и внереализационные доходы.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На субсчете 91/2 – операционные и внереализационные расходы.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Субсчет 91/9 предназначен для выявления сальдо прочих доходов и расходов за отчетный месяц.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Записи по субсчетам 91/1 и 91/2 производят накопительно в течение отчетного года. Ежемесячно сопоставлением дебетового оборота по субсчету 91/2 и кредитового оборота по субсчету 91/1 определяется сальдо прочих доходов и расходов. Это сальдо ежемесячно (заключительными оборотами) списывается с субсчета 91/9 на счет 99 «Прибыли и убытки».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По окончании отчетного года субсчета 91/1 и 91/2 закрываются внутренними записями на субсчет 91/1.4.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Операционные доходы представляют собой: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результаты от продажи основных средств, нематериальных активов, материальных ценностей;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поступления, связанные с участием в уставных капиталах других организаций (включая проценты и иные доходы по ценным бумагам);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доходы и расходы от сдачи имущества в аренду;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прибыль, полученная организацией в результате совместной деятельности.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При выбытии амортизационного имущества вследствие продажи, списания, безвозмездной передачи в сумму амортизации основных фондов и нематериальных активов списывают в дебет счетов 02 «Амортизация основных средств», 05 «Амортизация нематериальных активов» с кредита счетов 01 «Основные средства» и 04 «Нематериальные активы». Остаточную стоимость основных средств и нематериальных активов списывают с кредита счетов 01 и 04 в дебет счета 91. Сюда также списывают все расходы, связанные с выбытием амортизируемого имущества (включая НДС по проданному имуществу). При выбытии материалов и другого неамортизируемого имущества вследствие продажи, списания и т. д. их стоимость списывают в дебет счета 91.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При осуществлении операций по вкладам в уставные капиталы других организаций обычно возникает разница между стоимостью передаваемого имущества и согласованной оценкой вклада. Это разница отражается в зависимости от ее значения по кредиту или дебету счета 91 (превышение согласованной стоимости над учетной отражается по дебету счета 58 «Финансовые вложения» и кредиту счета 91).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Доходы от участия в других организациях можно учитывать: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по фактическому поступлению денежных средств (при этом дебетуют счета 50, 51, 52, 55 и кредитуют счет 91);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по предварительному начислению доходов на счетах (дебетуют счет 76 (на сумму доходов от вкладов в уставный капитал других организаций и т.д.) и кредитуют счет 91 (на всю сумму начисленных доходов)).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Внереализационными доходами и расходами в соответствии с ПБУ 9/99 и 10/99 являются: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штрафы, пени, неустойки за нарушение хозяйственных договоров полученные (уплаченные);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поступления (расходы) в возмещение причиненных организации убытков;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активы, полученные безвозмездно, в том числе по договору дарения;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прибыль (убытки) прошлых лет, выявленные в отчетном году;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суммы кредиторской и дебиторской задолженности, по которым истек срок исковой давности.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Поступления от уплаты штрафов, пеней и других санкций отражают по кредиту счета 91 к дебету счетов учета денежных и счетов и расчетов с дебиторами. Уплаченные организацией штрафы, пени отражают по дебету счета 91 с кредита счетов учета денежных средств. При этом суммы внесенные в бюджет в виде санкций, в состав расходов от внереализационных операций не включают, а относят на уменьшение прибыли, остающейся в распоряжении предприятия (т.е. на счет 99).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Прибыль прошлых лет, выявленную в отчетном году, отражают по дебету счета 51 «Расчетный счет» и кредиту счета 91; убытки оформляют обратной бухгалтерской проводкой. Таким же образом учитывают поступления в возмещение и возмещение причиненных организации убытков. Суммы кредиторской и дебиторской задолженности, по которым срок исковой давности истек, списывают в дебет счета 76 и кредит счета 91. В дебет счета 91 с кредита различных счетов списывают расходы, связанные с благотворительной деятельностью, осуществлением мероприятий и т.д. Прочие внереализационные расходы и потери списываются с дебета или кредита соответствующих счетов в момент их выявления на счет 91.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Аналитический учет по счету 91 «Прочие доходы и расходы» ведется по каждому виду прочих доходов и расходов.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Чрезвычайными доходами и расходами считаются поступления (расходы), возникающие как последствия чрезвычайных обстоятельств хозяйственной деятельности (стихийного бедствия, пожара, аварии и т.д.). Они учитываются непосредственно на счете 99 «Прибыли и убытки»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К чрезвычайным доходам относятся: страховое возмещение, стоимость материальных ценностей, остающихся от списания непригодных к восстановлению и дальнейшему использованию активов и т.д. Так, полученное страховое возмещение складывается под влиянием: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прибыли или убытка от обычных видов деятельности;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прочих доходов и расходов;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- потерь, расходов и доходов в связи с чрезвычайными обстоятельствами хозяйственной деятельности.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Различие между этими составными частями прибыли или убытков состоит в том, что финансовый результат от продажи продукции (работ, услуг) первоначально определяют по счету 90 «Продажи». Со счета 90 прибыль или убыток от обычной деятельности списывается на счет 99 «Прибыли и убытки».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Финансовый результат от прочих доходов и расходов (от продажи имущества, операционные и внереализационные доходы и расходы) вначале отражают на счете 91 «Прочие доходы и расходы», с которого затем ежемесячно списывают на счет 99.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Чрезвычайные доходы и расходы сразу относят на счет 99 без предварительной записи на промежуточных счетах в корреспонденции со счетами учета материальных ценностей, расчетов с персоналом по оплате труда, денежных средств и т. п.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Кроме того, по дебету счета 99 отражают начисленные платежи на прибыль и суммы причитающихся налоговых санкций в корреспонденции со счетом 68 «Расчеты по налогам и сборам». Платежи по пересчетам по налогу на прибыль также отражаются на счетах 99 и 68.</w:t>
      </w:r>
    </w:p>
    <w:p w:rsidR="00BA68F6" w:rsidRPr="009B6A27" w:rsidRDefault="00BA68F6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Хозяйственные операции отражают на счете 99 по, так называемому, кумулятивному принципу, т.е. нарастающим итогом с начала года. Сопоставлением кредитового и дебетового оборотов по счету 99 определяют конечный финансовый результат за отчетный период. Превышение кредитового оборота над дебетовым отражается в качестве сальдо по кредиту счета 99 и характеризует размер прибыли организации, а превышение дебетового оборота над кредитовым записывается как сальдо по дебету счета 99 и характеризует размер убытка организации. Счет 99 имеет одностороннее сальдо. Конечный финансовый результат организации складывается под влиянием: финансового результата от обычных видов деятельности, прочих доходов и расходов и чрезвычайных.</w:t>
      </w:r>
    </w:p>
    <w:p w:rsidR="00A13608" w:rsidRPr="009B6A27" w:rsidRDefault="00A13608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B64" w:rsidRPr="009B6A27" w:rsidRDefault="00A13608" w:rsidP="00A1360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br w:type="page"/>
      </w:r>
      <w:r w:rsidRPr="009B6A27">
        <w:rPr>
          <w:b/>
          <w:color w:val="000000"/>
          <w:sz w:val="28"/>
          <w:szCs w:val="28"/>
        </w:rPr>
        <w:t>Задание №2</w:t>
      </w:r>
    </w:p>
    <w:p w:rsidR="005F4B64" w:rsidRPr="009B6A27" w:rsidRDefault="005F4B64" w:rsidP="00A1360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B6A27">
        <w:rPr>
          <w:b/>
          <w:color w:val="000000"/>
          <w:sz w:val="28"/>
          <w:szCs w:val="28"/>
        </w:rPr>
        <w:t>Понятие объекта налогообложения,</w:t>
      </w:r>
      <w:r w:rsidR="00BA68F6" w:rsidRPr="009B6A27">
        <w:rPr>
          <w:b/>
          <w:color w:val="000000"/>
          <w:sz w:val="28"/>
          <w:szCs w:val="28"/>
        </w:rPr>
        <w:t xml:space="preserve"> </w:t>
      </w:r>
      <w:r w:rsidRPr="009B6A27">
        <w:rPr>
          <w:b/>
          <w:color w:val="000000"/>
          <w:sz w:val="28"/>
          <w:szCs w:val="28"/>
        </w:rPr>
        <w:t>объекты налогообложения на</w:t>
      </w:r>
      <w:r w:rsidR="00A13608" w:rsidRPr="009B6A27">
        <w:rPr>
          <w:b/>
          <w:color w:val="000000"/>
          <w:sz w:val="28"/>
          <w:szCs w:val="28"/>
        </w:rPr>
        <w:t>логом на добавленную стоимость</w:t>
      </w:r>
    </w:p>
    <w:p w:rsidR="005F4B64" w:rsidRPr="009B6A27" w:rsidRDefault="005F4B64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Налог считается установленным лишь в том случае, когда определены налогоплательщики и элементы налогообложения, а именно: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объект налогообложения;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налоговая база;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налоговый период;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налоговая ставка;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порядок исчисления налога;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порядок и сроки уплаты налога.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Объект налогообложения - реализация товаров (работ, услуг), имущество, прибыль, доход, расход или иное обстоятельство, имеющее стоимостную, количественную или физическую характеристику, с наличием которого законодательство о налогах и сборах связывает возникновение у налогоплательщика обязанности по уплате налога.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Каждый налог имеет самостоятельный объект налогообложения, определяемый в соответствии с частью второй НК РФ.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Под имуществом в НК РФ понимаются виды объектов гражданских прав (за исключением имущественных прав), относящихся к имуществу в соответствии с Гражданским кодексом Российской Федерации.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Товаром согласно НК РФ признается любое имущество, реализуемое либо предназначенное для реализации. В целях регулирования отношений, связанных с взиманием таможенных платежей, к товарам относится и иное имущество, определяемое Таможенным кодексом Российской Федерации.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Работой для целей налогообложения признается деятельность, результаты которой имеют материальное выражение и могут быть реализованы для удовлетворения потребностей организации и (или) физических лиц.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Услугой для целей налогообложения признается деятельность, результаты которой не имеют материального выражения, реализуются и потребляются в процессе осуществления этой деятельности.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Согласно статье 146 НК РФ объектом налогообложения при исчислении и уплате НДС признаются следующие операции: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1) реализация товаров (работ, услуг) на территории Российской Федерации, в том числе реализация предметов залога и передача товаров (результатов выполненных работ, оказание услуг) по соглашению о предоставлении отступного или новации, а также передача имущественных прав.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2) передача на территории Российской Федерации товаров (выполнение работ, оказание услуг) для собственных нужд, расходы на которые не принимаются к вычету (в том числе через амортизационные отчисления) при исчислении налога на прибыль организаций;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3) выполнение строительно-монтажных работ для собственного потребления;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4) ввоз товаров на таможенную территорию Российской Федерации.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Не признаются объектом налогообложения: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1) передача на безвозмездной основе жилых домов, детских садов, клубов, санаториев и других объектов социально-культурного и жилищно-коммунального назначения, а также дорог, электрических сетей, подстанций, газовых сетей, водозаборных сооружений и других подобных объектов органам государственной власти и органам местного самоуправления (или по решению указанных органов, специализированным организациям, осуществляющим использование или эксплуатацию указанных объектов по их назначению);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2) передача имущества государственных и муниципальных предприятий, выкупаемого в порядке приватизации;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3) выполнение работ (оказание услуг) органами, входящими в систему органов государственной власти и органов местного самоуправления, в рамках выполнения возложенных на них исключительных полномочий в определенной сфере деятельности в случае, если обязательность выполнения указанных работ (оказания услуг) установлена законодательством Российской Федерации, законодательством субъектов Российской Федерации, актами органов местного самоуправления;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4) передача на безвозмездной основе объектов основных средств органам государственной власти и управления и органам местного самоуправления, а также государственным и муниципальным учреждениям, государственным и муниципальным унитарным предприятиям;</w:t>
      </w:r>
    </w:p>
    <w:p w:rsidR="00F77604" w:rsidRPr="009B6A27" w:rsidRDefault="00F77604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5) передача имущественных прав организации ее правопреемнику (правопреемникам);</w:t>
      </w:r>
    </w:p>
    <w:p w:rsidR="00BA68F6" w:rsidRPr="009B6A27" w:rsidRDefault="00F77604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Таким образом, исчисление НДС например при реализации товаров, происходит следующим образом:</w:t>
      </w:r>
    </w:p>
    <w:p w:rsidR="00BA68F6" w:rsidRPr="009B6A27" w:rsidRDefault="00F77604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Определяется стоимость реализованных товаров, затем на основе зарегистрированных поступивших на предприятие счетов-фактур</w:t>
      </w:r>
      <w:r w:rsidR="009E35A9" w:rsidRPr="009B6A27">
        <w:rPr>
          <w:color w:val="000000"/>
          <w:sz w:val="28"/>
          <w:szCs w:val="28"/>
        </w:rPr>
        <w:t xml:space="preserve"> рассчитывается сумма не облагаемая налогом (поскольку поставщики уже уплатили НДС за свою продукцию), разница между суммой выручки и себестоимостью товаров (подтвержденной счетами-фактурами) является налогооблагаемой базой, сумма налога определяется путем умножения налоговой базы на ставку налога, например 18%. Это происходит для того, чтобы избежать двойного налогообложения выручки предприятий, т.е. в принципе НДС является налогом на торговую наценку предприятия.</w:t>
      </w:r>
    </w:p>
    <w:p w:rsidR="00A13608" w:rsidRPr="009B6A27" w:rsidRDefault="00A13608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B64" w:rsidRPr="009B6A27" w:rsidRDefault="005F4B64" w:rsidP="00A1360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B6A27">
        <w:rPr>
          <w:b/>
          <w:color w:val="000000"/>
          <w:sz w:val="28"/>
          <w:szCs w:val="28"/>
        </w:rPr>
        <w:t xml:space="preserve">Задание №3 </w:t>
      </w:r>
    </w:p>
    <w:p w:rsidR="00A13608" w:rsidRPr="009B6A27" w:rsidRDefault="00A13608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B64" w:rsidRPr="009B6A27" w:rsidRDefault="005F4B64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Юрид. лицу 10 августа 2008 года был предоставлен земельный участок для жилищного строительства.</w:t>
      </w:r>
      <w:r w:rsidR="009E35A9" w:rsidRPr="009B6A27">
        <w:rPr>
          <w:color w:val="000000"/>
          <w:sz w:val="28"/>
          <w:szCs w:val="28"/>
        </w:rPr>
        <w:t xml:space="preserve"> </w:t>
      </w:r>
      <w:r w:rsidRPr="009B6A27">
        <w:rPr>
          <w:color w:val="000000"/>
          <w:sz w:val="28"/>
          <w:szCs w:val="28"/>
        </w:rPr>
        <w:t>Права на земельный участок зарегистрированы 14 августа 2008 года.</w:t>
      </w:r>
      <w:r w:rsidR="009E35A9" w:rsidRPr="009B6A27">
        <w:rPr>
          <w:color w:val="000000"/>
          <w:sz w:val="28"/>
          <w:szCs w:val="28"/>
        </w:rPr>
        <w:t xml:space="preserve"> </w:t>
      </w:r>
      <w:r w:rsidRPr="009B6A27">
        <w:rPr>
          <w:color w:val="000000"/>
          <w:sz w:val="28"/>
          <w:szCs w:val="28"/>
        </w:rPr>
        <w:t>Кадастровая стоимость земельного участка составляет 9600 тыс.</w:t>
      </w:r>
      <w:r w:rsidR="00ED653C" w:rsidRPr="009B6A27">
        <w:rPr>
          <w:color w:val="000000"/>
          <w:sz w:val="28"/>
          <w:szCs w:val="28"/>
        </w:rPr>
        <w:t xml:space="preserve"> </w:t>
      </w:r>
      <w:r w:rsidRPr="009B6A27">
        <w:rPr>
          <w:color w:val="000000"/>
          <w:sz w:val="28"/>
          <w:szCs w:val="28"/>
        </w:rPr>
        <w:t>руб.</w:t>
      </w:r>
      <w:r w:rsidR="009E35A9" w:rsidRPr="009B6A27">
        <w:rPr>
          <w:color w:val="000000"/>
          <w:sz w:val="28"/>
          <w:szCs w:val="28"/>
        </w:rPr>
        <w:t xml:space="preserve"> </w:t>
      </w:r>
      <w:r w:rsidRPr="009B6A27">
        <w:rPr>
          <w:color w:val="000000"/>
          <w:sz w:val="28"/>
          <w:szCs w:val="28"/>
        </w:rPr>
        <w:t>Налоговая ставка установлена представительным органам муниципального образования в размере 0,2%.</w:t>
      </w:r>
      <w:r w:rsidR="009E35A9" w:rsidRPr="009B6A27">
        <w:rPr>
          <w:color w:val="000000"/>
          <w:sz w:val="28"/>
          <w:szCs w:val="28"/>
        </w:rPr>
        <w:t xml:space="preserve"> </w:t>
      </w:r>
      <w:r w:rsidRPr="009B6A27">
        <w:rPr>
          <w:color w:val="000000"/>
          <w:sz w:val="28"/>
          <w:szCs w:val="28"/>
        </w:rPr>
        <w:t xml:space="preserve">Определить сумму земельного налога за </w:t>
      </w:r>
      <w:smartTag w:uri="urn:schemas-microsoft-com:office:smarttags" w:element="metricconverter">
        <w:smartTagPr>
          <w:attr w:name="ProductID" w:val="2008 г"/>
        </w:smartTagPr>
        <w:r w:rsidRPr="009B6A27">
          <w:rPr>
            <w:color w:val="000000"/>
            <w:sz w:val="28"/>
            <w:szCs w:val="28"/>
          </w:rPr>
          <w:t>2008 г</w:t>
        </w:r>
      </w:smartTag>
    </w:p>
    <w:p w:rsidR="00566DD7" w:rsidRPr="009B6A27" w:rsidRDefault="009E35A9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Решение</w:t>
      </w:r>
    </w:p>
    <w:p w:rsidR="00ED653C" w:rsidRPr="009B6A27" w:rsidRDefault="00ED653C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1. Налоговым периодом признается календарный год.</w:t>
      </w:r>
    </w:p>
    <w:p w:rsidR="00ED653C" w:rsidRPr="009B6A27" w:rsidRDefault="00ED653C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2. Отчетными периодами для налогоплательщиков - организаций и физических лиц, являющихся индивидуальными предпринимателями, признаются первый квартал, второй квартал, третий и четвертый квартал календарного года.</w:t>
      </w:r>
    </w:p>
    <w:p w:rsidR="00ED653C" w:rsidRPr="009B6A27" w:rsidRDefault="00ED653C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3.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ED653C" w:rsidRPr="009B6A27" w:rsidRDefault="00ED653C" w:rsidP="00A13608">
      <w:pPr>
        <w:pStyle w:val="ConsPlusNorma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27">
        <w:rPr>
          <w:rFonts w:ascii="Times New Roman" w:hAnsi="Times New Roman" w:cs="Times New Roman"/>
          <w:color w:val="000000"/>
          <w:sz w:val="28"/>
          <w:szCs w:val="28"/>
        </w:rPr>
        <w:t>4. Налогоплательщики исчисляют сумму налога (сумму авансовых платежей по налогу) самостоятельно.</w:t>
      </w:r>
    </w:p>
    <w:p w:rsidR="00ED653C" w:rsidRPr="009B6A27" w:rsidRDefault="00ED653C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5. Таким образом, земельный участок принадлежит юр. лицу 3 и 4 кварталы (полгода), соответственно сумма налога за год составит:</w:t>
      </w:r>
    </w:p>
    <w:p w:rsidR="00ED653C" w:rsidRPr="009B6A27" w:rsidRDefault="00ED653C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9600000*0,2%/2 = 9600 рублей.</w:t>
      </w:r>
    </w:p>
    <w:p w:rsidR="009E35A9" w:rsidRPr="009B6A27" w:rsidRDefault="009E35A9" w:rsidP="00A136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DD7" w:rsidRPr="009B6A27" w:rsidRDefault="009E35A9" w:rsidP="00A1360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br w:type="page"/>
      </w:r>
      <w:r w:rsidR="00A13608" w:rsidRPr="009B6A27">
        <w:rPr>
          <w:b/>
          <w:color w:val="000000"/>
          <w:sz w:val="28"/>
          <w:szCs w:val="28"/>
        </w:rPr>
        <w:t>Литература</w:t>
      </w:r>
    </w:p>
    <w:p w:rsidR="00A13608" w:rsidRPr="009B6A27" w:rsidRDefault="00A13608" w:rsidP="00A1360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Налоговый Кодекс РФ. Части первая и вторая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Абанин М. Специальные налоговые режимы как инструмент налогового планирования // Хозяйство и право. 2005. № 10. С. 78.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Адамов Н.А. Пути оптимизации системы налогообложения // "Все о налогах", 2008, N 5 – с. 22-28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Адамов Н.А. Направления, этапы и элементы оптимизации системы налогообложения // «Все о налогах», 2007, №12. – с. 16-19</w:t>
      </w:r>
    </w:p>
    <w:p w:rsidR="00BA68F6" w:rsidRPr="009B6A27" w:rsidRDefault="001B6F92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Баканов М.И.</w:t>
      </w:r>
      <w:r w:rsidR="00BA68F6" w:rsidRPr="009B6A27">
        <w:rPr>
          <w:color w:val="000000"/>
          <w:sz w:val="28"/>
          <w:szCs w:val="28"/>
        </w:rPr>
        <w:t>, Мельник М.В., Шеремет А.Д. Теория экономического анализа. - М.: Финансы и статистика, 2005. – 528 с.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Беляков А.А. Оптимизация налогообложения: современный взгляд// Налоговый вестник, 2008, №4, с. 16-22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Бочаров В.В. Комплексный финансовый анализ. - М.: Питер, 2005. – 347 с.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Брызгалин А.В., Берник В.Р., Головкин А.Н., Брызгалин В.В. Методы налоговой оптимизации / под ред. А.В. Брызгалина. - М.: Аналитика-Пресс, 2001. С. 23.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Вахрушина М.А., Пласкова Н.С. Анализ финансовой отчетности: Учебник. – М.: Вузовский учебник, 2007. – 588 с.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Воронина Н.В., Бабанин В.А. Налоговое планирование в системе финансового менеджмента // Финансы и кредит. 2006. № 27. С. 40 - 50.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Вылкова Е.С. Использование резервов по сомнительным долгам для целей оптимизации налогообложения прибыли // "Налоговый вестник", 2007, №11 – с. 78-86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Голубчикова С. Налоговая оптимизация // "Аудит и налогообложение", 2008, N 1 – с. 25-30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Грекова З.Н. Методические аспекты учетной политики как способ оптимизации налогообложения // "Все для бухгалтера", 2008, №12 – с. 16-24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Грищенко А.В. Оптимизация налогооблагаемой базы // "Налоговое планирование", 2007, №1. – с. 46-52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Донцова Л.В., Никифорова Н.А. Анализ финансовой отчетности. - М.: Дело и Сервис, 2005. – 470 с.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Дрожжина И.А. Оптимизация налога на прибыль организаций // "Бухгалтерский учет и налоги в торговле и общественном питании", 2008, №4. – с. 29-36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Ефимова О.В., Мельник М.В. Анализ финансовой отчетности. - М.: Бухгалтерский учет, 2004. – 368 с.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Ефремова О.Н. Новые подходы и новые ограничения в налоговом планировании // "Горячая линия бухгалтера", 2008, N 21 – с. 4-6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Ефремова О.Н. Путь от налоговой оптимизации до налогового преступления // "Горячая линия бухгалтера", 2008, N 15-16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Ефремова О.Н. Судебные споры, возникающие при оптимизации налога на прибыль // "Горячая линия бухгалтера", 2008, N 15-16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Землянская И.С. Оптимизация налогообложения: новые подходы государственного регулирования // "Налоги и налогообложение", 2007, N 7 – с. 45-47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Зикирова Е.С. Концепции реформирования предприятий // "Финансовый вестник: финансы, налоги, страхование, бухгалтерский учет", 2009, №6 – с. 94-105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Зырянова Т.В. Теоретические и практические аспекты использования налоговых режимов // "Все для бухгалтера", 2008, N 8 – с. 41-48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Ковалев В.В. Как «читать» финансовую отчетность // «Финансовый Директор», 2006, № 9. с. 15-19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Кондраков Н.П. Бухгалтерский учет: учеб. пособие. - М.: ИНФРА-М, 2005. – 684 с.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Коршунова М.В. «Уклонение» и «оптимизация» в системе налогового контроля // "Финансы", 2007, №5 – с. 52-58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Кошкина Т.Ю. Главное в оптимизации налогообложения // "Строительство: бухгалтерский учет и налогообложение", 2007, N 9 – с. 9-16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Кролис Л. Административная ответственность за нарушение налогового законодательства - М.: Фин.газ., 2008. – 253 с.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Кучеров И.И. Налоговое право России: курс лекций. - М.: ЮрИнфоР, 2001. С. 118.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Кузнецова В. Способы оптимизации налогообложения // "Аудит и налогообложение", 2007, N 4 – с. 29-37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Лермонтов Ю. Постановление Пленума ВАС РФ № 53 // Аудит и налогообложение. 2007. № 3. С. 31.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Лермонтов Ю.М. Рекомендации по исчислению и уплате налогов // "Налоговый вестник", 2008, №6. – с. 39-47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Митюкова Э. Безопасная оптимизация // "Расчет", 2008, №7 – с. 16-20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Миргазизов В. Риски налоговой оптимизации // "Практическая бухгалтерия", 2008, N 3 – с. 33-35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Налоги и налогообложение: учебник / Д.Г. Черник и др. 2-е изд., доп. и перераб. - М.: ИНФРА-М, 2003. С. 25 - 26.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Налоговое право / под ред. С.Г. Пепеляева. - М.: ФБК-Пресс, 2000. С. 584 - 588.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Пансков В.Г. Направления, этапы и элементы оптимизации системы налогообложения// «Все о налогах», 2007, №12, с. 29-36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Петрова Г.В. Ответственность за нарушение налогового законодательства. - М.: Финансы и статистика, 2007. – 145 с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Пушкарева В.М. История финансовой мысли и политики налогов: Учеб. пособие. – М.: ИНФРА-М, 2006. – 192 с.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Савицкая Г.В. Экономический анализ: учебник. – 9-е изд., испр. - М.: Новое знание, 2004. – 590 с.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Соловьев И.Н. Уклонение от уплаты налогов и оптимизация налогообложения // Налоговый вестник. 2001. № 9. С. 130 - 135.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Стороженко О. К вопросу о проблемах теории налогового планирования // Консультант директора. 2004. № 23. С. 24.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Тильдиков А.В. Основы налогового консультирования: учебно-методическое пособие. - Обнинск, 2004. С. 102.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Тищенко С.В. Схемы налоговой оптимизации и необоснованная налоговая выгода // "Налоги" (газета), 2008, N 28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Тупанчески Н.Р. Уклонение от уплаты налогов в сравнительном праве / под ред. проф. В.С. Комиссарова. М.: ЮНИТИ-ДАНА, Закон и право, 2001. С. 111 – 117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Финансы: учебное пособие/ под редакцией профессора А.М. Ковалевой – 3-е издание, переработанное и дополненное – М.: Финансы и статистика, 2002. – 645 с.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Фомина Ж.С. Налоговое право зарубежных стран: учеб.-метод. комплекс. - Волгоград: Изд-во ВАГС, 2005. С. 25.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Шеремет А.Д. Методика финансового анализа деятельности коммерческих организаций. - М.: ИНФРА–М, 2005. – 456 с.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Экономический анализ: учебник для вузов / под ред. Л.Т. Гиляровской. – 2-е изд., доп. – М.: ЮНИТИ-ДАНА, 2002. – 518 с.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Юсупов Р.Л. Налоговая может ошибаться // "Налоги" (газета), 2008, №35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Юрмашев Р.С. Налоговая оптимизация и налоговое правонарушение: грани соотношения понятий // Адвокатская практика. 2005. № 3. С. 19.</w:t>
      </w:r>
    </w:p>
    <w:p w:rsidR="00BA68F6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>Юткина Т.Ф. Налоги и налогообложение: учебник. 2-е изд., перераб. и доп. - М.: ИНФРА-М, 2003. С. 270.</w:t>
      </w:r>
    </w:p>
    <w:p w:rsidR="00566DD7" w:rsidRPr="009B6A27" w:rsidRDefault="00BA68F6" w:rsidP="00A13608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6A27">
        <w:rPr>
          <w:color w:val="000000"/>
          <w:sz w:val="28"/>
          <w:szCs w:val="28"/>
        </w:rPr>
        <w:t xml:space="preserve">Постановление Конституционного Суда РФ от 27 мая </w:t>
      </w:r>
      <w:smartTag w:uri="urn:schemas-microsoft-com:office:smarttags" w:element="metricconverter">
        <w:smartTagPr>
          <w:attr w:name="ProductID" w:val="2003 г"/>
        </w:smartTagPr>
        <w:r w:rsidRPr="009B6A27">
          <w:rPr>
            <w:color w:val="000000"/>
            <w:sz w:val="28"/>
            <w:szCs w:val="28"/>
          </w:rPr>
          <w:t>2003 г</w:t>
        </w:r>
      </w:smartTag>
      <w:r w:rsidRPr="009B6A27">
        <w:rPr>
          <w:color w:val="000000"/>
          <w:sz w:val="28"/>
          <w:szCs w:val="28"/>
        </w:rPr>
        <w:t>. N 9-П "По делу о проверке конституционности положения статьи 199 Уголовного кодекса Российской Федерации в связи с жалобами граждан П.Н. Белецкого, Г.А. Никовой, Р.В. Рукавишникова, В.Л. Соколовского и Н.И. Таланова" // Вестник КС РФ. 2003. N 4. С. 27.</w:t>
      </w:r>
      <w:bookmarkStart w:id="0" w:name="_GoBack"/>
      <w:bookmarkEnd w:id="0"/>
    </w:p>
    <w:sectPr w:rsidR="00566DD7" w:rsidRPr="009B6A27" w:rsidSect="00A13608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27" w:rsidRDefault="009B6A27">
      <w:r>
        <w:separator/>
      </w:r>
    </w:p>
  </w:endnote>
  <w:endnote w:type="continuationSeparator" w:id="0">
    <w:p w:rsidR="009B6A27" w:rsidRDefault="009B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27" w:rsidRDefault="009B6A27">
      <w:r>
        <w:separator/>
      </w:r>
    </w:p>
  </w:footnote>
  <w:footnote w:type="continuationSeparator" w:id="0">
    <w:p w:rsidR="009B6A27" w:rsidRDefault="009B6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53C" w:rsidRDefault="00ED653C" w:rsidP="00E04203">
    <w:pPr>
      <w:pStyle w:val="a4"/>
      <w:framePr w:wrap="around" w:vAnchor="text" w:hAnchor="margin" w:xAlign="right" w:y="1"/>
      <w:rPr>
        <w:rStyle w:val="a6"/>
      </w:rPr>
    </w:pPr>
  </w:p>
  <w:p w:rsidR="00ED653C" w:rsidRDefault="00ED653C" w:rsidP="00BA68F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57060"/>
    <w:multiLevelType w:val="hybridMultilevel"/>
    <w:tmpl w:val="38EE86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DD7"/>
    <w:rsid w:val="001B6F92"/>
    <w:rsid w:val="001E52E3"/>
    <w:rsid w:val="00566DD7"/>
    <w:rsid w:val="005F4B64"/>
    <w:rsid w:val="009B6A27"/>
    <w:rsid w:val="009E35A9"/>
    <w:rsid w:val="00A13608"/>
    <w:rsid w:val="00B305FE"/>
    <w:rsid w:val="00B3168F"/>
    <w:rsid w:val="00B67992"/>
    <w:rsid w:val="00BA68F6"/>
    <w:rsid w:val="00C26C01"/>
    <w:rsid w:val="00CA6F54"/>
    <w:rsid w:val="00DC257F"/>
    <w:rsid w:val="00E04203"/>
    <w:rsid w:val="00ED653C"/>
    <w:rsid w:val="00F7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8D7DCD-BFAB-4D90-A017-FAC456EF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A68F6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BA68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A68F6"/>
    <w:rPr>
      <w:rFonts w:cs="Times New Roman"/>
    </w:rPr>
  </w:style>
  <w:style w:type="paragraph" w:styleId="a7">
    <w:name w:val="footer"/>
    <w:basedOn w:val="a"/>
    <w:link w:val="a8"/>
    <w:uiPriority w:val="99"/>
    <w:rsid w:val="00BA68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F776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6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3727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2014-03-04T05:29:00Z</dcterms:created>
  <dcterms:modified xsi:type="dcterms:W3CDTF">2014-03-04T05:29:00Z</dcterms:modified>
</cp:coreProperties>
</file>