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4D" w:rsidRPr="000E06A0" w:rsidRDefault="009D564D" w:rsidP="009D564D">
      <w:pPr>
        <w:spacing w:before="120"/>
        <w:jc w:val="center"/>
        <w:rPr>
          <w:b/>
          <w:bCs/>
          <w:sz w:val="32"/>
          <w:szCs w:val="32"/>
        </w:rPr>
      </w:pPr>
      <w:bookmarkStart w:id="0" w:name="_Toc58769518"/>
      <w:bookmarkStart w:id="1" w:name="_Toc59191650"/>
      <w:r w:rsidRPr="000E06A0">
        <w:rPr>
          <w:b/>
          <w:bCs/>
          <w:sz w:val="32"/>
          <w:szCs w:val="32"/>
        </w:rPr>
        <w:t>Валютный рынок и валютный курс</w:t>
      </w:r>
    </w:p>
    <w:p w:rsidR="009D564D" w:rsidRPr="000E06A0" w:rsidRDefault="009D564D" w:rsidP="009D564D">
      <w:pPr>
        <w:spacing w:before="120"/>
        <w:jc w:val="center"/>
        <w:rPr>
          <w:sz w:val="28"/>
          <w:szCs w:val="28"/>
        </w:rPr>
      </w:pPr>
      <w:r w:rsidRPr="000E06A0">
        <w:rPr>
          <w:sz w:val="28"/>
          <w:szCs w:val="28"/>
        </w:rPr>
        <w:t>Курсовая работа по экономической теории</w:t>
      </w:r>
    </w:p>
    <w:p w:rsidR="009D564D" w:rsidRPr="000E06A0" w:rsidRDefault="009D564D" w:rsidP="009D564D">
      <w:pPr>
        <w:spacing w:before="120"/>
        <w:jc w:val="center"/>
        <w:rPr>
          <w:sz w:val="28"/>
          <w:szCs w:val="28"/>
        </w:rPr>
      </w:pPr>
      <w:r w:rsidRPr="000E06A0">
        <w:rPr>
          <w:sz w:val="28"/>
          <w:szCs w:val="28"/>
        </w:rPr>
        <w:t>Работа выполнена Безымяннова Алёна Михайловна</w:t>
      </w:r>
    </w:p>
    <w:p w:rsidR="009D564D" w:rsidRPr="000E06A0" w:rsidRDefault="009D564D" w:rsidP="009D564D">
      <w:pPr>
        <w:spacing w:before="120"/>
        <w:jc w:val="center"/>
        <w:rPr>
          <w:sz w:val="28"/>
          <w:szCs w:val="28"/>
        </w:rPr>
      </w:pPr>
      <w:r w:rsidRPr="000E06A0">
        <w:rPr>
          <w:sz w:val="28"/>
          <w:szCs w:val="28"/>
        </w:rPr>
        <w:t>Московский университет потребительской кооперации</w:t>
      </w:r>
    </w:p>
    <w:p w:rsidR="009D564D" w:rsidRPr="000E06A0" w:rsidRDefault="009D564D" w:rsidP="009D564D">
      <w:pPr>
        <w:spacing w:before="120"/>
        <w:jc w:val="center"/>
        <w:rPr>
          <w:sz w:val="28"/>
          <w:szCs w:val="28"/>
        </w:rPr>
      </w:pPr>
      <w:r w:rsidRPr="000E06A0">
        <w:rPr>
          <w:sz w:val="28"/>
          <w:szCs w:val="28"/>
        </w:rPr>
        <w:t xml:space="preserve">Ижевск 2006 </w:t>
      </w:r>
    </w:p>
    <w:p w:rsidR="009D564D" w:rsidRPr="000E06A0" w:rsidRDefault="009D564D" w:rsidP="009D564D">
      <w:pPr>
        <w:spacing w:before="120"/>
        <w:jc w:val="center"/>
        <w:rPr>
          <w:b/>
          <w:bCs/>
          <w:sz w:val="28"/>
          <w:szCs w:val="28"/>
        </w:rPr>
      </w:pPr>
      <w:r w:rsidRPr="000E06A0">
        <w:rPr>
          <w:b/>
          <w:bCs/>
          <w:sz w:val="28"/>
          <w:szCs w:val="28"/>
        </w:rPr>
        <w:t>Введение</w:t>
      </w:r>
      <w:bookmarkEnd w:id="0"/>
      <w:bookmarkEnd w:id="1"/>
    </w:p>
    <w:p w:rsidR="009D564D" w:rsidRPr="003F2C24" w:rsidRDefault="009D564D" w:rsidP="009D564D">
      <w:pPr>
        <w:spacing w:before="120"/>
        <w:ind w:firstLine="567"/>
        <w:jc w:val="both"/>
      </w:pPr>
      <w:r w:rsidRPr="003F2C24">
        <w:t>Международные валютные отношения возникли с началом функционирования денег в международном платежном обороте. На протяжении истории менялись формы мировых денег и условия международных расчетов. Одновременно возрастала значимость системы мирового денежного обращения и повышалась степень её относительной самостоятельности.</w:t>
      </w:r>
    </w:p>
    <w:p w:rsidR="009D564D" w:rsidRPr="003F2C24" w:rsidRDefault="009D564D" w:rsidP="009D564D">
      <w:pPr>
        <w:spacing w:before="120"/>
        <w:ind w:firstLine="567"/>
        <w:jc w:val="both"/>
      </w:pPr>
      <w:r w:rsidRPr="003F2C24">
        <w:t>В настоящее время на экономическую политику всех государств большое влияние оказывают процессы, происходящие в сфере международных финансов. Для их упорядочивания и была создана мировая валютная система.</w:t>
      </w:r>
    </w:p>
    <w:p w:rsidR="009D564D" w:rsidRPr="003F2C24" w:rsidRDefault="009D564D" w:rsidP="009D564D">
      <w:pPr>
        <w:spacing w:before="120"/>
        <w:ind w:firstLine="567"/>
        <w:jc w:val="both"/>
      </w:pPr>
      <w:r w:rsidRPr="003F2C24">
        <w:t>Важнейшая особенность международной торговли по сравнению с торговлей внутренней состоит в том, что ее обслуживают разные денежные единицы, то есть разные национальные валюты.</w:t>
      </w:r>
    </w:p>
    <w:p w:rsidR="009D564D" w:rsidRPr="003F2C24" w:rsidRDefault="009D564D" w:rsidP="009D564D">
      <w:pPr>
        <w:spacing w:before="120"/>
        <w:ind w:firstLine="567"/>
        <w:jc w:val="both"/>
      </w:pPr>
      <w:r w:rsidRPr="003F2C24">
        <w:t>Каждая страна требует при этом, чтобы на ее территории все расчеты осуществлялись только в денежных знаках этой страны и</w:t>
      </w:r>
      <w:r>
        <w:t xml:space="preserve"> </w:t>
      </w:r>
      <w:r w:rsidRPr="003F2C24">
        <w:t>только ими иностранные покупатели платили за приобретаемые</w:t>
      </w:r>
      <w:r>
        <w:t xml:space="preserve"> </w:t>
      </w:r>
      <w:r w:rsidRPr="003F2C24">
        <w:t>для импорта товары производителей этой страны. Из-за этого международная торговля всегда требует решения проблем, связанных с:</w:t>
      </w:r>
    </w:p>
    <w:p w:rsidR="009D564D" w:rsidRPr="003F2C24" w:rsidRDefault="009D564D" w:rsidP="009D564D">
      <w:pPr>
        <w:spacing w:before="120"/>
        <w:ind w:firstLine="567"/>
        <w:jc w:val="both"/>
      </w:pPr>
      <w:r w:rsidRPr="003F2C24">
        <w:t>1) организацией собственно купли-продажи товаров;</w:t>
      </w:r>
    </w:p>
    <w:p w:rsidR="009D564D" w:rsidRPr="003F2C24" w:rsidRDefault="009D564D" w:rsidP="009D564D">
      <w:pPr>
        <w:spacing w:before="120"/>
        <w:ind w:firstLine="567"/>
        <w:jc w:val="both"/>
      </w:pPr>
      <w:r w:rsidRPr="003F2C24">
        <w:t>2) валютным обеспечением торговых операций.</w:t>
      </w:r>
    </w:p>
    <w:p w:rsidR="009D564D" w:rsidRPr="003F2C24" w:rsidRDefault="009D564D" w:rsidP="009D564D">
      <w:pPr>
        <w:spacing w:before="120"/>
        <w:ind w:firstLine="567"/>
        <w:jc w:val="both"/>
      </w:pPr>
      <w:r w:rsidRPr="003F2C24">
        <w:t>Для ведения международной торговли в условиях существования разных валют человечество создало механизм взаимных расчетов между гражданами и фирмами различных стран. Обычно его называют валютным рынком.</w:t>
      </w:r>
    </w:p>
    <w:p w:rsidR="009D564D" w:rsidRDefault="009D564D" w:rsidP="009D564D">
      <w:pPr>
        <w:spacing w:before="120"/>
        <w:ind w:firstLine="567"/>
        <w:jc w:val="both"/>
      </w:pPr>
      <w:r w:rsidRPr="003F2C24">
        <w:t>Таким образом, в работе будут рассмотрены вопросы о валюте и её видах, валютном курсе, валютном рынке в общем и конкретно российском, а также будет раскрыт вопрос о понятии и структуре платежного баланса и какой он имеет смысл конкретно в ситуации Российской Федерации.</w:t>
      </w:r>
    </w:p>
    <w:p w:rsidR="009D564D" w:rsidRPr="000E06A0" w:rsidRDefault="009D564D" w:rsidP="009D564D">
      <w:pPr>
        <w:spacing w:before="120"/>
        <w:jc w:val="center"/>
        <w:rPr>
          <w:b/>
          <w:bCs/>
          <w:sz w:val="28"/>
          <w:szCs w:val="28"/>
        </w:rPr>
      </w:pPr>
      <w:r w:rsidRPr="000E06A0">
        <w:rPr>
          <w:b/>
          <w:bCs/>
          <w:sz w:val="28"/>
          <w:szCs w:val="28"/>
        </w:rPr>
        <w:t>Глава 1. Валюта и её классификация</w:t>
      </w:r>
    </w:p>
    <w:p w:rsidR="009D564D" w:rsidRPr="000E06A0" w:rsidRDefault="009D564D" w:rsidP="009D564D">
      <w:pPr>
        <w:spacing w:before="120"/>
        <w:jc w:val="center"/>
        <w:rPr>
          <w:b/>
          <w:bCs/>
          <w:sz w:val="28"/>
          <w:szCs w:val="28"/>
        </w:rPr>
      </w:pPr>
      <w:r w:rsidRPr="000E06A0">
        <w:rPr>
          <w:b/>
          <w:bCs/>
          <w:sz w:val="28"/>
          <w:szCs w:val="28"/>
        </w:rPr>
        <w:t>1.1 Сущность валюты</w:t>
      </w:r>
    </w:p>
    <w:p w:rsidR="009D564D" w:rsidRPr="003F2C24" w:rsidRDefault="009D564D" w:rsidP="009D564D">
      <w:pPr>
        <w:spacing w:before="120"/>
        <w:ind w:firstLine="567"/>
        <w:jc w:val="both"/>
      </w:pPr>
      <w:r w:rsidRPr="003F2C24">
        <w:t>Валюта (англ. currency) - денежная единица страны, используемая для измерения величины стоимости товаров.</w:t>
      </w:r>
    </w:p>
    <w:p w:rsidR="009D564D" w:rsidRPr="003F2C24" w:rsidRDefault="009D564D" w:rsidP="009D564D">
      <w:pPr>
        <w:spacing w:before="120"/>
        <w:ind w:firstLine="567"/>
        <w:jc w:val="both"/>
      </w:pPr>
      <w:r w:rsidRPr="003F2C24">
        <w:t xml:space="preserve">Понятие валюты применяется в трех значениях: </w:t>
      </w:r>
    </w:p>
    <w:p w:rsidR="009D564D" w:rsidRPr="003F2C24" w:rsidRDefault="009D564D" w:rsidP="009D564D">
      <w:pPr>
        <w:spacing w:before="120"/>
        <w:ind w:firstLine="567"/>
        <w:jc w:val="both"/>
      </w:pPr>
      <w:r w:rsidRPr="003F2C24">
        <w:t>Национальная валюта – это денежная единица данной страны, используемая во внешнеэкономических связях и международных расчетах с другими странами;</w:t>
      </w:r>
    </w:p>
    <w:p w:rsidR="009D564D" w:rsidRPr="003F2C24" w:rsidRDefault="009D564D" w:rsidP="009D564D">
      <w:pPr>
        <w:spacing w:before="120"/>
        <w:ind w:firstLine="567"/>
        <w:jc w:val="both"/>
      </w:pPr>
      <w:r w:rsidRPr="003F2C24">
        <w:t>Иностранная валюта, т.е. денежные знаки иностранных государств, а также кредитные и платежные документы, выраженные в иностранных денежных единицах и применяемые в международных расчетах.</w:t>
      </w:r>
    </w:p>
    <w:p w:rsidR="009D564D" w:rsidRPr="003F2C24" w:rsidRDefault="009D564D" w:rsidP="009D564D">
      <w:pPr>
        <w:spacing w:before="120"/>
        <w:ind w:firstLine="567"/>
        <w:jc w:val="both"/>
      </w:pPr>
      <w:r w:rsidRPr="003F2C24">
        <w:t>Международная</w:t>
      </w:r>
      <w:r>
        <w:t xml:space="preserve"> </w:t>
      </w:r>
      <w:r w:rsidRPr="003F2C24">
        <w:t>коллективная валюта, т.е. общая для определённых стран валюта, выбранная ими для расчетов друг с другом (СДР, Евро (ранее ЭКЮ) и др.).</w:t>
      </w:r>
    </w:p>
    <w:p w:rsidR="009D564D" w:rsidRPr="003F2C24" w:rsidRDefault="009D564D" w:rsidP="009D564D">
      <w:pPr>
        <w:spacing w:before="120"/>
        <w:ind w:firstLine="567"/>
        <w:jc w:val="both"/>
      </w:pPr>
      <w:r w:rsidRPr="003F2C24">
        <w:t>Закон РФ «О валютном регулировании и валютном контроле» от 10 декабря 2003 года № 173-ФЗ так определяет понятие «Валюта Российской Федерации»:</w:t>
      </w:r>
    </w:p>
    <w:p w:rsidR="009D564D" w:rsidRPr="003F2C24" w:rsidRDefault="009D564D" w:rsidP="009D564D">
      <w:pPr>
        <w:spacing w:before="120"/>
        <w:ind w:firstLine="567"/>
        <w:jc w:val="both"/>
      </w:pPr>
      <w:r w:rsidRPr="003F2C24">
        <w:t>а)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p>
    <w:p w:rsidR="009D564D" w:rsidRPr="003F2C24" w:rsidRDefault="009D564D" w:rsidP="009D564D">
      <w:pPr>
        <w:spacing w:before="120"/>
        <w:ind w:firstLine="567"/>
        <w:jc w:val="both"/>
      </w:pPr>
      <w:r w:rsidRPr="003F2C24">
        <w:t>б) средства на банковских счетах и в банковских вкладах;</w:t>
      </w:r>
    </w:p>
    <w:p w:rsidR="009D564D" w:rsidRPr="003F2C24" w:rsidRDefault="009D564D" w:rsidP="009D564D">
      <w:pPr>
        <w:spacing w:before="120"/>
        <w:ind w:firstLine="567"/>
        <w:jc w:val="both"/>
      </w:pPr>
      <w:r w:rsidRPr="003F2C24">
        <w:t>Под «иностранной валютой» закон определяет:</w:t>
      </w:r>
    </w:p>
    <w:p w:rsidR="009D564D" w:rsidRPr="003F2C24" w:rsidRDefault="009D564D" w:rsidP="009D564D">
      <w:pPr>
        <w:spacing w:before="120"/>
        <w:ind w:firstLine="567"/>
        <w:jc w:val="both"/>
      </w:pPr>
      <w:r w:rsidRPr="003F2C24">
        <w:t>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p>
    <w:p w:rsidR="009D564D" w:rsidRPr="003F2C24" w:rsidRDefault="009D564D" w:rsidP="009D564D">
      <w:pPr>
        <w:spacing w:before="120"/>
        <w:ind w:firstLine="567"/>
        <w:jc w:val="both"/>
      </w:pPr>
      <w:r w:rsidRPr="003F2C24">
        <w:t>б) средства на банковских счетах и в банковских вкладах в денежных единицах иностранных государств и международных денежных или расчетных единицах</w:t>
      </w:r>
    </w:p>
    <w:p w:rsidR="009D564D" w:rsidRPr="003F2C24" w:rsidRDefault="009D564D" w:rsidP="009D564D">
      <w:pPr>
        <w:spacing w:before="120"/>
        <w:ind w:firstLine="567"/>
        <w:jc w:val="both"/>
      </w:pPr>
      <w:r w:rsidRPr="003F2C24">
        <w:t>В соответствие с Законом понятие «Валютные ценности» означает следующее:</w:t>
      </w:r>
    </w:p>
    <w:p w:rsidR="009D564D" w:rsidRPr="003F2C24" w:rsidRDefault="009D564D" w:rsidP="009D564D">
      <w:pPr>
        <w:spacing w:before="120"/>
        <w:ind w:firstLine="567"/>
        <w:jc w:val="both"/>
      </w:pPr>
      <w:r w:rsidRPr="003F2C24">
        <w:t>иностранная валюта;</w:t>
      </w:r>
    </w:p>
    <w:p w:rsidR="009D564D" w:rsidRDefault="009D564D" w:rsidP="009D564D">
      <w:pPr>
        <w:spacing w:before="120"/>
        <w:ind w:firstLine="567"/>
        <w:jc w:val="both"/>
      </w:pPr>
      <w:r w:rsidRPr="003F2C24">
        <w:t>внешние ценные бумаги - ценные бумаги, в том числе в бездокументарной форме, не относящиеся в соответствии с настоящим Федеральным законом к внутренним ценным бумагам.</w:t>
      </w:r>
    </w:p>
    <w:p w:rsidR="009D564D" w:rsidRPr="003F2C24" w:rsidRDefault="009D564D" w:rsidP="009D564D">
      <w:pPr>
        <w:spacing w:before="120"/>
        <w:ind w:firstLine="567"/>
        <w:jc w:val="both"/>
      </w:pPr>
      <w:r w:rsidRPr="003F2C24">
        <w:t>Внутренние ценные бумаги – это:</w:t>
      </w:r>
    </w:p>
    <w:p w:rsidR="009D564D" w:rsidRPr="003F2C24" w:rsidRDefault="009D564D" w:rsidP="009D564D">
      <w:pPr>
        <w:spacing w:before="120"/>
        <w:ind w:firstLine="567"/>
        <w:jc w:val="both"/>
      </w:pPr>
      <w:r w:rsidRPr="003F2C24">
        <w:t>а) эмиссионные ценные бумаги, номинальная стоимость которых указана в валюте Российской Федерации и выпуск которых зарегистрирован в Российской Федерации;</w:t>
      </w:r>
    </w:p>
    <w:p w:rsidR="009D564D" w:rsidRPr="003F2C24" w:rsidRDefault="009D564D" w:rsidP="009D564D">
      <w:pPr>
        <w:spacing w:before="120"/>
        <w:ind w:firstLine="567"/>
        <w:jc w:val="both"/>
      </w:pPr>
      <w:r w:rsidRPr="003F2C24">
        <w:t>б) иные ценные бумаги, удостоверяющие право на получение валюты Российской Федерации, выпущенные на территории Российской Федерации.</w:t>
      </w:r>
    </w:p>
    <w:p w:rsidR="009D564D" w:rsidRPr="003F2C24" w:rsidRDefault="009D564D" w:rsidP="009D564D">
      <w:pPr>
        <w:spacing w:before="120"/>
        <w:ind w:firstLine="567"/>
        <w:jc w:val="both"/>
      </w:pPr>
      <w:r w:rsidRPr="003F2C24">
        <w:t>1.2 Классификация валют</w:t>
      </w:r>
    </w:p>
    <w:p w:rsidR="009D564D" w:rsidRPr="003F2C24" w:rsidRDefault="009D564D" w:rsidP="009D564D">
      <w:pPr>
        <w:spacing w:before="120"/>
        <w:ind w:firstLine="567"/>
        <w:jc w:val="both"/>
      </w:pPr>
      <w:r w:rsidRPr="003F2C24">
        <w:t>Все виды валют можно классифицировать по следующим принципам:</w:t>
      </w:r>
    </w:p>
    <w:p w:rsidR="009D564D" w:rsidRPr="003F2C24" w:rsidRDefault="009D564D" w:rsidP="009D564D">
      <w:pPr>
        <w:spacing w:before="120"/>
        <w:ind w:firstLine="567"/>
        <w:jc w:val="both"/>
      </w:pPr>
      <w:r w:rsidRPr="003F2C24">
        <w:t>1.По принципу принадлежности</w:t>
      </w:r>
    </w:p>
    <w:p w:rsidR="009D564D" w:rsidRPr="003F2C24" w:rsidRDefault="009D564D" w:rsidP="009D564D">
      <w:pPr>
        <w:spacing w:before="120"/>
        <w:ind w:firstLine="567"/>
        <w:jc w:val="both"/>
      </w:pPr>
      <w:r w:rsidRPr="003F2C24">
        <w:t>национальная валюта</w:t>
      </w:r>
    </w:p>
    <w:p w:rsidR="009D564D" w:rsidRPr="003F2C24" w:rsidRDefault="009D564D" w:rsidP="009D564D">
      <w:pPr>
        <w:spacing w:before="120"/>
        <w:ind w:firstLine="567"/>
        <w:jc w:val="both"/>
      </w:pPr>
      <w:r w:rsidRPr="003F2C24">
        <w:t>иностранная валюта</w:t>
      </w:r>
    </w:p>
    <w:p w:rsidR="009D564D" w:rsidRPr="003F2C24" w:rsidRDefault="009D564D" w:rsidP="009D564D">
      <w:pPr>
        <w:spacing w:before="120"/>
        <w:ind w:firstLine="567"/>
        <w:jc w:val="both"/>
      </w:pPr>
      <w:r w:rsidRPr="003F2C24">
        <w:t>международная коллективная валюта (СДР, Евро)</w:t>
      </w:r>
    </w:p>
    <w:p w:rsidR="009D564D" w:rsidRPr="003F2C24" w:rsidRDefault="009D564D" w:rsidP="009D564D">
      <w:pPr>
        <w:spacing w:before="120"/>
        <w:ind w:firstLine="567"/>
        <w:jc w:val="both"/>
      </w:pPr>
      <w:r w:rsidRPr="003F2C24">
        <w:t>резервная валюта</w:t>
      </w:r>
    </w:p>
    <w:p w:rsidR="009D564D" w:rsidRPr="003F2C24" w:rsidRDefault="009D564D" w:rsidP="009D564D">
      <w:pPr>
        <w:spacing w:before="120"/>
        <w:ind w:firstLine="567"/>
        <w:jc w:val="both"/>
      </w:pPr>
      <w:r w:rsidRPr="003F2C24">
        <w:t>Резервная валюта (англ. reserve currency) – это валютные резервы страны, которые накапливаются центральными банками для международных расчетов.</w:t>
      </w:r>
    </w:p>
    <w:p w:rsidR="009D564D" w:rsidRPr="003F2C24" w:rsidRDefault="009D564D" w:rsidP="009D564D">
      <w:pPr>
        <w:spacing w:before="120"/>
        <w:ind w:firstLine="567"/>
        <w:jc w:val="both"/>
      </w:pPr>
      <w:r w:rsidRPr="003F2C24">
        <w:t>Первоначально в роли резервной валюты выступал фунт стерлингов, игравший господствующую роль в международных расчетах. Решениями конференции в Бреттон-Вудсе (США, 1944 г.) наряду с фунтом стерлингов в качестве международной платежной и резервной валюты стал использоваться доллар США, который занял вскоре доминирующее положение в международных расчетах. В настоящее время к резервной валюте относят также Евро, швейцарский франк, японская иена. Тем не менее на долю доллара США приходится подавляющая часть валютных резервов.</w:t>
      </w:r>
    </w:p>
    <w:p w:rsidR="009D564D" w:rsidRPr="003F2C24" w:rsidRDefault="009D564D" w:rsidP="009D564D">
      <w:pPr>
        <w:spacing w:before="120"/>
        <w:ind w:firstLine="567"/>
        <w:jc w:val="both"/>
      </w:pPr>
      <w:r w:rsidRPr="003F2C24">
        <w:t>СДР - специальные права заимствования (англ. special drawing rights) - международные платежные и резервные средства, выпускаемые Международным валютным фондом и используемые для безналичных международных расчетов путем записей на специальных счетах и в качестве расчетной единицы МВФ. Она существует только в безналичной форме, а отсутствие наличной формы отнюдь не способствовало популярности валюты.</w:t>
      </w:r>
    </w:p>
    <w:p w:rsidR="009D564D" w:rsidRPr="003F2C24" w:rsidRDefault="009D564D" w:rsidP="009D564D">
      <w:pPr>
        <w:spacing w:before="120"/>
        <w:ind w:firstLine="567"/>
        <w:jc w:val="both"/>
      </w:pPr>
      <w:r w:rsidRPr="003F2C24">
        <w:t>В 1969 году МВФ, учитывая возрастающую опасность постоянного дефицита международной ликвидности, а также из-за ограниченности производства золота и расширения объемов мировой торговли, принял решение о создании СДР. Она была «спроектирована» как резервная валюта, предназначенная для покрытия платежного баланса страны, но так, чтобы никоим образом не потеснить господство доллара США на мировом валютном рынке. Первый выпуск СДР был осуществлен между 1970 и 1972 годами в размере 9,5 миллиарда единиц, а в 1972-1979гг. – ещё 12 млрд. ед., из которых 5 млрд.ед. по инициативе США.</w:t>
      </w:r>
    </w:p>
    <w:p w:rsidR="009D564D" w:rsidRPr="003F2C24" w:rsidRDefault="009D564D" w:rsidP="009D564D">
      <w:pPr>
        <w:spacing w:before="120"/>
        <w:ind w:firstLine="567"/>
        <w:jc w:val="both"/>
      </w:pPr>
      <w:r w:rsidRPr="003F2C24">
        <w:t>Ещё одной особенностью СДР было то, что только страны – члены МВФ могли получить СДР пропорционально доли внесенной в уставный капитал МВФ, а также с помощью СДР можно было погашать кредиты предоставленные МВФ.</w:t>
      </w:r>
    </w:p>
    <w:p w:rsidR="009D564D" w:rsidRPr="003F2C24" w:rsidRDefault="009D564D" w:rsidP="009D564D">
      <w:pPr>
        <w:spacing w:before="120"/>
        <w:ind w:firstLine="567"/>
        <w:jc w:val="both"/>
      </w:pPr>
      <w:r w:rsidRPr="003F2C24">
        <w:t>Таблица 1</w:t>
      </w:r>
    </w:p>
    <w:p w:rsidR="009D564D" w:rsidRPr="003F2C24" w:rsidRDefault="009D564D" w:rsidP="009D564D">
      <w:pPr>
        <w:spacing w:before="120"/>
        <w:ind w:firstLine="567"/>
        <w:jc w:val="both"/>
      </w:pPr>
      <w:r w:rsidRPr="003F2C24">
        <w:t>Удельный вес валют при расчете курса СДР, %1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724"/>
        <w:gridCol w:w="1975"/>
        <w:gridCol w:w="1975"/>
        <w:gridCol w:w="1973"/>
      </w:tblGrid>
      <w:tr w:rsidR="009D564D" w:rsidRPr="003F2C24" w:rsidTr="0088782C">
        <w:trPr>
          <w:cantSplit/>
          <w:trHeight w:val="229"/>
        </w:trPr>
        <w:tc>
          <w:tcPr>
            <w:tcW w:w="1120" w:type="pct"/>
            <w:vMerge w:val="restart"/>
            <w:vAlign w:val="center"/>
          </w:tcPr>
          <w:p w:rsidR="009D564D" w:rsidRPr="003F2C24" w:rsidRDefault="009D564D" w:rsidP="0088782C">
            <w:r w:rsidRPr="003F2C24">
              <w:t>Валюта</w:t>
            </w:r>
          </w:p>
        </w:tc>
        <w:tc>
          <w:tcPr>
            <w:tcW w:w="3880" w:type="pct"/>
            <w:gridSpan w:val="4"/>
            <w:vAlign w:val="center"/>
          </w:tcPr>
          <w:p w:rsidR="009D564D" w:rsidRPr="003F2C24" w:rsidRDefault="009D564D" w:rsidP="0088782C">
            <w:r w:rsidRPr="003F2C24">
              <w:t>Годы</w:t>
            </w:r>
          </w:p>
        </w:tc>
      </w:tr>
      <w:tr w:rsidR="009D564D" w:rsidRPr="003F2C24" w:rsidTr="0088782C">
        <w:trPr>
          <w:cantSplit/>
          <w:trHeight w:val="122"/>
        </w:trPr>
        <w:tc>
          <w:tcPr>
            <w:tcW w:w="1120" w:type="pct"/>
            <w:vMerge/>
            <w:vAlign w:val="center"/>
          </w:tcPr>
          <w:p w:rsidR="009D564D" w:rsidRPr="003F2C24" w:rsidRDefault="009D564D" w:rsidP="0088782C"/>
        </w:tc>
        <w:tc>
          <w:tcPr>
            <w:tcW w:w="875" w:type="pct"/>
            <w:vAlign w:val="center"/>
          </w:tcPr>
          <w:p w:rsidR="009D564D" w:rsidRPr="003F2C24" w:rsidRDefault="009D564D" w:rsidP="0088782C">
            <w:r w:rsidRPr="003F2C24">
              <w:t>1981-1985</w:t>
            </w:r>
          </w:p>
        </w:tc>
        <w:tc>
          <w:tcPr>
            <w:tcW w:w="1002" w:type="pct"/>
            <w:vAlign w:val="center"/>
          </w:tcPr>
          <w:p w:rsidR="009D564D" w:rsidRPr="003F2C24" w:rsidRDefault="009D564D" w:rsidP="0088782C">
            <w:r w:rsidRPr="003F2C24">
              <w:t>1986-1990</w:t>
            </w:r>
          </w:p>
        </w:tc>
        <w:tc>
          <w:tcPr>
            <w:tcW w:w="1002" w:type="pct"/>
            <w:vAlign w:val="center"/>
          </w:tcPr>
          <w:p w:rsidR="009D564D" w:rsidRPr="003F2C24" w:rsidRDefault="009D564D" w:rsidP="0088782C">
            <w:r w:rsidRPr="003F2C24">
              <w:t>1991-1995</w:t>
            </w:r>
          </w:p>
        </w:tc>
        <w:tc>
          <w:tcPr>
            <w:tcW w:w="1002" w:type="pct"/>
            <w:vAlign w:val="center"/>
          </w:tcPr>
          <w:p w:rsidR="009D564D" w:rsidRPr="003F2C24" w:rsidRDefault="009D564D" w:rsidP="0088782C">
            <w:r w:rsidRPr="003F2C24">
              <w:t>1996-2000</w:t>
            </w:r>
          </w:p>
        </w:tc>
      </w:tr>
      <w:tr w:rsidR="009D564D" w:rsidRPr="003F2C24" w:rsidTr="0088782C">
        <w:trPr>
          <w:trHeight w:val="1898"/>
        </w:trPr>
        <w:tc>
          <w:tcPr>
            <w:tcW w:w="1120" w:type="pct"/>
          </w:tcPr>
          <w:p w:rsidR="009D564D" w:rsidRPr="003F2C24" w:rsidRDefault="009D564D" w:rsidP="0088782C">
            <w:r w:rsidRPr="003F2C24">
              <w:t>Доллар США</w:t>
            </w:r>
          </w:p>
          <w:p w:rsidR="009D564D" w:rsidRPr="003F2C24" w:rsidRDefault="009D564D" w:rsidP="0088782C">
            <w:r w:rsidRPr="003F2C24">
              <w:t>Немецкая марка</w:t>
            </w:r>
          </w:p>
          <w:p w:rsidR="009D564D" w:rsidRPr="003F2C24" w:rsidRDefault="009D564D" w:rsidP="0088782C">
            <w:r w:rsidRPr="003F2C24">
              <w:t>Японская йена</w:t>
            </w:r>
          </w:p>
          <w:p w:rsidR="009D564D" w:rsidRPr="003F2C24" w:rsidRDefault="009D564D" w:rsidP="0088782C">
            <w:r w:rsidRPr="003F2C24">
              <w:t>Французский франк</w:t>
            </w:r>
          </w:p>
          <w:p w:rsidR="009D564D" w:rsidRPr="003F2C24" w:rsidRDefault="009D564D" w:rsidP="0088782C">
            <w:r w:rsidRPr="003F2C24">
              <w:t>Английский фунт стерлингов</w:t>
            </w:r>
          </w:p>
        </w:tc>
        <w:tc>
          <w:tcPr>
            <w:tcW w:w="875" w:type="pct"/>
          </w:tcPr>
          <w:p w:rsidR="009D564D" w:rsidRPr="003F2C24" w:rsidRDefault="009D564D" w:rsidP="0088782C">
            <w:r w:rsidRPr="003F2C24">
              <w:t>42</w:t>
            </w:r>
          </w:p>
          <w:p w:rsidR="009D564D" w:rsidRPr="003F2C24" w:rsidRDefault="009D564D" w:rsidP="0088782C">
            <w:r w:rsidRPr="003F2C24">
              <w:t>19</w:t>
            </w:r>
          </w:p>
          <w:p w:rsidR="009D564D" w:rsidRPr="003F2C24" w:rsidRDefault="009D564D" w:rsidP="0088782C">
            <w:r w:rsidRPr="003F2C24">
              <w:t>13</w:t>
            </w:r>
          </w:p>
          <w:p w:rsidR="009D564D" w:rsidRDefault="009D564D" w:rsidP="0088782C">
            <w:r w:rsidRPr="003F2C24">
              <w:t>13</w:t>
            </w:r>
          </w:p>
          <w:p w:rsidR="009D564D" w:rsidRPr="003F2C24" w:rsidRDefault="009D564D" w:rsidP="0088782C">
            <w:r w:rsidRPr="003F2C24">
              <w:t>13</w:t>
            </w:r>
          </w:p>
        </w:tc>
        <w:tc>
          <w:tcPr>
            <w:tcW w:w="1002" w:type="pct"/>
          </w:tcPr>
          <w:p w:rsidR="009D564D" w:rsidRPr="003F2C24" w:rsidRDefault="009D564D" w:rsidP="0088782C">
            <w:r w:rsidRPr="003F2C24">
              <w:t>42</w:t>
            </w:r>
          </w:p>
          <w:p w:rsidR="009D564D" w:rsidRPr="003F2C24" w:rsidRDefault="009D564D" w:rsidP="0088782C">
            <w:r w:rsidRPr="003F2C24">
              <w:t>19</w:t>
            </w:r>
          </w:p>
          <w:p w:rsidR="009D564D" w:rsidRPr="003F2C24" w:rsidRDefault="009D564D" w:rsidP="0088782C">
            <w:r w:rsidRPr="003F2C24">
              <w:t>15</w:t>
            </w:r>
          </w:p>
          <w:p w:rsidR="009D564D" w:rsidRDefault="009D564D" w:rsidP="0088782C">
            <w:r w:rsidRPr="003F2C24">
              <w:t>12</w:t>
            </w:r>
          </w:p>
          <w:p w:rsidR="009D564D" w:rsidRPr="003F2C24" w:rsidRDefault="009D564D" w:rsidP="0088782C">
            <w:r w:rsidRPr="003F2C24">
              <w:t>12</w:t>
            </w:r>
          </w:p>
        </w:tc>
        <w:tc>
          <w:tcPr>
            <w:tcW w:w="1002" w:type="pct"/>
          </w:tcPr>
          <w:p w:rsidR="009D564D" w:rsidRPr="003F2C24" w:rsidRDefault="009D564D" w:rsidP="0088782C">
            <w:r w:rsidRPr="003F2C24">
              <w:t>40</w:t>
            </w:r>
          </w:p>
          <w:p w:rsidR="009D564D" w:rsidRPr="003F2C24" w:rsidRDefault="009D564D" w:rsidP="0088782C">
            <w:r w:rsidRPr="003F2C24">
              <w:t>21</w:t>
            </w:r>
          </w:p>
          <w:p w:rsidR="009D564D" w:rsidRPr="003F2C24" w:rsidRDefault="009D564D" w:rsidP="0088782C">
            <w:r w:rsidRPr="003F2C24">
              <w:t>17</w:t>
            </w:r>
          </w:p>
          <w:p w:rsidR="009D564D" w:rsidRDefault="009D564D" w:rsidP="0088782C">
            <w:r w:rsidRPr="003F2C24">
              <w:t>11</w:t>
            </w:r>
          </w:p>
          <w:p w:rsidR="009D564D" w:rsidRPr="003F2C24" w:rsidRDefault="009D564D" w:rsidP="0088782C">
            <w:r w:rsidRPr="003F2C24">
              <w:t>11</w:t>
            </w:r>
          </w:p>
        </w:tc>
        <w:tc>
          <w:tcPr>
            <w:tcW w:w="1002" w:type="pct"/>
          </w:tcPr>
          <w:p w:rsidR="009D564D" w:rsidRPr="003F2C24" w:rsidRDefault="009D564D" w:rsidP="0088782C">
            <w:r w:rsidRPr="003F2C24">
              <w:t>39</w:t>
            </w:r>
          </w:p>
          <w:p w:rsidR="009D564D" w:rsidRPr="003F2C24" w:rsidRDefault="009D564D" w:rsidP="0088782C">
            <w:r w:rsidRPr="003F2C24">
              <w:t>21</w:t>
            </w:r>
          </w:p>
          <w:p w:rsidR="009D564D" w:rsidRPr="003F2C24" w:rsidRDefault="009D564D" w:rsidP="0088782C">
            <w:r w:rsidRPr="003F2C24">
              <w:t>18</w:t>
            </w:r>
          </w:p>
          <w:p w:rsidR="009D564D" w:rsidRDefault="009D564D" w:rsidP="0088782C">
            <w:r w:rsidRPr="003F2C24">
              <w:t>11</w:t>
            </w:r>
          </w:p>
          <w:p w:rsidR="009D564D" w:rsidRPr="003F2C24" w:rsidRDefault="009D564D" w:rsidP="0088782C">
            <w:r w:rsidRPr="003F2C24">
              <w:t>11</w:t>
            </w:r>
          </w:p>
        </w:tc>
      </w:tr>
    </w:tbl>
    <w:p w:rsidR="009D564D" w:rsidRPr="003F2C24" w:rsidRDefault="009D564D" w:rsidP="009D564D">
      <w:pPr>
        <w:spacing w:before="120"/>
        <w:ind w:firstLine="567"/>
        <w:jc w:val="both"/>
      </w:pPr>
      <w:r w:rsidRPr="003F2C24">
        <w:t>Однако, не желая мириться с необоснованным господством доллара на мировом валютном рынке и перекладывать проблемы экономики США на свои плечи, европейские страны ещё в период подготовки Ямайского международного соглашения в 70-е годы параллельно стали</w:t>
      </w:r>
      <w:r>
        <w:t xml:space="preserve"> </w:t>
      </w:r>
      <w:r w:rsidRPr="003F2C24">
        <w:t>предпринимать активные действия по созданию своей автономной Европейской валютной системы. И в 1979 году она была создана и в качестве средства для международных расчетов введена новая валюта – ЭКЮ.</w:t>
      </w:r>
    </w:p>
    <w:p w:rsidR="009D564D" w:rsidRPr="003F2C24" w:rsidRDefault="009D564D" w:rsidP="009D564D">
      <w:pPr>
        <w:spacing w:before="120"/>
        <w:ind w:firstLine="567"/>
        <w:jc w:val="both"/>
      </w:pPr>
      <w:r w:rsidRPr="003F2C24">
        <w:t>ЭКЮ - (от англ.-еuropean сurrency Unit) - представляет собой региональную международную валютную единицу, используемую странами - участниками ЕС с 13 марта 1979 года. ЭКЮ имеет определенный валютный курс, рассчитываемый на базе валютной корзины национальных валют 9, а к 1995 году уже 15, стран-участниц ЕЭС. Доли отдельных стран в корзине периодически корректировались. Вес каждой валюты в корзине определяется в зависимости от доли, которой располагает государство в валовом национальном продукте ЕС. Однако в 1993 году удельный вес каждой из валют был заморожен и составлял для немецкой марки – 31,49%, французского франка – 20,05%, греческой драхмы – 0,41% и т.д.</w:t>
      </w:r>
    </w:p>
    <w:p w:rsidR="009D564D" w:rsidRPr="003F2C24" w:rsidRDefault="009D564D" w:rsidP="009D564D">
      <w:pPr>
        <w:spacing w:before="120"/>
        <w:ind w:firstLine="567"/>
        <w:jc w:val="both"/>
      </w:pPr>
      <w:r w:rsidRPr="003F2C24">
        <w:t xml:space="preserve">В отличие от СДР эмиссия официальных ЭКЮ частично была обеспечена золотом и долларами. Объем эмиссии ЭКЮ превышал выпуск СДР. Так же как и СДР, ЭКЮ представлена в безналичной форме - как запись на счетах центральных (или коммерческих) банков при безналичных перечислениях по ним. Половина выпущенных ЭКЮ обеспечивалась отчислениями от золотых и долларовых запасов, а остальная - национальными валютами стран. </w:t>
      </w:r>
    </w:p>
    <w:p w:rsidR="009D564D" w:rsidRPr="003F2C24" w:rsidRDefault="009D564D" w:rsidP="009D564D">
      <w:pPr>
        <w:spacing w:before="120"/>
        <w:ind w:firstLine="567"/>
        <w:jc w:val="both"/>
      </w:pPr>
      <w:r w:rsidRPr="003F2C24">
        <w:t>В Европейской валютной системе (ЕВС) установлен главный курс каждой валюты членов ЕС, выраженный в ЭКЮ. На основе этого главного курса рассчитываются взаимные курсы валют вновь входящих в неё стран, от которых фактические курсы могут отклоняться в пределах не более 2,25% (с 1993 г. – в пределах 15%).</w:t>
      </w:r>
    </w:p>
    <w:p w:rsidR="009D564D" w:rsidRPr="003F2C24" w:rsidRDefault="009D564D" w:rsidP="009D564D">
      <w:pPr>
        <w:spacing w:before="120"/>
        <w:ind w:firstLine="567"/>
        <w:jc w:val="both"/>
      </w:pPr>
      <w:r w:rsidRPr="003F2C24">
        <w:t>В феврале 1992 года в Нидерландах страны ЕС подписали Маастрихтский договор о новой стратегии европейской интеграции, который и дал толчок перехода стран ЕС на единую валюту, но он также определил критерии «пропуска» стран ЕС в зону единой валюты:</w:t>
      </w:r>
    </w:p>
    <w:p w:rsidR="009D564D" w:rsidRPr="003F2C24" w:rsidRDefault="009D564D" w:rsidP="009D564D">
      <w:pPr>
        <w:spacing w:before="120"/>
        <w:ind w:firstLine="567"/>
        <w:jc w:val="both"/>
      </w:pPr>
      <w:r w:rsidRPr="003F2C24">
        <w:t>Дефицит бюджета – не более 3% ВВП;</w:t>
      </w:r>
    </w:p>
    <w:p w:rsidR="009D564D" w:rsidRPr="003F2C24" w:rsidRDefault="009D564D" w:rsidP="009D564D">
      <w:pPr>
        <w:spacing w:before="120"/>
        <w:ind w:firstLine="567"/>
        <w:jc w:val="both"/>
      </w:pPr>
      <w:r w:rsidRPr="003F2C24">
        <w:t>Госдолг – не более 60%ВВП;</w:t>
      </w:r>
    </w:p>
    <w:p w:rsidR="009D564D" w:rsidRPr="003F2C24" w:rsidRDefault="009D564D" w:rsidP="009D564D">
      <w:pPr>
        <w:spacing w:before="120"/>
        <w:ind w:firstLine="567"/>
        <w:jc w:val="both"/>
      </w:pPr>
      <w:r w:rsidRPr="003F2C24">
        <w:t>Темп инфляции – не более чем на 1,5% выше среднего темпа инфляции трёх стран ЕС с наименьшим ростом цен и т.д.</w:t>
      </w:r>
    </w:p>
    <w:p w:rsidR="009D564D" w:rsidRPr="003F2C24" w:rsidRDefault="009D564D" w:rsidP="009D564D">
      <w:pPr>
        <w:spacing w:before="120"/>
        <w:ind w:firstLine="567"/>
        <w:jc w:val="both"/>
      </w:pPr>
      <w:r w:rsidRPr="003F2C24">
        <w:t>В декабре 1995 года в Мадриде Совет Европы представил странам ЕС план перехода на единую валюту, названную «ЕВРО». Полная замену ЭКЮ на евро произошла с 01.01.1999 года, выпуск наличной евро с 01.01.2002 года, а прекращение обращения национальных валют стран ЕС с 01.07.2002 года. Но не все страны – участницы ЕС перешли на евро, такие как Великобритания, Дания и Швеция приняли евро, но от своей национальной валюты не отказались.</w:t>
      </w:r>
    </w:p>
    <w:p w:rsidR="009D564D" w:rsidRPr="003F2C24" w:rsidRDefault="009D564D" w:rsidP="009D564D">
      <w:pPr>
        <w:spacing w:before="120"/>
        <w:ind w:firstLine="567"/>
        <w:jc w:val="both"/>
      </w:pPr>
      <w:r w:rsidRPr="003F2C24">
        <w:t>Таблица 2</w:t>
      </w:r>
    </w:p>
    <w:p w:rsidR="009D564D" w:rsidRPr="003F2C24" w:rsidRDefault="009D564D" w:rsidP="009D564D">
      <w:pPr>
        <w:spacing w:before="120"/>
        <w:ind w:firstLine="567"/>
        <w:jc w:val="both"/>
      </w:pPr>
      <w:r w:rsidRPr="003F2C24">
        <w:t>Зафиксированные обменные курсы валют на евро 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5102"/>
        <w:gridCol w:w="2243"/>
      </w:tblGrid>
      <w:tr w:rsidR="009D564D" w:rsidRPr="003F2C24" w:rsidTr="0088782C">
        <w:tc>
          <w:tcPr>
            <w:tcW w:w="1273" w:type="pct"/>
          </w:tcPr>
          <w:p w:rsidR="009D564D" w:rsidRPr="003F2C24" w:rsidRDefault="009D564D" w:rsidP="0088782C">
            <w:r w:rsidRPr="003F2C24">
              <w:t>Страна</w:t>
            </w:r>
          </w:p>
        </w:tc>
        <w:tc>
          <w:tcPr>
            <w:tcW w:w="2588" w:type="pct"/>
          </w:tcPr>
          <w:p w:rsidR="009D564D" w:rsidRPr="003F2C24" w:rsidRDefault="009D564D" w:rsidP="0088782C">
            <w:r w:rsidRPr="003F2C24">
              <w:t>Национальная валюта</w:t>
            </w:r>
          </w:p>
        </w:tc>
        <w:tc>
          <w:tcPr>
            <w:tcW w:w="1138" w:type="pct"/>
          </w:tcPr>
          <w:p w:rsidR="009D564D" w:rsidRPr="003F2C24" w:rsidRDefault="009D564D" w:rsidP="0088782C">
            <w:r w:rsidRPr="003F2C24">
              <w:t>За 1 евро</w:t>
            </w:r>
          </w:p>
        </w:tc>
      </w:tr>
      <w:tr w:rsidR="009D564D" w:rsidRPr="003F2C24" w:rsidTr="0088782C">
        <w:tc>
          <w:tcPr>
            <w:tcW w:w="1273" w:type="pct"/>
          </w:tcPr>
          <w:p w:rsidR="009D564D" w:rsidRPr="003F2C24" w:rsidRDefault="009D564D" w:rsidP="0088782C">
            <w:r w:rsidRPr="003F2C24">
              <w:t>Автсрия</w:t>
            </w:r>
          </w:p>
          <w:p w:rsidR="009D564D" w:rsidRPr="003F2C24" w:rsidRDefault="009D564D" w:rsidP="0088782C">
            <w:r w:rsidRPr="003F2C24">
              <w:t>Бельгия</w:t>
            </w:r>
          </w:p>
          <w:p w:rsidR="009D564D" w:rsidRPr="003F2C24" w:rsidRDefault="009D564D" w:rsidP="0088782C">
            <w:r w:rsidRPr="003F2C24">
              <w:t>Германия</w:t>
            </w:r>
          </w:p>
          <w:p w:rsidR="009D564D" w:rsidRPr="003F2C24" w:rsidRDefault="009D564D" w:rsidP="0088782C">
            <w:r w:rsidRPr="003F2C24">
              <w:t>Ирландия</w:t>
            </w:r>
          </w:p>
          <w:p w:rsidR="009D564D" w:rsidRPr="003F2C24" w:rsidRDefault="009D564D" w:rsidP="0088782C">
            <w:r w:rsidRPr="003F2C24">
              <w:t>Испания</w:t>
            </w:r>
          </w:p>
          <w:p w:rsidR="009D564D" w:rsidRPr="003F2C24" w:rsidRDefault="009D564D" w:rsidP="0088782C">
            <w:r w:rsidRPr="003F2C24">
              <w:t>Италия</w:t>
            </w:r>
          </w:p>
          <w:p w:rsidR="009D564D" w:rsidRPr="003F2C24" w:rsidRDefault="009D564D" w:rsidP="0088782C">
            <w:r w:rsidRPr="003F2C24">
              <w:t>Франция и т.д.</w:t>
            </w:r>
          </w:p>
        </w:tc>
        <w:tc>
          <w:tcPr>
            <w:tcW w:w="2588" w:type="pct"/>
          </w:tcPr>
          <w:p w:rsidR="009D564D" w:rsidRPr="003F2C24" w:rsidRDefault="009D564D" w:rsidP="0088782C">
            <w:r w:rsidRPr="003F2C24">
              <w:t>Австр. Шиллинг</w:t>
            </w:r>
          </w:p>
          <w:p w:rsidR="009D564D" w:rsidRPr="003F2C24" w:rsidRDefault="009D564D" w:rsidP="0088782C">
            <w:r w:rsidRPr="003F2C24">
              <w:t>Бельг.франк</w:t>
            </w:r>
          </w:p>
          <w:p w:rsidR="009D564D" w:rsidRPr="003F2C24" w:rsidRDefault="009D564D" w:rsidP="0088782C">
            <w:r w:rsidRPr="003F2C24">
              <w:t>Нем.марка</w:t>
            </w:r>
          </w:p>
          <w:p w:rsidR="009D564D" w:rsidRPr="003F2C24" w:rsidRDefault="009D564D" w:rsidP="0088782C">
            <w:r w:rsidRPr="003F2C24">
              <w:t>Ирланд.фунт</w:t>
            </w:r>
          </w:p>
          <w:p w:rsidR="009D564D" w:rsidRPr="003F2C24" w:rsidRDefault="009D564D" w:rsidP="0088782C">
            <w:r w:rsidRPr="003F2C24">
              <w:t>Испан.пессет</w:t>
            </w:r>
          </w:p>
          <w:p w:rsidR="009D564D" w:rsidRPr="003F2C24" w:rsidRDefault="009D564D" w:rsidP="0088782C">
            <w:r w:rsidRPr="003F2C24">
              <w:t>Итал.лира</w:t>
            </w:r>
          </w:p>
          <w:p w:rsidR="009D564D" w:rsidRPr="003F2C24" w:rsidRDefault="009D564D" w:rsidP="0088782C">
            <w:r w:rsidRPr="003F2C24">
              <w:t>Франц.франк</w:t>
            </w:r>
          </w:p>
        </w:tc>
        <w:tc>
          <w:tcPr>
            <w:tcW w:w="1138" w:type="pct"/>
          </w:tcPr>
          <w:p w:rsidR="009D564D" w:rsidRPr="003F2C24" w:rsidRDefault="009D564D" w:rsidP="0088782C">
            <w:r w:rsidRPr="003F2C24">
              <w:t>13,7603</w:t>
            </w:r>
          </w:p>
          <w:p w:rsidR="009D564D" w:rsidRPr="003F2C24" w:rsidRDefault="009D564D" w:rsidP="0088782C">
            <w:r w:rsidRPr="003F2C24">
              <w:t>40,3399</w:t>
            </w:r>
          </w:p>
          <w:p w:rsidR="009D564D" w:rsidRPr="003F2C24" w:rsidRDefault="009D564D" w:rsidP="0088782C">
            <w:r w:rsidRPr="003F2C24">
              <w:t>1,9583</w:t>
            </w:r>
          </w:p>
          <w:p w:rsidR="009D564D" w:rsidRPr="003F2C24" w:rsidRDefault="009D564D" w:rsidP="0088782C">
            <w:r w:rsidRPr="003F2C24">
              <w:t>0,787564</w:t>
            </w:r>
          </w:p>
          <w:p w:rsidR="009D564D" w:rsidRPr="003F2C24" w:rsidRDefault="009D564D" w:rsidP="0088782C">
            <w:r w:rsidRPr="003F2C24">
              <w:t>166,386</w:t>
            </w:r>
          </w:p>
          <w:p w:rsidR="009D564D" w:rsidRPr="003F2C24" w:rsidRDefault="009D564D" w:rsidP="0088782C">
            <w:r w:rsidRPr="003F2C24">
              <w:t>1936,27</w:t>
            </w:r>
          </w:p>
          <w:p w:rsidR="009D564D" w:rsidRPr="003F2C24" w:rsidRDefault="009D564D" w:rsidP="0088782C">
            <w:r w:rsidRPr="003F2C24">
              <w:t>6,55957</w:t>
            </w:r>
          </w:p>
        </w:tc>
      </w:tr>
    </w:tbl>
    <w:p w:rsidR="009D564D" w:rsidRPr="003F2C24" w:rsidRDefault="009D564D" w:rsidP="009D564D">
      <w:pPr>
        <w:spacing w:before="120"/>
        <w:ind w:firstLine="567"/>
        <w:jc w:val="both"/>
      </w:pPr>
    </w:p>
    <w:p w:rsidR="009D564D" w:rsidRPr="003F2C24" w:rsidRDefault="009D564D" w:rsidP="009D564D">
      <w:pPr>
        <w:spacing w:before="120"/>
        <w:ind w:firstLine="567"/>
        <w:jc w:val="both"/>
      </w:pPr>
      <w:r w:rsidRPr="003F2C24">
        <w:t>2. По сфере и режиму применения</w:t>
      </w:r>
    </w:p>
    <w:p w:rsidR="009D564D" w:rsidRPr="003F2C24" w:rsidRDefault="009D564D" w:rsidP="009D564D">
      <w:pPr>
        <w:spacing w:before="120"/>
        <w:ind w:firstLine="567"/>
        <w:jc w:val="both"/>
      </w:pPr>
      <w:r w:rsidRPr="003F2C24">
        <w:t>Другим основанием классификации валюты является сфера и режим применения, в зависимости от которого валюта подразделяется на свободно конвертируемую, частично конвертируемую и неконвертируемую.</w:t>
      </w:r>
    </w:p>
    <w:p w:rsidR="009D564D" w:rsidRPr="003F2C24" w:rsidRDefault="009D564D" w:rsidP="009D564D">
      <w:pPr>
        <w:spacing w:before="120"/>
        <w:ind w:firstLine="567"/>
        <w:jc w:val="both"/>
      </w:pPr>
      <w:r w:rsidRPr="003F2C24">
        <w:t>а) Свободно конвертируемая валюта - (англ. hard currency) - денежные единицы, свободно и неограниченно обмениваемые на другие иностранные валюты и международные платежные средства, в любой форме и во всех видах операций.</w:t>
      </w:r>
    </w:p>
    <w:p w:rsidR="009D564D" w:rsidRPr="003F2C24" w:rsidRDefault="009D564D" w:rsidP="009D564D">
      <w:pPr>
        <w:spacing w:before="120"/>
        <w:ind w:firstLine="567"/>
        <w:jc w:val="both"/>
      </w:pPr>
      <w:r w:rsidRPr="003F2C24">
        <w:t>В период действия золотого стандарта конвертируемой автоматически становилась та валюта, которая могла свободно размениваться на золото. После отмены золотого содержания всех валют и их золотых паритетов в начале 70-х годов конвертируемость понимается как способность свободно продаваться и покупаться, обмениваться по действующему валютному курсу, использоваться для создания различного рода финансовых активов.</w:t>
      </w:r>
    </w:p>
    <w:p w:rsidR="009D564D" w:rsidRPr="003F2C24" w:rsidRDefault="009D564D" w:rsidP="009D564D">
      <w:pPr>
        <w:spacing w:before="120"/>
        <w:ind w:firstLine="567"/>
        <w:jc w:val="both"/>
      </w:pPr>
      <w:r w:rsidRPr="003F2C24">
        <w:t>Если МВФ одобряет и дает согласие на использование валюты той или иной страны в качестве свободно конвертируемой, то это означает, что свободно конвертируемая валюта может быть использована во всех видах международных банковских и финансовых операциях как резидентами, так и нерезидентами. В настоящий период несколько валют признаны полностью конвертируемыми. В эту категорию входят: доллар США, Евро, фунт стерлингов и японская иена. Эти валюты наиболее активно используются в международных расчетах и всегда имеются в достаточном количестве на мировом валютном рынке и накапливаются в валютных резервах стран мира. Режим функционирования свободно конвертируемой валюты на практике означает отсутствие каких-либо валютных ограничений.</w:t>
      </w:r>
    </w:p>
    <w:p w:rsidR="009D564D" w:rsidRPr="003F2C24" w:rsidRDefault="009D564D" w:rsidP="009D564D">
      <w:pPr>
        <w:spacing w:before="120"/>
        <w:ind w:firstLine="567"/>
        <w:jc w:val="both"/>
      </w:pPr>
      <w:r w:rsidRPr="003F2C24">
        <w:t>б) Частично конвертируемая валюта (англ. partially convertible currency) - это национальная валюта стран, конвертируемость которых в той или иной степени ограничена для определенных держателей, а также и по отдельным видам обменных операций. Этот вид валюты обменивается только на некоторые иностранные валюты и используется не во всех внешнеторговых сделках. В эту группу входят валюты большинства развитых и развивающихся стран. Степень конвертируемости определяется государством в специальных законодательных актах. Законом устанавливается порядок и перечень иностранных валют, на которые может обмениваться национальная валюта, а также количественное выражение такого обмена, разрешается купля-продажа валюты на валютных рынках, указывается круг субъектов таких сделок (т.е. резиденты, нерезиденты, те или другие предприятия, банки, международные организации и т.п.). Закон регулирует также круг и степень ограничения валютно-обменных операций, условия и порядок их осуществления. Прежде всего это касается внешнеторговых сделок, купли-продажи валюты,</w:t>
      </w:r>
      <w:r>
        <w:t xml:space="preserve"> </w:t>
      </w:r>
      <w:r w:rsidRPr="003F2C24">
        <w:t>и открытия валютных счетов.</w:t>
      </w:r>
    </w:p>
    <w:p w:rsidR="009D564D" w:rsidRPr="003F2C24" w:rsidRDefault="009D564D" w:rsidP="009D564D">
      <w:pPr>
        <w:spacing w:before="120"/>
        <w:ind w:firstLine="567"/>
        <w:jc w:val="both"/>
      </w:pPr>
      <w:r w:rsidRPr="003F2C24">
        <w:t>В зависимости от широты операций, связанных с использованием валюты, выделяют понятия:</w:t>
      </w:r>
    </w:p>
    <w:p w:rsidR="009D564D" w:rsidRPr="003F2C24" w:rsidRDefault="009D564D" w:rsidP="009D564D">
      <w:pPr>
        <w:spacing w:before="120"/>
        <w:ind w:firstLine="567"/>
        <w:jc w:val="both"/>
      </w:pPr>
      <w:r w:rsidRPr="003F2C24">
        <w:t>внешней конвертируемости, которая распространяется только на иностранных физических и юридических лиц и только в текущих, а чаще всего - лишь во внешнеторговых расчетах;</w:t>
      </w:r>
    </w:p>
    <w:p w:rsidR="009D564D" w:rsidRPr="003F2C24" w:rsidRDefault="009D564D" w:rsidP="009D564D">
      <w:pPr>
        <w:spacing w:before="120"/>
        <w:ind w:firstLine="567"/>
        <w:jc w:val="both"/>
      </w:pPr>
      <w:r w:rsidRPr="003F2C24">
        <w:t>а также внутренней конвертируемости национальной валюты, под которым подразумевают возможность для граждан и организаций данной страны производить покупку иностранной валюты за национальную и оплачивать внешнеторговые сделки без ограничений.</w:t>
      </w:r>
    </w:p>
    <w:p w:rsidR="009D564D" w:rsidRPr="003F2C24" w:rsidRDefault="009D564D" w:rsidP="009D564D">
      <w:pPr>
        <w:spacing w:before="120"/>
        <w:ind w:firstLine="567"/>
        <w:jc w:val="both"/>
      </w:pPr>
      <w:r w:rsidRPr="003F2C24">
        <w:t>в) Неконвертируемая валюта (от англ. inconvertible currency) – ещё её называют замкнутая валюта; это национальная валюта, функционирующая в пределах одной страны и не подлежащая обмену на другие иностранные валюты. К замкнутым валютам относятся валюты стран, которые устанавливают различные ограничения и запреты на покупку и продажу иностранной валюты, на ввоз и вывоз национальной и иностранной валюты, а также применяют иные меры валютного регулирования.</w:t>
      </w:r>
    </w:p>
    <w:p w:rsidR="009D564D" w:rsidRPr="003F2C24" w:rsidRDefault="009D564D" w:rsidP="009D564D">
      <w:pPr>
        <w:spacing w:before="120"/>
        <w:ind w:firstLine="567"/>
        <w:jc w:val="both"/>
      </w:pPr>
      <w:r w:rsidRPr="003F2C24">
        <w:t>3. По функциональной роли валюты</w:t>
      </w:r>
    </w:p>
    <w:p w:rsidR="009D564D" w:rsidRPr="003F2C24" w:rsidRDefault="009D564D" w:rsidP="009D564D">
      <w:pPr>
        <w:spacing w:before="120"/>
        <w:ind w:firstLine="567"/>
        <w:jc w:val="both"/>
      </w:pPr>
      <w:r w:rsidRPr="003F2C24">
        <w:t>При осуществлении валютных операций (внешнеторговые контракты, валютные кредиты, купля-продажа валюты, обязательства, двухсторонние расчеты между странами - клиринг и др.) возникла необходимость выделения определенных терминов, характеризующих положение и функциональную роль той или иной валюты, используемой в этих операциях. С этой точки зрения, в валютных отношениях используют следующие термины: валюта цены, валюта платежа, валюта кредита, валюта погашения кредита, валюта векселя, валюта клиринга и др.</w:t>
      </w:r>
    </w:p>
    <w:p w:rsidR="009D564D" w:rsidRPr="003F2C24" w:rsidRDefault="009D564D" w:rsidP="009D564D">
      <w:pPr>
        <w:spacing w:before="120"/>
        <w:ind w:firstLine="567"/>
        <w:jc w:val="both"/>
      </w:pPr>
      <w:r w:rsidRPr="003F2C24">
        <w:t>Валюта цены (также называется валютой сделки) - это одно из условий, наряду с валютой платежа, которые обычно согласовываются между экспортером и импортером и фиксируются во внешнеторговом контракте и обозначает денежную единицу, в которой выражена цена товара во внешнеторговом контракте или устанавливается сумма предоставленного международного кредита. Валютой цены может быть валюта экспортера или импортера, кредитора или заемщика, а также валюта третьих стран или какая-либо международная счетная единица. Как правило, в качестве валюты цены в международных контрактах с организациями и фирмами зарубежных стран используют обычно 6-8 конвертируемых валют (чаще всего доллар США, фунт стерлингов или евро). Соглашение о валюте цены контракта осуществляется с целью страхования риска изменения курса валюты платежа.</w:t>
      </w:r>
    </w:p>
    <w:p w:rsidR="009D564D" w:rsidRPr="003F2C24" w:rsidRDefault="009D564D" w:rsidP="009D564D">
      <w:pPr>
        <w:spacing w:before="120"/>
        <w:ind w:firstLine="567"/>
        <w:jc w:val="both"/>
      </w:pPr>
      <w:r w:rsidRPr="003F2C24">
        <w:t>Валюта платежа - это валюта, в которой происходит фактическая оплата товара во внешнеторговой сделке или погашение международного кредита. В этом качестве может выступать любая валюта, согласованная между контрагентами. При расчетах в свободно конвертируемой валюте в торгово-экономических отношениях</w:t>
      </w:r>
      <w:r>
        <w:t xml:space="preserve"> </w:t>
      </w:r>
      <w:r w:rsidRPr="003F2C24">
        <w:t>с развитыми западными странами, как правило, применяются национальные валюты этих стран. В торговле между развивающимися странами используются валюты развитых стран.</w:t>
      </w:r>
    </w:p>
    <w:p w:rsidR="009D564D" w:rsidRPr="003F2C24" w:rsidRDefault="009D564D" w:rsidP="009D564D">
      <w:pPr>
        <w:spacing w:before="120"/>
        <w:ind w:firstLine="567"/>
        <w:jc w:val="both"/>
      </w:pPr>
      <w:r w:rsidRPr="003F2C24">
        <w:t>Валюта платежа может совпадать с валютой сделки, но может и отличаться от последней. В последнем случае в контракте предусматривается порядок определения курса пересчета валюты сделки в валюту платежа, указывая при этом:</w:t>
      </w:r>
    </w:p>
    <w:p w:rsidR="009D564D" w:rsidRPr="003F2C24" w:rsidRDefault="009D564D" w:rsidP="009D564D">
      <w:pPr>
        <w:spacing w:before="120"/>
        <w:ind w:firstLine="567"/>
        <w:jc w:val="both"/>
      </w:pPr>
      <w:r w:rsidRPr="003F2C24">
        <w:t>дату пересчета (на день платежа или на день, предшествующий дню платежа);</w:t>
      </w:r>
    </w:p>
    <w:p w:rsidR="009D564D" w:rsidRPr="003F2C24" w:rsidRDefault="009D564D" w:rsidP="009D564D">
      <w:pPr>
        <w:spacing w:before="120"/>
        <w:ind w:firstLine="567"/>
        <w:jc w:val="both"/>
      </w:pPr>
      <w:r w:rsidRPr="003F2C24">
        <w:t>валютный рынок, котировки которого принимаются за основу;</w:t>
      </w:r>
    </w:p>
    <w:p w:rsidR="009D564D" w:rsidRPr="003F2C24" w:rsidRDefault="009D564D" w:rsidP="009D564D">
      <w:pPr>
        <w:spacing w:before="120"/>
        <w:ind w:firstLine="567"/>
        <w:jc w:val="both"/>
      </w:pPr>
      <w:r w:rsidRPr="003F2C24">
        <w:t>обычно средний курс между курсами продавца и покупателя (или один из них).</w:t>
      </w:r>
    </w:p>
    <w:p w:rsidR="009D564D" w:rsidRPr="003F2C24" w:rsidRDefault="009D564D" w:rsidP="009D564D">
      <w:pPr>
        <w:spacing w:before="120"/>
        <w:ind w:firstLine="567"/>
        <w:jc w:val="both"/>
      </w:pPr>
      <w:r w:rsidRPr="003F2C24">
        <w:t>Валюта кредита указывает денежную единицу, в которой предоставляются экспортные кредиты. Как правило, они предоставляются в национальных валютах экспортера или импортера, однако в последние годы кредиты стали предоставляться и в валютах третьих стран или в международных расчетных единицах. В конечном счете выбор валюты кредита по экспортно-импортным операциям является предметом переговоров. Состояние валюты кредита оказывает непосредственное влияние на уровень процентных ставок по кредитам и на стоимости сделки. Это связано с существованием так называемых «сильных» и «слабых» валют. Если кредит предоставляется в «слабых» валютах, курсы которых имеют общую тенденцию к понижению, то кредиторы несут риск обесценивания задолженности, а следовательно, определенных убытков. Если кредит предоставляется в «сильных» валютах ($ США или евро) курсы которых постоянно повышаются, то риск убытков в связи с увеличением суммы задолженности несут заемщики.</w:t>
      </w:r>
    </w:p>
    <w:p w:rsidR="009D564D" w:rsidRPr="003F2C24" w:rsidRDefault="009D564D" w:rsidP="009D564D">
      <w:pPr>
        <w:spacing w:before="120"/>
        <w:ind w:firstLine="567"/>
        <w:jc w:val="both"/>
      </w:pPr>
      <w:r w:rsidRPr="003F2C24">
        <w:t>Валюта клиринга используется при осуществлении межправительственных соглашений об обязательном зачете встречных требований и обязательств, вытекающих из стоимостного равенства товарных поставок и оказываемых услуг (клиринг). При расчетах по клирингу валюта платежа совпадает с валютой клиринга. В настоящее время Россия осуществляет клиринговые соглашения с Индией, Ираном, Египтом, Сирией. Система валютного клиринга предусматривает наличие ряда обязательных элементов, оговариваемых в межправительственных соглашениях: систему клиринговых счетов, объем клиринга, валюту клиринга, систему выравнивания платежей, схему окончательного погашения задолженности по истечению срока межгосударственного клирингового соглашения с переходом к расчетам в свободно конвертируемой валюте.</w:t>
      </w:r>
    </w:p>
    <w:p w:rsidR="009D564D" w:rsidRDefault="009D564D" w:rsidP="009D564D">
      <w:pPr>
        <w:spacing w:before="120"/>
        <w:ind w:firstLine="567"/>
        <w:jc w:val="both"/>
      </w:pPr>
      <w:r w:rsidRPr="003F2C24">
        <w:t>Валюта векселя - это денежная единица, в которой выставлен вексель. Обычно во внутреннем обороте векселя выставляют в национальной валюте, а в международном обороте - в валюте страны должника, кредитора либо третьей страны. Вексель - один их видов ценной бумаги, означающий письменное долговое обязательство и в современных условиях является одним из важнейших инструментов расчетов и кредитования, используемых в международной торговле. В соответствии с Женевской конвенцией о векселях 1930 года вексель должен иметь обязательные реквизиты: вексельную метку - наименование «вексель» в тексте документа; безусловный приказ или обязательство уплатить определенную сумму; наименование плательщика и первого держателя; срок и место платежа; дата и место составления документа; подпись векселедателя. Российские организации также активно используют вексельные обязательства в экспортно-импортных операциях.</w:t>
      </w:r>
    </w:p>
    <w:p w:rsidR="009D564D" w:rsidRPr="000E06A0" w:rsidRDefault="009D564D" w:rsidP="009D564D">
      <w:pPr>
        <w:spacing w:before="120"/>
        <w:jc w:val="center"/>
        <w:rPr>
          <w:b/>
          <w:bCs/>
          <w:sz w:val="28"/>
          <w:szCs w:val="28"/>
        </w:rPr>
      </w:pPr>
      <w:r w:rsidRPr="000E06A0">
        <w:rPr>
          <w:b/>
          <w:bCs/>
          <w:sz w:val="28"/>
          <w:szCs w:val="28"/>
        </w:rPr>
        <w:t>Глава 2. Валютный курс</w:t>
      </w:r>
    </w:p>
    <w:p w:rsidR="009D564D" w:rsidRPr="000E06A0" w:rsidRDefault="009D564D" w:rsidP="009D564D">
      <w:pPr>
        <w:spacing w:before="120"/>
        <w:jc w:val="center"/>
        <w:rPr>
          <w:b/>
          <w:bCs/>
          <w:sz w:val="28"/>
          <w:szCs w:val="28"/>
        </w:rPr>
      </w:pPr>
      <w:r w:rsidRPr="000E06A0">
        <w:rPr>
          <w:b/>
          <w:bCs/>
          <w:sz w:val="28"/>
          <w:szCs w:val="28"/>
        </w:rPr>
        <w:t>2.1 Сущность и основы валютного курса</w:t>
      </w:r>
    </w:p>
    <w:p w:rsidR="009D564D" w:rsidRPr="003F2C24" w:rsidRDefault="009D564D" w:rsidP="009D564D">
      <w:pPr>
        <w:spacing w:before="120"/>
        <w:ind w:firstLine="567"/>
        <w:jc w:val="both"/>
      </w:pPr>
      <w:r w:rsidRPr="003F2C24">
        <w:t>Международные экономические операции тесно связаны с обменом национальных валют. Этот обмен происходит по определенному соотношению, т.е. валютному курсу.</w:t>
      </w:r>
    </w:p>
    <w:p w:rsidR="009D564D" w:rsidRPr="003F2C24" w:rsidRDefault="009D564D" w:rsidP="009D564D">
      <w:pPr>
        <w:spacing w:before="120"/>
        <w:ind w:firstLine="567"/>
        <w:jc w:val="both"/>
      </w:pPr>
      <w:r w:rsidRPr="003F2C24">
        <w:t>Валютный курс – это цена денежной единицы одной страны, выраженная в денежной единице другой страны или международной коллективной валюте.</w:t>
      </w:r>
    </w:p>
    <w:p w:rsidR="009D564D" w:rsidRPr="003F2C24" w:rsidRDefault="009D564D" w:rsidP="009D564D">
      <w:pPr>
        <w:spacing w:before="120"/>
        <w:ind w:firstLine="567"/>
        <w:jc w:val="both"/>
      </w:pPr>
      <w:r w:rsidRPr="003F2C24">
        <w:t>Валютный курс необходим для международных валютных, расчетных, кредитно-финансовых операций. Например, импортер приобретает иностранную валюту для оплаты купленных за рубежом товаров.</w:t>
      </w:r>
    </w:p>
    <w:p w:rsidR="009D564D" w:rsidRPr="003F2C24" w:rsidRDefault="009D564D" w:rsidP="009D564D">
      <w:pPr>
        <w:spacing w:before="120"/>
        <w:ind w:firstLine="567"/>
        <w:jc w:val="both"/>
      </w:pPr>
      <w:r w:rsidRPr="003F2C24">
        <w:t>Установление валютного курса называют котировкой валюты, которая может быть прямой и обратной.</w:t>
      </w:r>
    </w:p>
    <w:p w:rsidR="009D564D" w:rsidRPr="003F2C24" w:rsidRDefault="009D564D" w:rsidP="009D564D">
      <w:pPr>
        <w:spacing w:before="120"/>
        <w:ind w:firstLine="567"/>
        <w:jc w:val="both"/>
      </w:pPr>
      <w:r w:rsidRPr="003F2C24">
        <w:t>Прямая котировка – это выражение цены иностранной валюты в национальных денежных единицах (например, 1 $ =29 руб.).</w:t>
      </w:r>
    </w:p>
    <w:p w:rsidR="009D564D" w:rsidRPr="003F2C24" w:rsidRDefault="009D564D" w:rsidP="009D564D">
      <w:pPr>
        <w:spacing w:before="120"/>
        <w:ind w:firstLine="567"/>
        <w:jc w:val="both"/>
      </w:pPr>
      <w:r w:rsidRPr="003F2C24">
        <w:t>Обратная котировка – это выражение цены национальной денежной единицы в иностранной валюте (1 руб.=0,03448$).</w:t>
      </w:r>
    </w:p>
    <w:p w:rsidR="009D564D" w:rsidRPr="003F2C24" w:rsidRDefault="009D564D" w:rsidP="009D564D">
      <w:pPr>
        <w:spacing w:before="120"/>
        <w:ind w:firstLine="567"/>
        <w:jc w:val="both"/>
      </w:pPr>
      <w:r w:rsidRPr="003F2C24">
        <w:t>Также существует</w:t>
      </w:r>
      <w:r>
        <w:t xml:space="preserve"> </w:t>
      </w:r>
      <w:r w:rsidRPr="003F2C24">
        <w:t>кросс-курс (от англ. – cross – пересекать), что означает соотношение двух валют, вытекающее из их соотношения с третьей валютой. Например, 1$ - 29,45 руб., а канадский доллар = 18,90 руб., тогда кросс-курс 1$ США = 1,5582 канадских доллара. Однако котировки кросс-курсов могут отличаться на различных национальных валютных рынках, что делает неоходимым валютный арбитраж.</w:t>
      </w:r>
    </w:p>
    <w:p w:rsidR="009D564D" w:rsidRPr="003F2C24" w:rsidRDefault="009D564D" w:rsidP="009D564D">
      <w:pPr>
        <w:spacing w:before="120"/>
        <w:ind w:firstLine="567"/>
        <w:jc w:val="both"/>
      </w:pPr>
      <w:r w:rsidRPr="003F2C24">
        <w:t>Валютный арбитраж- это операции с целью извлечения прибыли из различных валютных курсов одной и той же валюты на различных валютных рынках или разницы в динамике курса.</w:t>
      </w:r>
    </w:p>
    <w:p w:rsidR="009D564D" w:rsidRPr="003F2C24" w:rsidRDefault="009D564D" w:rsidP="009D564D">
      <w:pPr>
        <w:spacing w:before="120"/>
        <w:ind w:firstLine="567"/>
        <w:jc w:val="both"/>
      </w:pPr>
      <w:r w:rsidRPr="003F2C24">
        <w:t>Валютные курсы публикуются в прессе. Обычно в текущей информации содержатся котировки за два предшествующих дня и краткосрочные прогнозы.</w:t>
      </w:r>
    </w:p>
    <w:p w:rsidR="009D564D" w:rsidRPr="003F2C24" w:rsidRDefault="009D564D" w:rsidP="009D564D">
      <w:pPr>
        <w:spacing w:before="120"/>
        <w:ind w:firstLine="567"/>
        <w:jc w:val="both"/>
      </w:pPr>
      <w:r w:rsidRPr="003F2C24">
        <w:t>Политика валютного курса является неотъемлемой частью денежно-кредитной политики государства, поэтому при принятии любых решений, которые могут повлечь изменения валютного курса, надо тщательно выбирать и виды валютных курсов и методы их регулирования.</w:t>
      </w:r>
    </w:p>
    <w:p w:rsidR="009D564D" w:rsidRPr="003F2C24" w:rsidRDefault="009D564D" w:rsidP="009D564D">
      <w:pPr>
        <w:spacing w:before="120"/>
        <w:ind w:firstLine="567"/>
        <w:jc w:val="both"/>
      </w:pPr>
      <w:r w:rsidRPr="003F2C24">
        <w:t>2.2 Виды валютных курсов</w:t>
      </w:r>
    </w:p>
    <w:p w:rsidR="009D564D" w:rsidRPr="003F2C24" w:rsidRDefault="009D564D" w:rsidP="009D564D">
      <w:pPr>
        <w:spacing w:before="120"/>
        <w:ind w:firstLine="567"/>
        <w:jc w:val="both"/>
      </w:pPr>
      <w:r w:rsidRPr="003F2C24">
        <w:t xml:space="preserve">Существуют несколько видов валютных курсов, такие как номинальный, реальный, фиксированный и плавающий. </w:t>
      </w:r>
    </w:p>
    <w:p w:rsidR="009D564D" w:rsidRPr="003F2C24" w:rsidRDefault="009D564D" w:rsidP="009D564D">
      <w:pPr>
        <w:spacing w:before="120"/>
        <w:ind w:firstLine="567"/>
        <w:jc w:val="both"/>
      </w:pPr>
      <w:r w:rsidRPr="003F2C24">
        <w:t>1. Номинальный валютный курс – представляет собой цену национальной валюты, выраженную в иностранной валюте.</w:t>
      </w:r>
    </w:p>
    <w:p w:rsidR="009D564D" w:rsidRPr="003F2C24" w:rsidRDefault="009D564D" w:rsidP="009D564D">
      <w:pPr>
        <w:spacing w:before="120"/>
        <w:ind w:firstLine="567"/>
        <w:jc w:val="both"/>
      </w:pPr>
      <w:r w:rsidRPr="003F2C24">
        <w:t>2. Реальный – рассчитывается так, чтобы учесть изменения уровня цен в обеих странах по отношению к базисному году; для расчета используется номинальный валютный курс по следующей формуле:</w:t>
      </w:r>
    </w:p>
    <w:p w:rsidR="009D564D" w:rsidRPr="003F2C24" w:rsidRDefault="009D564D" w:rsidP="009D564D">
      <w:pPr>
        <w:spacing w:before="120"/>
        <w:ind w:firstLine="567"/>
        <w:jc w:val="both"/>
      </w:pPr>
      <w:r w:rsidRPr="003F2C24">
        <w:t>Er = En (Pd*Pf), где</w:t>
      </w:r>
    </w:p>
    <w:p w:rsidR="009D564D" w:rsidRPr="003F2C24" w:rsidRDefault="009D564D" w:rsidP="009D564D">
      <w:pPr>
        <w:spacing w:before="120"/>
        <w:ind w:firstLine="567"/>
        <w:jc w:val="both"/>
      </w:pPr>
      <w:r w:rsidRPr="003F2C24">
        <w:t>Er – реальный валютный курс; En - номинальный валютный курс; Pd - «внутренний» уровень цен;</w:t>
      </w:r>
      <w:r>
        <w:t xml:space="preserve"> </w:t>
      </w:r>
      <w:r w:rsidRPr="003F2C24">
        <w:t>Pf - уровень цен другой страны.</w:t>
      </w:r>
    </w:p>
    <w:p w:rsidR="009D564D" w:rsidRPr="003F2C24" w:rsidRDefault="009D564D" w:rsidP="009D564D">
      <w:pPr>
        <w:spacing w:before="120"/>
        <w:ind w:firstLine="567"/>
        <w:jc w:val="both"/>
      </w:pPr>
      <w:r w:rsidRPr="003F2C24">
        <w:t>3. Фиксированный – предполагает осуществление обмена одной валюты на другую на основе твердого паритета, т.е. в основе каждой валюты лежал золотовалютный резерв страны, т.е. золото и доллары США. Данный стандарт существовал во второй половине 20 века, после второй мировой войны, и назывался Бреттон-Вудская система. Но просуществовал не долго, т.к. в 1971 США официально перестала обменивать доллары на золото, и весь мир перешёл на плавающие валютный курс, что было официально подтверждено подписанным соглашением в 1976 году и отражено в уставе МВФ.</w:t>
      </w:r>
    </w:p>
    <w:p w:rsidR="009D564D" w:rsidRPr="003F2C24" w:rsidRDefault="009D564D" w:rsidP="009D564D">
      <w:pPr>
        <w:spacing w:before="120"/>
        <w:ind w:firstLine="567"/>
        <w:jc w:val="both"/>
      </w:pPr>
      <w:r w:rsidRPr="003F2C24">
        <w:t>4. Плавающий валютный курс – это обмен одной валюты на другую на основе соотношения спроса и предложения на валютном рынке без централизованного регулирования. Плавающий валютный курс может быть:</w:t>
      </w:r>
    </w:p>
    <w:p w:rsidR="009D564D" w:rsidRPr="003F2C24" w:rsidRDefault="009D564D" w:rsidP="009D564D">
      <w:pPr>
        <w:spacing w:before="120"/>
        <w:ind w:firstLine="567"/>
        <w:jc w:val="both"/>
      </w:pPr>
      <w:r w:rsidRPr="003F2C24">
        <w:t>«свободный», т.е. исключительно под воздействием спроса и предложения;</w:t>
      </w:r>
    </w:p>
    <w:p w:rsidR="009D564D" w:rsidRPr="003F2C24" w:rsidRDefault="009D564D" w:rsidP="009D564D">
      <w:pPr>
        <w:spacing w:before="120"/>
        <w:ind w:firstLine="567"/>
        <w:jc w:val="both"/>
      </w:pPr>
      <w:r w:rsidRPr="003F2C24">
        <w:t>«регулируемый» или «валютный коридор», т.е. плавание валюты допускается, но находится под контролем правительства.</w:t>
      </w:r>
    </w:p>
    <w:p w:rsidR="009D564D" w:rsidRPr="003F2C24" w:rsidRDefault="009D564D" w:rsidP="009D564D">
      <w:pPr>
        <w:spacing w:before="120"/>
        <w:ind w:firstLine="567"/>
        <w:jc w:val="both"/>
      </w:pPr>
      <w:r w:rsidRPr="003F2C24">
        <w:t>5. Ранее также существовал курс «золотого паритета», т.е. это было соотношение двух валют по количеству зафиксированного в них золота. Например, если за 1 руб. можно было купить 1 г золота, а за 1 $ - 2 г, то за 1$ = 2 руб. Отклонения от такого курса в зависимости от спроса и предложения на ту или иную валюту мог быть незначительным, в пределах так называемых золотых точек.</w:t>
      </w:r>
    </w:p>
    <w:p w:rsidR="009D564D" w:rsidRPr="003F2C24" w:rsidRDefault="009D564D" w:rsidP="009D564D">
      <w:pPr>
        <w:spacing w:before="120"/>
        <w:ind w:firstLine="567"/>
        <w:jc w:val="both"/>
      </w:pPr>
      <w:r w:rsidRPr="003F2C24">
        <w:t>Механизм золотых точек – пределы отклонения валютного курса от монетарного паритета (обычно не более 1 %): нижний (при достижении которого начинается отток золота из страны) и верхний (начинается его приток). Монетарный паритет – соотношение весового содержания золота в денежных единицах различных стран.</w:t>
      </w:r>
    </w:p>
    <w:p w:rsidR="009D564D" w:rsidRPr="003F2C24" w:rsidRDefault="009D564D" w:rsidP="009D564D">
      <w:pPr>
        <w:spacing w:before="120"/>
        <w:ind w:firstLine="567"/>
        <w:jc w:val="both"/>
      </w:pPr>
      <w:r w:rsidRPr="003F2C24">
        <w:t>2.3 Факторы, влияющие на валютный курс</w:t>
      </w:r>
    </w:p>
    <w:p w:rsidR="009D564D" w:rsidRPr="003F2C24" w:rsidRDefault="009D564D" w:rsidP="009D564D">
      <w:pPr>
        <w:spacing w:before="120"/>
        <w:ind w:firstLine="567"/>
        <w:jc w:val="both"/>
      </w:pPr>
      <w:r w:rsidRPr="003F2C24">
        <w:t>Следует различать конъюнктурные и структурные (долгосрочные) изменения, влияющие на валютный курс.</w:t>
      </w:r>
    </w:p>
    <w:p w:rsidR="009D564D" w:rsidRPr="003F2C24" w:rsidRDefault="009D564D" w:rsidP="009D564D">
      <w:pPr>
        <w:spacing w:before="120"/>
        <w:ind w:firstLine="567"/>
        <w:jc w:val="both"/>
      </w:pPr>
      <w:r w:rsidRPr="003F2C24">
        <w:t>К конъюнктурным факторам, влияющим на валютный курс, относятся:</w:t>
      </w:r>
    </w:p>
    <w:p w:rsidR="009D564D" w:rsidRPr="003F2C24" w:rsidRDefault="009D564D" w:rsidP="009D564D">
      <w:pPr>
        <w:spacing w:before="120"/>
        <w:ind w:firstLine="567"/>
        <w:jc w:val="both"/>
      </w:pPr>
      <w:r w:rsidRPr="003F2C24">
        <w:t>Состояние экономики: темп инфляции, уровень процентных ставок, деятельность валютных рынков, валютная спекуляция, валютная политика, состояние платежного баланса, степень использования национальной валюты в международных расчетах, ускорение или задержка международных расчетов (экономический фактор).</w:t>
      </w:r>
    </w:p>
    <w:p w:rsidR="009D564D" w:rsidRPr="003F2C24" w:rsidRDefault="009D564D" w:rsidP="009D564D">
      <w:pPr>
        <w:spacing w:before="120"/>
        <w:ind w:firstLine="567"/>
        <w:jc w:val="both"/>
      </w:pPr>
      <w:r w:rsidRPr="003F2C24">
        <w:t>Политическая обстановка в стране (политический фактор).</w:t>
      </w:r>
    </w:p>
    <w:p w:rsidR="009D564D" w:rsidRPr="003F2C24" w:rsidRDefault="009D564D" w:rsidP="009D564D">
      <w:pPr>
        <w:spacing w:before="120"/>
        <w:ind w:firstLine="567"/>
        <w:jc w:val="both"/>
      </w:pPr>
      <w:r w:rsidRPr="003F2C24">
        <w:t>Степень доверия к национальной валюте на национальном и мировом рынках (психологический фактор).</w:t>
      </w:r>
    </w:p>
    <w:p w:rsidR="009D564D" w:rsidRPr="003F2C24" w:rsidRDefault="009D564D" w:rsidP="009D564D">
      <w:pPr>
        <w:spacing w:before="120"/>
        <w:ind w:firstLine="567"/>
        <w:jc w:val="both"/>
      </w:pPr>
      <w:r w:rsidRPr="003F2C24">
        <w:t xml:space="preserve">Конъюнктурные факторы связаны с колебаниями деловой активности, политической и военно-политической обстановкой, со слухами (порою ажиотажными), догадками и прогнозами. Часто обменный курс зависит от того, насколько пессимистично или оптимистично настроено общество в отношении правительственной политики. </w:t>
      </w:r>
    </w:p>
    <w:p w:rsidR="009D564D" w:rsidRPr="003F2C24" w:rsidRDefault="009D564D" w:rsidP="009D564D">
      <w:pPr>
        <w:spacing w:before="120"/>
        <w:ind w:firstLine="567"/>
        <w:jc w:val="both"/>
      </w:pPr>
      <w:r w:rsidRPr="003F2C24">
        <w:t>Повышение процентных ставок по депозитам и/или доходности ценных бумаг в какой-либо валюте вызовет рост спроса на эту валюту и приведет к ее удорожанию. Относительно более высоки процентные ставки и доходность ценных бумаг в данной стране (при отсутствии ограничений на движение капитала) приведут:</w:t>
      </w:r>
    </w:p>
    <w:p w:rsidR="009D564D" w:rsidRPr="003F2C24" w:rsidRDefault="009D564D" w:rsidP="009D564D">
      <w:pPr>
        <w:spacing w:before="120"/>
        <w:ind w:firstLine="567"/>
        <w:jc w:val="both"/>
      </w:pPr>
      <w:r w:rsidRPr="003F2C24">
        <w:t>к притоку в эту страну иностранного капитала и соответственно к увеличению предложения иностранной валюты, ее удешевлению и удорожанию национальной валюты;</w:t>
      </w:r>
    </w:p>
    <w:p w:rsidR="009D564D" w:rsidRPr="003F2C24" w:rsidRDefault="009D564D" w:rsidP="009D564D">
      <w:pPr>
        <w:spacing w:before="120"/>
        <w:ind w:firstLine="567"/>
        <w:jc w:val="both"/>
      </w:pPr>
      <w:r w:rsidRPr="003F2C24">
        <w:t>приносящие более высокий доход депозиты и ценные бумаги в национальной валюте будут содействовать переливу национальных денежных средств с валютного рынка, уменьшению спроса на иностранную валюту, понижению курса иностранной и повышению курса национальной валюты.</w:t>
      </w:r>
    </w:p>
    <w:p w:rsidR="009D564D" w:rsidRPr="003F2C24" w:rsidRDefault="009D564D" w:rsidP="009D564D">
      <w:pPr>
        <w:spacing w:before="120"/>
        <w:ind w:firstLine="567"/>
        <w:jc w:val="both"/>
      </w:pPr>
      <w:r w:rsidRPr="003F2C24">
        <w:t>Важное экономическое значение валютного курса предназначает необходимость его государственного регулирования.</w:t>
      </w:r>
    </w:p>
    <w:p w:rsidR="009D564D" w:rsidRPr="003F2C24" w:rsidRDefault="009D564D" w:rsidP="009D564D">
      <w:pPr>
        <w:spacing w:before="120"/>
        <w:ind w:firstLine="567"/>
        <w:jc w:val="both"/>
      </w:pPr>
      <w:r w:rsidRPr="003F2C24">
        <w:t>Наряду с вышеизложенными факторами, влияние которых предусмотреть трудно, на спрос и предложение валюты воздействуют и относительно долговременные тенденции.</w:t>
      </w:r>
    </w:p>
    <w:p w:rsidR="009D564D" w:rsidRPr="003F2C24" w:rsidRDefault="009D564D" w:rsidP="009D564D">
      <w:pPr>
        <w:spacing w:before="120"/>
        <w:ind w:firstLine="567"/>
        <w:jc w:val="both"/>
      </w:pPr>
      <w:r w:rsidRPr="003F2C24">
        <w:t>К ним относятся:</w:t>
      </w:r>
    </w:p>
    <w:p w:rsidR="009D564D" w:rsidRPr="003F2C24" w:rsidRDefault="009D564D" w:rsidP="009D564D">
      <w:pPr>
        <w:spacing w:before="120"/>
        <w:ind w:firstLine="567"/>
        <w:jc w:val="both"/>
      </w:pPr>
      <w:r w:rsidRPr="003F2C24">
        <w:t>Конкурентоспособность товаров на мировых рынках и её изменения. Они обусловлены, в конечном счёте, технологическими детерминантами. Экспорт стимулирует приток иностранной валюты.</w:t>
      </w:r>
    </w:p>
    <w:p w:rsidR="009D564D" w:rsidRPr="003F2C24" w:rsidRDefault="009D564D" w:rsidP="009D564D">
      <w:pPr>
        <w:spacing w:before="120"/>
        <w:ind w:firstLine="567"/>
        <w:jc w:val="both"/>
      </w:pPr>
      <w:r w:rsidRPr="003F2C24">
        <w:t>Рост национального дохода обуславливает повышенный спрос на иностранную продукцию, между тем как товарный импорт может увеличить отток иностранной валюты.</w:t>
      </w:r>
    </w:p>
    <w:p w:rsidR="009D564D" w:rsidRPr="003F2C24" w:rsidRDefault="009D564D" w:rsidP="009D564D">
      <w:pPr>
        <w:spacing w:before="120"/>
        <w:ind w:firstLine="567"/>
        <w:jc w:val="both"/>
      </w:pPr>
      <w:r w:rsidRPr="003F2C24">
        <w:t>Последовательное повышение внутренних цен по сравнению с ценами на рынках партнеров усиливает стремление закупать более дешевые иностранные товары, между тем как склонность иностранцев к приобретению товаров или услуг, становящихся все более дорогими, улетучивается. В результате понижается предложение иностранной валюты и происходит обесценение отечественной.</w:t>
      </w:r>
    </w:p>
    <w:p w:rsidR="009D564D" w:rsidRPr="003F2C24" w:rsidRDefault="009D564D" w:rsidP="009D564D">
      <w:pPr>
        <w:spacing w:before="120"/>
        <w:ind w:firstLine="567"/>
        <w:jc w:val="both"/>
      </w:pPr>
      <w:r w:rsidRPr="003F2C24">
        <w:t>При прочих равных условиях, повышение процентных ставок является фактором привлечения иностранного капитала и, соответственно, иностранной валюты, а также может вести к удорожанию отечественной. Но повышение процентных ставок имеет, как известно, и обратную сторону: оно удорожает кредит и угнетающе воздействует на инвестиционную деятельность внутри страны.</w:t>
      </w:r>
    </w:p>
    <w:p w:rsidR="009D564D" w:rsidRPr="003F2C24" w:rsidRDefault="009D564D" w:rsidP="009D564D">
      <w:pPr>
        <w:spacing w:before="120"/>
        <w:ind w:firstLine="567"/>
        <w:jc w:val="both"/>
      </w:pPr>
      <w:r w:rsidRPr="003F2C24">
        <w:t>Степень развития рынка ценных бумаг (облигаций, кредитных векселей, акций и пр.), составляющие здоровую конкуренцию валютному рынку. Фондовый рынок может привлекать иностранную валюту непосредственно, но также притягивать национальные денежные средства, которые в противном случае использовались бы на покупку иностранной валюты.</w:t>
      </w:r>
    </w:p>
    <w:p w:rsidR="009D564D" w:rsidRPr="003F2C24" w:rsidRDefault="009D564D" w:rsidP="009D564D">
      <w:pPr>
        <w:spacing w:before="120"/>
        <w:ind w:firstLine="567"/>
        <w:jc w:val="both"/>
      </w:pPr>
      <w:r w:rsidRPr="003F2C24">
        <w:t>2.4 Основные методы регулирования валютного курса</w:t>
      </w:r>
    </w:p>
    <w:p w:rsidR="009D564D" w:rsidRPr="003F2C24" w:rsidRDefault="009D564D" w:rsidP="009D564D">
      <w:pPr>
        <w:spacing w:before="120"/>
        <w:ind w:firstLine="567"/>
        <w:jc w:val="both"/>
      </w:pPr>
      <w:r w:rsidRPr="003F2C24">
        <w:t>Основным органом валютного регулирования</w:t>
      </w:r>
      <w:r>
        <w:t xml:space="preserve"> </w:t>
      </w:r>
      <w:r w:rsidRPr="003F2C24">
        <w:t>Российской Федерации является Центральный Банк РФ. Он определяет сферу и порядок обращения в Российской Федерации иностранной валюты и ценных бумаг в иностранной валюте, устанавливает правила проведения резидентами и нерезидентами России операций с иностранной валютой и ценными бумагами в иностранной валюте, а также правила проведения нерезидентами операций с рублями и ценными бумагами в рублях и т.д.</w:t>
      </w:r>
    </w:p>
    <w:p w:rsidR="009D564D" w:rsidRPr="003F2C24" w:rsidRDefault="009D564D" w:rsidP="009D564D">
      <w:pPr>
        <w:spacing w:before="120"/>
        <w:ind w:firstLine="567"/>
        <w:jc w:val="both"/>
      </w:pPr>
      <w:r w:rsidRPr="003F2C24">
        <w:t>Основными методами валютного регулирования являются:</w:t>
      </w:r>
    </w:p>
    <w:p w:rsidR="009D564D" w:rsidRPr="003F2C24" w:rsidRDefault="009D564D" w:rsidP="009D564D">
      <w:pPr>
        <w:spacing w:before="120"/>
        <w:ind w:firstLine="567"/>
        <w:jc w:val="both"/>
      </w:pPr>
      <w:r w:rsidRPr="003F2C24">
        <w:t>валютная интервенция (покупка-продажа валюты, а также ценных бумаг);</w:t>
      </w:r>
    </w:p>
    <w:p w:rsidR="009D564D" w:rsidRPr="003F2C24" w:rsidRDefault="009D564D" w:rsidP="009D564D">
      <w:pPr>
        <w:spacing w:before="120"/>
        <w:ind w:firstLine="567"/>
        <w:jc w:val="both"/>
      </w:pPr>
      <w:r w:rsidRPr="003F2C24">
        <w:t>«дисконтная политика» - изменение центральным банком уровня процентных ставок и/или норм обязательных резервов;</w:t>
      </w:r>
    </w:p>
    <w:p w:rsidR="009D564D" w:rsidRPr="003F2C24" w:rsidRDefault="009D564D" w:rsidP="009D564D">
      <w:pPr>
        <w:spacing w:before="120"/>
        <w:ind w:firstLine="567"/>
        <w:jc w:val="both"/>
      </w:pPr>
      <w:r w:rsidRPr="003F2C24">
        <w:t>валютные ограничения.</w:t>
      </w:r>
    </w:p>
    <w:p w:rsidR="009D564D" w:rsidRPr="003F2C24" w:rsidRDefault="009D564D" w:rsidP="009D564D">
      <w:pPr>
        <w:spacing w:before="120"/>
        <w:ind w:firstLine="567"/>
        <w:jc w:val="both"/>
      </w:pPr>
      <w:r w:rsidRPr="003F2C24">
        <w:t>Валютные ограничения – это введенные в законодательном или административном порядке ограничения операций с национальной и иностранной валютой, золотом и другими валютными ценностями.</w:t>
      </w:r>
    </w:p>
    <w:p w:rsidR="009D564D" w:rsidRPr="003F2C24" w:rsidRDefault="009D564D" w:rsidP="009D564D">
      <w:pPr>
        <w:spacing w:before="120"/>
        <w:ind w:firstLine="567"/>
        <w:jc w:val="both"/>
      </w:pPr>
      <w:r w:rsidRPr="003F2C24">
        <w:t>Валютный контроль в России осуществляется органами валютного контроля и их агентами. Органами валютного контроля являются Центральный банк и Правительство РФ. Агентами валютного контроля являются организации, которые в соответствии с законодательными актами могут осуществлять функции валютного контроля, в частности, Федеральная служба РФ по валютному и экспортному контролю и уполномоченные банки.</w:t>
      </w:r>
    </w:p>
    <w:p w:rsidR="009D564D" w:rsidRPr="003F2C24" w:rsidRDefault="009D564D" w:rsidP="009D564D">
      <w:pPr>
        <w:spacing w:before="120"/>
        <w:ind w:firstLine="567"/>
        <w:jc w:val="both"/>
      </w:pPr>
      <w:r w:rsidRPr="003F2C24">
        <w:t>Основными направлениями валютного контроля являются:</w:t>
      </w:r>
    </w:p>
    <w:p w:rsidR="009D564D" w:rsidRPr="003F2C24" w:rsidRDefault="009D564D" w:rsidP="009D564D">
      <w:pPr>
        <w:spacing w:before="120"/>
        <w:ind w:firstLine="567"/>
        <w:jc w:val="both"/>
      </w:pPr>
      <w:r w:rsidRPr="003F2C24">
        <w:t>определение соответствия проводимых валютных операций действующему законодательству и наличия необходимых для них лицензий и разрешений;</w:t>
      </w:r>
    </w:p>
    <w:p w:rsidR="009D564D" w:rsidRPr="003F2C24" w:rsidRDefault="009D564D" w:rsidP="009D564D">
      <w:pPr>
        <w:spacing w:before="120"/>
        <w:ind w:firstLine="567"/>
        <w:jc w:val="both"/>
      </w:pPr>
      <w:r w:rsidRPr="003F2C24">
        <w:t>проверка выполнения резидентами обязательств в иностранной валюте перед государством, а также по её продаже на внутреннем рынке РФ, обоснованности платежей в иностранной валюте, полноты и объективности учета и отчетности по валютным операциям, а также по операциям нерезидентами в рублях.</w:t>
      </w:r>
    </w:p>
    <w:p w:rsidR="009D564D" w:rsidRPr="003F2C24" w:rsidRDefault="009D564D" w:rsidP="009D564D">
      <w:pPr>
        <w:spacing w:before="120"/>
        <w:ind w:firstLine="567"/>
        <w:jc w:val="both"/>
      </w:pPr>
      <w:r w:rsidRPr="003F2C24">
        <w:t>Объектом национального и межгосударственного регулирования являются валютные ограничения и режим конвертируемости валют. От количества и вида практикуемых в стране валютных ограничений зависит режим конвертируемости валюты. Валютная конвертируемость (обратимость) -</w:t>
      </w:r>
      <w:r>
        <w:t xml:space="preserve"> </w:t>
      </w:r>
      <w:r w:rsidRPr="003F2C24">
        <w:t>это возможность конверсии (обмена) валюты данной страны на валюты других стран. Различают свободно, или полностью, конвертируемые (обратимые) валюты, частично конвертируемые и неконвертируемые (необратимые).</w:t>
      </w:r>
    </w:p>
    <w:p w:rsidR="009D564D" w:rsidRPr="003F2C24" w:rsidRDefault="009D564D" w:rsidP="009D564D">
      <w:pPr>
        <w:spacing w:before="120"/>
        <w:ind w:firstLine="567"/>
        <w:jc w:val="both"/>
      </w:pPr>
      <w:r w:rsidRPr="003F2C24">
        <w:t>1. Полностью конвертируемыми («свободно используемыми» согласно терминологии МВФ) являются валюты стран, в которых практически отсутствуют валютные ограничения по всем видам операций для всех держателей валюты (резидентов и нерезидентов). К таким странам относятся, например, США, Япония, Великобритания.</w:t>
      </w:r>
    </w:p>
    <w:p w:rsidR="009D564D" w:rsidRPr="003F2C24" w:rsidRDefault="009D564D" w:rsidP="009D564D">
      <w:pPr>
        <w:spacing w:before="120"/>
        <w:ind w:firstLine="567"/>
        <w:jc w:val="both"/>
      </w:pPr>
      <w:r w:rsidRPr="003F2C24">
        <w:t>2. При частичной конвертируемости в стране сохраняются ограничения по отдельным видам операций и/или для отдельных держателей валюты. Если ограничены возможности конверсии для резидентов, то конвертируемость называется внешней, если нерезидентов – внутренней. Наибольшее значение имеет конвертируемость по текущим операциям платежного баланса, т.е. возможность без ограничений осуществлять импорт и экспорт товаров. Большинство промышленно развитых стран перешли к данному типу частичной конвертируемости в середине 60-х гг.</w:t>
      </w:r>
    </w:p>
    <w:p w:rsidR="009D564D" w:rsidRPr="003F2C24" w:rsidRDefault="009D564D" w:rsidP="009D564D">
      <w:pPr>
        <w:spacing w:before="120"/>
        <w:ind w:firstLine="567"/>
        <w:jc w:val="both"/>
      </w:pPr>
      <w:r w:rsidRPr="003F2C24">
        <w:t>3. Валюта называется неконвертируемой, если в стране действуют практически все виды ограничений и, прежде всего, запрет на покупку-продажу иностранной валюты, ее хранение, вывоз и ввоз. Неконвертируемая валюта характерна для многих развивающихся стран.</w:t>
      </w:r>
    </w:p>
    <w:p w:rsidR="009D564D" w:rsidRPr="003F2C24" w:rsidRDefault="009D564D" w:rsidP="009D564D">
      <w:pPr>
        <w:spacing w:before="120"/>
        <w:ind w:firstLine="567"/>
        <w:jc w:val="both"/>
      </w:pPr>
      <w:r w:rsidRPr="003F2C24">
        <w:t>2.5 Режимы валютных курсов</w:t>
      </w:r>
    </w:p>
    <w:p w:rsidR="009D564D" w:rsidRPr="003F2C24" w:rsidRDefault="009D564D" w:rsidP="009D564D">
      <w:pPr>
        <w:spacing w:before="120"/>
        <w:ind w:firstLine="567"/>
        <w:jc w:val="both"/>
      </w:pPr>
      <w:r w:rsidRPr="003F2C24">
        <w:t>Режим валютного курса характеризует порядок установления курсовых соотношений между валютами. Классификация курсовых режимов в целом соответствует принятому МВФ делению валют на три группы:</w:t>
      </w:r>
    </w:p>
    <w:p w:rsidR="009D564D" w:rsidRPr="003F2C24" w:rsidRDefault="009D564D" w:rsidP="009D564D">
      <w:pPr>
        <w:spacing w:before="120"/>
        <w:ind w:firstLine="567"/>
        <w:jc w:val="both"/>
      </w:pPr>
      <w:r w:rsidRPr="003F2C24">
        <w:t>валюты с привязкой (к одной валюте, «валютной корзине» или международной денежной единице);</w:t>
      </w:r>
    </w:p>
    <w:p w:rsidR="009D564D" w:rsidRPr="003F2C24" w:rsidRDefault="009D564D" w:rsidP="009D564D">
      <w:pPr>
        <w:spacing w:before="120"/>
        <w:ind w:firstLine="567"/>
        <w:jc w:val="both"/>
      </w:pPr>
      <w:r w:rsidRPr="003F2C24">
        <w:t>валюты с большой гибкостью;</w:t>
      </w:r>
    </w:p>
    <w:p w:rsidR="009D564D" w:rsidRPr="003F2C24" w:rsidRDefault="009D564D" w:rsidP="009D564D">
      <w:pPr>
        <w:spacing w:before="120"/>
        <w:ind w:firstLine="567"/>
        <w:jc w:val="both"/>
      </w:pPr>
      <w:r w:rsidRPr="003F2C24">
        <w:t>валюты с ограниченной гибкостью.</w:t>
      </w:r>
    </w:p>
    <w:p w:rsidR="009D564D" w:rsidRPr="003F2C24" w:rsidRDefault="009D564D" w:rsidP="009D564D">
      <w:pPr>
        <w:spacing w:before="120"/>
        <w:ind w:firstLine="567"/>
        <w:jc w:val="both"/>
      </w:pPr>
      <w:r w:rsidRPr="003F2C24">
        <w:t>1. Режим фиксированного валютного курса</w:t>
      </w:r>
    </w:p>
    <w:p w:rsidR="009D564D" w:rsidRPr="003F2C24" w:rsidRDefault="009D564D" w:rsidP="009D564D">
      <w:pPr>
        <w:spacing w:before="120"/>
        <w:ind w:firstLine="567"/>
        <w:jc w:val="both"/>
      </w:pPr>
      <w:r w:rsidRPr="003F2C24">
        <w:t>При таком режиме центральный банк устанавливает курс национальной валюты на определенном уровне по отношению</w:t>
      </w:r>
      <w:r>
        <w:t xml:space="preserve"> </w:t>
      </w:r>
      <w:r w:rsidRPr="003F2C24">
        <w:t>к валюте какой-либо страны, к которой «привязана» валюта данной страны, к валютной корзине (обычно в нее входят валюты основных торгово-экономических партнеров) или к международной денежной единице. Особенность фиксированного курса состоит в том, что он остается неизменным в течение более или менее продолжительного времени (нескольких лет или нескольких месяцев), т.е. не зависит от изменения спроса и предложения на валюту. Изменение фиксированного курса происходит в результате его официального пересмотра (девальвации – понижения или ревальвации – повышения).</w:t>
      </w:r>
    </w:p>
    <w:p w:rsidR="009D564D" w:rsidRPr="003F2C24" w:rsidRDefault="009D564D" w:rsidP="009D564D">
      <w:pPr>
        <w:spacing w:before="120"/>
        <w:ind w:firstLine="567"/>
        <w:jc w:val="both"/>
      </w:pPr>
      <w:r w:rsidRPr="003F2C24">
        <w:t>Режим фиксированного валютного курса обычно устанавливается в странах с жесткими валютными ограничениями и неконвертируемой валютой. На современном этапе его применяют в основном развивающиеся страны.</w:t>
      </w:r>
    </w:p>
    <w:p w:rsidR="009D564D" w:rsidRPr="003F2C24" w:rsidRDefault="009D564D" w:rsidP="009D564D">
      <w:pPr>
        <w:spacing w:before="120"/>
        <w:ind w:firstLine="567"/>
        <w:jc w:val="both"/>
      </w:pPr>
      <w:r w:rsidRPr="003F2C24">
        <w:t>2. Режим «плавающего» или колеблющегося курса</w:t>
      </w:r>
    </w:p>
    <w:p w:rsidR="009D564D" w:rsidRPr="003F2C24" w:rsidRDefault="009D564D" w:rsidP="009D564D">
      <w:pPr>
        <w:spacing w:before="120"/>
        <w:ind w:firstLine="567"/>
        <w:jc w:val="both"/>
      </w:pPr>
      <w:r w:rsidRPr="003F2C24">
        <w:t>Такой режим характерен для стран, где валютные ограничения отсутствуют или незначительны. При таком режиме валютный курс относительно свободно меняется под влиянием спроса и предложения на валюту. Режим «плавающего» курса не исключает проведение центральным банком тех или иных мероприятий, направленных на регулирование валютного курса. С марта 1976г. страны перешли к плавающим валютным курсам. Однако преобладает регулируемое государством плавание курсов валют.</w:t>
      </w:r>
    </w:p>
    <w:p w:rsidR="009D564D" w:rsidRPr="003F2C24" w:rsidRDefault="009D564D" w:rsidP="009D564D">
      <w:pPr>
        <w:spacing w:before="120"/>
        <w:ind w:firstLine="567"/>
        <w:jc w:val="both"/>
      </w:pPr>
      <w:r w:rsidRPr="003F2C24">
        <w:t>3. Промежуточные варианты режима валютного курса</w:t>
      </w:r>
    </w:p>
    <w:p w:rsidR="009D564D" w:rsidRPr="003F2C24" w:rsidRDefault="009D564D" w:rsidP="009D564D">
      <w:pPr>
        <w:spacing w:before="120"/>
        <w:ind w:firstLine="567"/>
        <w:jc w:val="both"/>
      </w:pPr>
      <w:r w:rsidRPr="003F2C24">
        <w:t>К промежуточным между фиксированным и «плавающим» вариантами режима валютного курса можно отнести:</w:t>
      </w:r>
    </w:p>
    <w:p w:rsidR="009D564D" w:rsidRPr="003F2C24" w:rsidRDefault="009D564D" w:rsidP="009D564D">
      <w:pPr>
        <w:spacing w:before="120"/>
        <w:ind w:firstLine="567"/>
        <w:jc w:val="both"/>
      </w:pPr>
      <w:r w:rsidRPr="003F2C24">
        <w:t>а) режим «скользящей фиксации», при котором центральный банк ежедневно устанавливает валютный курс исходя из определенных показателей: уровня инфляции, состояния платежного баланса, изменения величины официальных золотовалютных резервов и др.;</w:t>
      </w:r>
    </w:p>
    <w:p w:rsidR="009D564D" w:rsidRPr="003F2C24" w:rsidRDefault="009D564D" w:rsidP="009D564D">
      <w:pPr>
        <w:spacing w:before="120"/>
        <w:ind w:firstLine="567"/>
        <w:jc w:val="both"/>
      </w:pPr>
      <w:r w:rsidRPr="003F2C24">
        <w:t>б) режим «валютного коридора», при котором центральный банк устанавливает верхний и нижний пределы колебания валютного курса. Режим «валютного коридора» называют как режим «мягкой фиксации» (если установлены узкие пределы колебания), так и режимом «управляемого плавания» (если коридор достаточно широк). Чем шире «коридор», тем в большей степени движение валютного курса соответствует реальному соотношению рыночного спроса и предложения на валюту;</w:t>
      </w:r>
    </w:p>
    <w:p w:rsidR="009D564D" w:rsidRPr="003F2C24" w:rsidRDefault="009D564D" w:rsidP="009D564D">
      <w:pPr>
        <w:spacing w:before="120"/>
        <w:ind w:firstLine="567"/>
        <w:jc w:val="both"/>
      </w:pPr>
      <w:r w:rsidRPr="003F2C24">
        <w:t>в) режим «коллективного плавания» валют, при котором курсы валют стран – членов валютной группировки поддерживаются по отношению друг к другу в пределах «валютного коридора» и «совместно плавают» вокруг валют, не входящих в группировку.</w:t>
      </w:r>
    </w:p>
    <w:p w:rsidR="009D564D" w:rsidRPr="003F2C24" w:rsidRDefault="009D564D" w:rsidP="009D564D">
      <w:pPr>
        <w:spacing w:before="120"/>
        <w:ind w:firstLine="567"/>
        <w:jc w:val="both"/>
      </w:pPr>
      <w:r w:rsidRPr="003F2C24">
        <w:t>2.5 Развитие режима курса рубля в России</w:t>
      </w:r>
    </w:p>
    <w:p w:rsidR="009D564D" w:rsidRPr="003F2C24" w:rsidRDefault="009D564D" w:rsidP="009D564D">
      <w:pPr>
        <w:spacing w:before="120"/>
        <w:ind w:firstLine="567"/>
        <w:jc w:val="both"/>
      </w:pPr>
      <w:r w:rsidRPr="003F2C24">
        <w:t>После вступления России в 1992 году в МВФ Центральный банк отказался от режима множественности валютных курсов и установил режим «плавающего» валютного курса. С середины 1995 г. режим «плавающего» курса был заменен режимом «валютного коридора». В 1995-1997 гг. Банк России устанавливал абсолютные значения верхних и нижних границ колебания валютного курса. На 1998-2000 гг. был введен «горизонтальный валютный коридор» с центральным курсом 6.2 руб. за 1 долл. США с возможными отклонениями от него в пределах ± 15 %. Этот «коридор» был расширен 17 августа 1998 г., а с сентября 1998 г. курс рубля находится в режиме «свободного плавания».</w:t>
      </w:r>
    </w:p>
    <w:p w:rsidR="009D564D" w:rsidRDefault="009D564D" w:rsidP="009D564D">
      <w:pPr>
        <w:spacing w:before="120"/>
        <w:ind w:firstLine="567"/>
        <w:jc w:val="both"/>
      </w:pPr>
      <w:r w:rsidRPr="003F2C24">
        <w:t>Несмотря на все настойчивые заявления представителей Банка России о том, что в настоящее время в России установлен режим плавающего валютного курса, недавняя история динамики курса рубля и поведение Центрального Банка говорит об обратном. Если рассмотреть период времени от августовского кризиса 1998 года до наших дней, то курс рубля «плавал» лишь 7-8 месяцев. ЦБ пришлось отпустить курс в связи с истощением золотовалютных резервов и неспособностью как – либо влиять на его динамику. В связи с этим курс рубля под давлением спекулянтов опустился даже ниже, чем этого требовал рынок. Но в последствии началась коррекция сначала реального, а потом и номинального курса рубля вверх. ЦБ нужен был сильный доллар. В связи с этим утверждать, что последние 5 лет в России действует режим плавающего валютного курса, по меньшей мере, неверно. Этот режим больше похож на режим фиксированного валютного курса с возможной коррекцией.</w:t>
      </w:r>
    </w:p>
    <w:p w:rsidR="009D564D" w:rsidRPr="003F2C24" w:rsidRDefault="009D564D" w:rsidP="009D564D">
      <w:pPr>
        <w:spacing w:before="120"/>
        <w:ind w:firstLine="567"/>
        <w:jc w:val="both"/>
      </w:pPr>
      <w:r w:rsidRPr="003F2C24">
        <w:t>2.6 Паритет покупательной способности</w:t>
      </w:r>
    </w:p>
    <w:p w:rsidR="009D564D" w:rsidRPr="003F2C24" w:rsidRDefault="009D564D" w:rsidP="009D564D">
      <w:pPr>
        <w:spacing w:before="120"/>
        <w:ind w:firstLine="567"/>
        <w:jc w:val="both"/>
      </w:pPr>
      <w:r w:rsidRPr="003F2C24">
        <w:t>Объяснение колебаний валютных курсов основано на теории</w:t>
      </w:r>
      <w:r>
        <w:t xml:space="preserve"> </w:t>
      </w:r>
      <w:r w:rsidRPr="003F2C24">
        <w:t>«паритета покупательной способности» или «3 П» (от англ. PPP -“purchasing power parity”). Согласно данной теории, валюта будет дорожать или обесцениваться до тех пор, пока определённая сумма денег, конвертируемая по рыночному валютному курсу, не сможет быть обменена на одинаковую по составу и объему «потребительскую корзину» товаров и услуг в обеих странах, т.е. она определяется количеством одинаковых товаров и услуг, которые можно купить на стандартную сумму различных национальных валют, например, на 100 долларов, франков, рублей и т.д. Но надо учитывать, что соотношение валют по их покупной способности в разных странах различно по различным товарам. В корзину отбирают одинаковый набор товаров и определяют сумму денег, необходимую для приобретения этого набора в различных странах.</w:t>
      </w:r>
    </w:p>
    <w:p w:rsidR="009D564D" w:rsidRPr="003F2C24" w:rsidRDefault="009D564D" w:rsidP="009D564D">
      <w:pPr>
        <w:spacing w:before="120"/>
        <w:ind w:firstLine="567"/>
        <w:jc w:val="both"/>
      </w:pPr>
      <w:r w:rsidRPr="003F2C24">
        <w:t>Объективность сравнения может быть достигнута только при использовании очень большого числа товаров и услуг, входящих в условную потребительскую корзину двух</w:t>
      </w:r>
      <w:r>
        <w:t xml:space="preserve"> </w:t>
      </w:r>
      <w:r w:rsidRPr="003F2C24">
        <w:t xml:space="preserve">или более стран. Так, если например, в России такая корзина стоит 815 рублей, а в США 100 долларов, то цена одного доллара (валютный курс) будет равна 8 рублей 15 копеек, а цена одного рубля 19 центов. Поэтому если в России цены удвоятся, а в США останутся прежними, то при прочих равных условиях обмена курс доллара к рублю вырастет в два раза. Однако валютный курс в действительности может значительно отклоняться в ту или другую сторону в зависимости от многих причин. Например, чем больше спрос на данную валюту, тем больше будет повышаться курс обмена этой валюты на денежную единицу другой страны и наоборот. </w:t>
      </w:r>
    </w:p>
    <w:p w:rsidR="009D564D" w:rsidRDefault="009D564D" w:rsidP="009D564D">
      <w:pPr>
        <w:spacing w:before="120"/>
        <w:ind w:firstLine="567"/>
        <w:jc w:val="both"/>
      </w:pPr>
      <w:r w:rsidRPr="003F2C24">
        <w:t>Формула валютного курса согласно теории паритета покупательной способности следующая:</w:t>
      </w:r>
    </w:p>
    <w:p w:rsidR="009D564D" w:rsidRPr="003F2C24" w:rsidRDefault="009D564D" w:rsidP="009D564D">
      <w:pPr>
        <w:spacing w:before="120"/>
        <w:ind w:firstLine="567"/>
        <w:jc w:val="both"/>
      </w:pPr>
      <w:r w:rsidRPr="003F2C24">
        <w:t>r =Р÷Р1,</w:t>
      </w:r>
    </w:p>
    <w:p w:rsidR="009D564D" w:rsidRPr="003F2C24" w:rsidRDefault="009D564D" w:rsidP="009D564D">
      <w:pPr>
        <w:spacing w:before="120"/>
        <w:ind w:firstLine="567"/>
        <w:jc w:val="both"/>
      </w:pPr>
      <w:r w:rsidRPr="003F2C24">
        <w:t>где r - валютный курс иностранной валюты;</w:t>
      </w:r>
    </w:p>
    <w:p w:rsidR="009D564D" w:rsidRPr="003F2C24" w:rsidRDefault="009D564D" w:rsidP="009D564D">
      <w:pPr>
        <w:spacing w:before="120"/>
        <w:ind w:firstLine="567"/>
        <w:jc w:val="both"/>
      </w:pPr>
      <w:r w:rsidRPr="003F2C24">
        <w:t>Р - уровень цен в рассматриваемой стране;</w:t>
      </w:r>
    </w:p>
    <w:p w:rsidR="009D564D" w:rsidRPr="003F2C24" w:rsidRDefault="009D564D" w:rsidP="009D564D">
      <w:pPr>
        <w:spacing w:before="120"/>
        <w:ind w:firstLine="567"/>
        <w:jc w:val="both"/>
      </w:pPr>
      <w:r w:rsidRPr="003F2C24">
        <w:t>P1 - уровень цен в стране иностранной валюты.</w:t>
      </w:r>
    </w:p>
    <w:p w:rsidR="009D564D" w:rsidRDefault="009D564D" w:rsidP="009D564D">
      <w:pPr>
        <w:spacing w:before="120"/>
        <w:ind w:firstLine="567"/>
        <w:jc w:val="both"/>
      </w:pPr>
      <w:r w:rsidRPr="003F2C24">
        <w:t>Например, предположим, цена "потребительской корзины" в США - 4000 долл., в ЕС - 3000 евро. Тогда курс евро:</w:t>
      </w:r>
    </w:p>
    <w:p w:rsidR="009D564D" w:rsidRPr="003F2C24" w:rsidRDefault="009D564D" w:rsidP="009D564D">
      <w:pPr>
        <w:spacing w:before="120"/>
        <w:ind w:firstLine="567"/>
        <w:jc w:val="both"/>
      </w:pPr>
      <w:r w:rsidRPr="003F2C24">
        <w:t>Z = 4000 долл : 3000 евро = 1,33 долл.</w:t>
      </w:r>
    </w:p>
    <w:p w:rsidR="009D564D" w:rsidRDefault="009D564D" w:rsidP="009D564D">
      <w:pPr>
        <w:spacing w:before="120"/>
        <w:ind w:firstLine="567"/>
        <w:jc w:val="both"/>
      </w:pPr>
      <w:r w:rsidRPr="003F2C24">
        <w:t>Но самая большая сложность «3 П» заключается в том, что не существует единого способа определения состава потребительской корзины. В разных странах структура потребления разных товаров и услуг, входящих в корзину, весьма различна. Но тем не менее другого способа определения валютного курса, чем корзинный, не существует. Таким образом, для понимания причин формирования и колебаний валютных курсов теория паритета покупательной способности полезна в долгосрочном аспекте, но в краткосрочном аспекте необходимо принимать во внимание и ряд других факторов.</w:t>
      </w:r>
    </w:p>
    <w:p w:rsidR="009D564D" w:rsidRPr="000E06A0" w:rsidRDefault="009D564D" w:rsidP="009D564D">
      <w:pPr>
        <w:spacing w:before="120"/>
        <w:jc w:val="center"/>
        <w:rPr>
          <w:b/>
          <w:bCs/>
          <w:sz w:val="28"/>
          <w:szCs w:val="28"/>
        </w:rPr>
      </w:pPr>
      <w:r w:rsidRPr="000E06A0">
        <w:rPr>
          <w:b/>
          <w:bCs/>
          <w:sz w:val="28"/>
          <w:szCs w:val="28"/>
        </w:rPr>
        <w:t>Глава 3. Валютный рынок</w:t>
      </w:r>
    </w:p>
    <w:p w:rsidR="009D564D" w:rsidRPr="000E06A0" w:rsidRDefault="009D564D" w:rsidP="009D564D">
      <w:pPr>
        <w:spacing w:before="120"/>
        <w:jc w:val="center"/>
        <w:rPr>
          <w:b/>
          <w:bCs/>
          <w:sz w:val="28"/>
          <w:szCs w:val="28"/>
        </w:rPr>
      </w:pPr>
      <w:r w:rsidRPr="000E06A0">
        <w:rPr>
          <w:b/>
          <w:bCs/>
          <w:sz w:val="28"/>
          <w:szCs w:val="28"/>
        </w:rPr>
        <w:t>3.1 Сущность валютного рынка</w:t>
      </w:r>
    </w:p>
    <w:p w:rsidR="009D564D" w:rsidRPr="003F2C24" w:rsidRDefault="009D564D" w:rsidP="009D564D">
      <w:pPr>
        <w:spacing w:before="120"/>
        <w:ind w:firstLine="567"/>
        <w:jc w:val="both"/>
      </w:pPr>
      <w:r w:rsidRPr="003F2C24">
        <w:t>Развитие международных валютно-финансовых отношений сделало первый шаг для создания валютных рынков.</w:t>
      </w:r>
    </w:p>
    <w:p w:rsidR="009D564D" w:rsidRPr="003F2C24" w:rsidRDefault="009D564D" w:rsidP="009D564D">
      <w:pPr>
        <w:spacing w:before="120"/>
        <w:ind w:firstLine="567"/>
        <w:jc w:val="both"/>
      </w:pPr>
      <w:r w:rsidRPr="003F2C24">
        <w:t>Валютный рынок – это совокупность всех отношений, возникающих между субъектами валютных операций, т.е. обмен валюты. В принципе любой рынок - это, прежде всего, обмен ценностями. И в зависимости от характера этих ценностей в современной экономике действует сложная структура национальных и международных рынков - товаров, услуг, труда, капиталов и денег. На валютных рынках обмениваются друг на друга денежные единицы разных стран в различных формах. Он также охватывает операции по страхованию и диверсификации валютных резервов. Валютные рынки также непосредственно связаны с внешней торговлей. Примерно 10 % происходит именно на валютных рынках, а остальные 90% по портфельным инвестициям.</w:t>
      </w:r>
    </w:p>
    <w:p w:rsidR="009D564D" w:rsidRPr="003F2C24" w:rsidRDefault="009D564D" w:rsidP="009D564D">
      <w:pPr>
        <w:spacing w:before="120"/>
        <w:ind w:firstLine="567"/>
        <w:jc w:val="both"/>
      </w:pPr>
      <w:r w:rsidRPr="003F2C24">
        <w:t>Субъекты международного экономического оборота - экспортеры и импортеры друг с другом непосредственных расчетов обычно не ведут. Расчеты по сделкам берут на себя банковские учреждения. Именно они являются главными субъектами валютного рынка, так как имеют развитую сеть филиалов и благодаря научно-техническим достижениям</w:t>
      </w:r>
      <w:r>
        <w:t xml:space="preserve"> </w:t>
      </w:r>
      <w:r w:rsidRPr="003F2C24">
        <w:t>используют современные средства связи, например Интернет. Система местных и зарубежных коммерческих банков образует сердцевину как региональных валютных рынков, так мировой валютной торговли.</w:t>
      </w:r>
    </w:p>
    <w:p w:rsidR="009D564D" w:rsidRPr="003F2C24" w:rsidRDefault="009D564D" w:rsidP="009D564D">
      <w:pPr>
        <w:spacing w:before="120"/>
        <w:ind w:firstLine="567"/>
        <w:jc w:val="both"/>
      </w:pPr>
      <w:r w:rsidRPr="003F2C24">
        <w:t>Участники валютного рынка:</w:t>
      </w:r>
    </w:p>
    <w:p w:rsidR="009D564D" w:rsidRPr="003F2C24" w:rsidRDefault="009D564D" w:rsidP="009D564D">
      <w:pPr>
        <w:spacing w:before="120"/>
        <w:ind w:firstLine="567"/>
        <w:jc w:val="both"/>
      </w:pPr>
      <w:r w:rsidRPr="003F2C24">
        <w:t xml:space="preserve">Центральные банки разных стран мира </w:t>
      </w:r>
    </w:p>
    <w:p w:rsidR="009D564D" w:rsidRPr="003F2C24" w:rsidRDefault="009D564D" w:rsidP="009D564D">
      <w:pPr>
        <w:spacing w:before="120"/>
        <w:ind w:firstLine="567"/>
        <w:jc w:val="both"/>
      </w:pPr>
      <w:r w:rsidRPr="003F2C24">
        <w:t xml:space="preserve">Коммерческие банки </w:t>
      </w:r>
    </w:p>
    <w:p w:rsidR="009D564D" w:rsidRPr="003F2C24" w:rsidRDefault="009D564D" w:rsidP="009D564D">
      <w:pPr>
        <w:spacing w:before="120"/>
        <w:ind w:firstLine="567"/>
        <w:jc w:val="both"/>
      </w:pPr>
      <w:r w:rsidRPr="003F2C24">
        <w:t xml:space="preserve">Биржи и брокерские дома </w:t>
      </w:r>
    </w:p>
    <w:p w:rsidR="009D564D" w:rsidRPr="003F2C24" w:rsidRDefault="009D564D" w:rsidP="009D564D">
      <w:pPr>
        <w:spacing w:before="120"/>
        <w:ind w:firstLine="567"/>
        <w:jc w:val="both"/>
      </w:pPr>
      <w:r w:rsidRPr="003F2C24">
        <w:t xml:space="preserve">Инвестиционные и страховые фонды </w:t>
      </w:r>
    </w:p>
    <w:p w:rsidR="009D564D" w:rsidRPr="003F2C24" w:rsidRDefault="009D564D" w:rsidP="009D564D">
      <w:pPr>
        <w:spacing w:before="120"/>
        <w:ind w:firstLine="567"/>
        <w:jc w:val="both"/>
      </w:pPr>
      <w:r w:rsidRPr="003F2C24">
        <w:t xml:space="preserve">Корпоративные спекулянты </w:t>
      </w:r>
    </w:p>
    <w:p w:rsidR="009D564D" w:rsidRPr="003F2C24" w:rsidRDefault="009D564D" w:rsidP="009D564D">
      <w:pPr>
        <w:spacing w:before="120"/>
        <w:ind w:firstLine="567"/>
        <w:jc w:val="both"/>
      </w:pPr>
      <w:r w:rsidRPr="003F2C24">
        <w:t>Частные инвесторы</w:t>
      </w:r>
    </w:p>
    <w:p w:rsidR="009D564D" w:rsidRPr="003F2C24" w:rsidRDefault="009D564D" w:rsidP="009D564D">
      <w:pPr>
        <w:spacing w:before="120"/>
        <w:ind w:firstLine="567"/>
        <w:jc w:val="both"/>
      </w:pPr>
      <w:r w:rsidRPr="003F2C24">
        <w:t>Государственное воздействие на валютный рынок обычно осуществляется через Центральный банк. Центральный банк предписывает определенные правила игры на валютном рынке. Например, путем установления контингента продавцов и покупателей валюты, перечня разрешенных валютных операций, пределов колебаний (коридоров) валютного курса.</w:t>
      </w:r>
    </w:p>
    <w:p w:rsidR="009D564D" w:rsidRPr="003F2C24" w:rsidRDefault="009D564D" w:rsidP="009D564D">
      <w:pPr>
        <w:spacing w:before="120"/>
        <w:ind w:firstLine="567"/>
        <w:jc w:val="both"/>
      </w:pPr>
      <w:r w:rsidRPr="003F2C24">
        <w:t>Измерять обороты валютных рынков довольно сложно из-за проблемы двойного счета и больших объемов сделок. По некоторым оценкам, на главных мировых валютных рынках в Нью-Йорке, Токио, Лондоне и Франкфурте ежедневный объем сделок составляет 200, а то и более, млрд. долларов.</w:t>
      </w:r>
    </w:p>
    <w:p w:rsidR="009D564D" w:rsidRPr="003F2C24" w:rsidRDefault="009D564D" w:rsidP="009D564D">
      <w:pPr>
        <w:spacing w:before="120"/>
        <w:ind w:firstLine="567"/>
        <w:jc w:val="both"/>
      </w:pPr>
      <w:r w:rsidRPr="003F2C24">
        <w:t>Для валютного рынка характерны два основных вида операций: спот, предполагающий немедленную поставку валюты, и форвард, предполагающий поставку валюты через оговоренное время по согласованному на момент сделки курсу.</w:t>
      </w:r>
    </w:p>
    <w:p w:rsidR="009D564D" w:rsidRPr="003F2C24" w:rsidRDefault="009D564D" w:rsidP="009D564D">
      <w:pPr>
        <w:spacing w:before="120"/>
        <w:ind w:firstLine="567"/>
        <w:jc w:val="both"/>
      </w:pPr>
      <w:r w:rsidRPr="003F2C24">
        <w:t>3.2 Классификация валютных рынков</w:t>
      </w:r>
    </w:p>
    <w:p w:rsidR="009D564D" w:rsidRPr="003F2C24" w:rsidRDefault="009D564D" w:rsidP="009D564D">
      <w:pPr>
        <w:spacing w:before="120"/>
        <w:ind w:firstLine="567"/>
        <w:jc w:val="both"/>
      </w:pPr>
      <w:r w:rsidRPr="003F2C24">
        <w:t>Валютные рынки можно классифицировать по целому ряду признаков: по сфере распространения, по отношению к валютным ограничениям, по видам валютных ресурсов, по степени организованности.</w:t>
      </w:r>
    </w:p>
    <w:p w:rsidR="009D564D" w:rsidRPr="003F2C24" w:rsidRDefault="009D564D" w:rsidP="009D564D">
      <w:pPr>
        <w:spacing w:before="120"/>
        <w:ind w:firstLine="567"/>
        <w:jc w:val="both"/>
      </w:pPr>
      <w:r w:rsidRPr="003F2C24">
        <w:t>1. По сфере распространения, т.е. по широте охвата, можно выделить международный и внутренний валютные рынки. В свою очередь, как международный, так и внутренний рынки состоят из ряда региональных рынков, которые образуются финансовыми центрами в отдельных регионах мира или данной страны.</w:t>
      </w:r>
    </w:p>
    <w:p w:rsidR="009D564D" w:rsidRPr="003F2C24" w:rsidRDefault="009D564D" w:rsidP="009D564D">
      <w:pPr>
        <w:spacing w:before="120"/>
        <w:ind w:firstLine="567"/>
        <w:jc w:val="both"/>
      </w:pPr>
      <w:r w:rsidRPr="003F2C24">
        <w:t>Международный валютный рынок охватывает валютные рынки всех стран мира. Под международным валютным рынком понимается цепь тесно связанных между собой системой кабельных и спутниковых коммуникаций мировых региональных валютных рынков.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w:t>
      </w:r>
    </w:p>
    <w:p w:rsidR="009D564D" w:rsidRPr="003F2C24" w:rsidRDefault="009D564D" w:rsidP="009D564D">
      <w:pPr>
        <w:spacing w:before="120"/>
        <w:ind w:firstLine="567"/>
        <w:jc w:val="both"/>
      </w:pPr>
      <w:r w:rsidRPr="003F2C24">
        <w:t>Внутренний валютный рынок - это валютный рынок одного государства, т.е. рынок, функционирующий внутри данной страны. Он состоит из внутренних региональных рынков, к которым относятся валютные рынки с центрами в межбанковских валютных биржах.</w:t>
      </w:r>
    </w:p>
    <w:p w:rsidR="009D564D" w:rsidRPr="003F2C24" w:rsidRDefault="009D564D" w:rsidP="009D564D">
      <w:pPr>
        <w:spacing w:before="120"/>
        <w:ind w:firstLine="567"/>
        <w:jc w:val="both"/>
      </w:pPr>
      <w:r w:rsidRPr="003F2C24">
        <w:t>2. По отношению к валютным ограничениям можно выделить свободный и несвободный валютные рынки.</w:t>
      </w:r>
    </w:p>
    <w:p w:rsidR="009D564D" w:rsidRPr="003F2C24" w:rsidRDefault="009D564D" w:rsidP="009D564D">
      <w:pPr>
        <w:spacing w:before="120"/>
        <w:ind w:firstLine="567"/>
        <w:jc w:val="both"/>
      </w:pPr>
      <w:r w:rsidRPr="003F2C24">
        <w:t>Валютный рынок с валютными ограничениями называется несвободным рынком, а при отсутствии их - свободным валютным рынком.</w:t>
      </w:r>
    </w:p>
    <w:p w:rsidR="009D564D" w:rsidRPr="003F2C24" w:rsidRDefault="009D564D" w:rsidP="009D564D">
      <w:pPr>
        <w:spacing w:before="120"/>
        <w:ind w:firstLine="567"/>
        <w:jc w:val="both"/>
      </w:pPr>
      <w:r w:rsidRPr="003F2C24">
        <w:t>Валютные ограничения - это система государственных мер (административных, законодательных, экономических, организационных) по установлению порядка поведения операций с валютными ценностями. Валютные ограничения включают в себя меры по целевому регулированию платежей и переводов национальной и иностранной валюты за границу.</w:t>
      </w:r>
    </w:p>
    <w:p w:rsidR="009D564D" w:rsidRPr="003F2C24" w:rsidRDefault="009D564D" w:rsidP="009D564D">
      <w:pPr>
        <w:spacing w:before="120"/>
        <w:ind w:firstLine="567"/>
        <w:jc w:val="both"/>
      </w:pPr>
      <w:r w:rsidRPr="003F2C24">
        <w:t>3. По видам применяемых валютных курсов валютный рынок может быть с одним режимом и с двойным режимом.</w:t>
      </w:r>
    </w:p>
    <w:p w:rsidR="009D564D" w:rsidRPr="003F2C24" w:rsidRDefault="009D564D" w:rsidP="009D564D">
      <w:pPr>
        <w:spacing w:before="120"/>
        <w:ind w:firstLine="567"/>
        <w:jc w:val="both"/>
      </w:pPr>
      <w:r w:rsidRPr="003F2C24">
        <w:t>Рынок с одним режимом -</w:t>
      </w:r>
      <w:r>
        <w:t xml:space="preserve"> </w:t>
      </w:r>
      <w:r w:rsidRPr="003F2C24">
        <w:t>это валютный рынок со свободными валютными курсами, т.е. с плавающими курсами валют, котировка которых устанавливается на биржевых торгах. Например, официальный валютный курс рубля устанавливается с помощью фиксинга.</w:t>
      </w:r>
    </w:p>
    <w:p w:rsidR="009D564D" w:rsidRPr="003F2C24" w:rsidRDefault="009D564D" w:rsidP="009D564D">
      <w:pPr>
        <w:spacing w:before="120"/>
        <w:ind w:firstLine="567"/>
        <w:jc w:val="both"/>
      </w:pPr>
      <w:r w:rsidRPr="003F2C24">
        <w:t>В</w:t>
      </w:r>
      <w:r>
        <w:t xml:space="preserve"> </w:t>
      </w:r>
      <w:r w:rsidRPr="003F2C24">
        <w:t>России</w:t>
      </w:r>
      <w:r>
        <w:t xml:space="preserve"> </w:t>
      </w:r>
      <w:r w:rsidRPr="003F2C24">
        <w:t>фиксинг осуществляется Центральным банком России на Московской межбанковской валютной бирже (ММВБ) и представляет собой определение курса доллара США к рублю.</w:t>
      </w:r>
    </w:p>
    <w:p w:rsidR="009D564D" w:rsidRPr="003F2C24" w:rsidRDefault="009D564D" w:rsidP="009D564D">
      <w:pPr>
        <w:spacing w:before="120"/>
        <w:ind w:firstLine="567"/>
        <w:jc w:val="both"/>
      </w:pPr>
      <w:r w:rsidRPr="003F2C24">
        <w:t>Курс фиксинга является единым курсом Центрального банка России. Через него, используя информацию о кросс-курсах агентства “Рейтер”, он выводит курс рубля к остальным валютам. Валютный фиксинг происходит два раза в неделю. В день валютного фиксинга Центральный банк России сообщает курсы ведущих свободно конвертируемых валют к рублю через публикацию в СМИ.</w:t>
      </w:r>
    </w:p>
    <w:p w:rsidR="009D564D" w:rsidRPr="003F2C24" w:rsidRDefault="009D564D" w:rsidP="009D564D">
      <w:pPr>
        <w:spacing w:before="120"/>
        <w:ind w:firstLine="567"/>
        <w:jc w:val="both"/>
      </w:pPr>
      <w:r w:rsidRPr="003F2C24">
        <w:t>Валютный рынок с двойным режимом -</w:t>
      </w:r>
      <w:r>
        <w:t xml:space="preserve"> </w:t>
      </w:r>
      <w:r w:rsidRPr="003F2C24">
        <w:t>это рынок с одновременным применением фиксированного и плавающего курса валюты. Введение двойного валютного рынка используется государством как мера регулирования движения капиталов между национальным и международным рынком ссудных капиталов. Эта мера призвана ограничить и контролировать влияние международного рынка ссудных капиталов на экономику данного государства. Например, в настоящее время Внешэкономбанк Российской Федерации для иностранных инвестиций по блокированным счетам, по которым еще не полностью завершены расчеты, применяет фиксированный валютный курс рубля, а именно коммерческий валютный курс, установленный Центральным банком России.</w:t>
      </w:r>
    </w:p>
    <w:p w:rsidR="009D564D" w:rsidRPr="003F2C24" w:rsidRDefault="009D564D" w:rsidP="009D564D">
      <w:pPr>
        <w:spacing w:before="120"/>
        <w:ind w:firstLine="567"/>
        <w:jc w:val="both"/>
      </w:pPr>
      <w:r w:rsidRPr="003F2C24">
        <w:t>4. По степени организованности валютный рынок бывает биржевой и внебиржевой.</w:t>
      </w:r>
    </w:p>
    <w:p w:rsidR="009D564D" w:rsidRPr="003F2C24" w:rsidRDefault="009D564D" w:rsidP="009D564D">
      <w:pPr>
        <w:spacing w:before="120"/>
        <w:ind w:firstLine="567"/>
        <w:jc w:val="both"/>
      </w:pPr>
      <w:r w:rsidRPr="003F2C24">
        <w:t>Биржевой валютный рынок - это организованный рынок, который представлен валютной биржей. Валютная биржа - предприятие, организующее торги валютой и ценными бумагами в валюте. Биржа не является коммерческим предприятием. Ее основная функция заключается не в получении высокой прибыли, а в мобилизации временно свободных денежных средств через продажу валюты и ценных бумаг в валюте и в установлении курса валюты, т.е. ее рыночной стоимости.</w:t>
      </w:r>
    </w:p>
    <w:p w:rsidR="009D564D" w:rsidRPr="003F2C24" w:rsidRDefault="009D564D" w:rsidP="009D564D">
      <w:pPr>
        <w:spacing w:before="120"/>
        <w:ind w:firstLine="567"/>
        <w:jc w:val="both"/>
      </w:pPr>
      <w:r w:rsidRPr="003F2C24">
        <w:t>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w:t>
      </w:r>
    </w:p>
    <w:p w:rsidR="009D564D" w:rsidRPr="003F2C24" w:rsidRDefault="009D564D" w:rsidP="009D564D">
      <w:pPr>
        <w:spacing w:before="120"/>
        <w:ind w:firstLine="567"/>
        <w:jc w:val="both"/>
      </w:pPr>
      <w:r w:rsidRPr="003F2C24">
        <w:t>Ликвидность валюты и ценных бумаг в валюте означает способность их быстро и без потерь в цене превращаться в национальную валюту.</w:t>
      </w:r>
    </w:p>
    <w:p w:rsidR="009D564D" w:rsidRPr="003F2C24" w:rsidRDefault="009D564D" w:rsidP="009D564D">
      <w:pPr>
        <w:spacing w:before="120"/>
        <w:ind w:firstLine="567"/>
        <w:jc w:val="both"/>
      </w:pPr>
      <w:r w:rsidRPr="003F2C24">
        <w:t>Внебиржевой валютный рынок организуется дилерами, которые могут быть или не быть членами валютной биржи и ведут его по телефону, телефаксу, компьютерным сетям.</w:t>
      </w:r>
    </w:p>
    <w:p w:rsidR="009D564D" w:rsidRPr="003F2C24" w:rsidRDefault="009D564D" w:rsidP="009D564D">
      <w:pPr>
        <w:spacing w:before="120"/>
        <w:ind w:firstLine="567"/>
        <w:jc w:val="both"/>
      </w:pPr>
      <w:r w:rsidRPr="003F2C24">
        <w:t>Биржевой и внебиржевой рынки в определенной степени противоречат друг другу и в то же время взаимно дополняют друг друга. Это связанно с тем, что, выполняя общую функцию по торговле валютой и обращению ценных бумаг в валюте, они применяют различные методы и формы реализации валюты и ценных бумаг в валюте.</w:t>
      </w:r>
    </w:p>
    <w:p w:rsidR="009D564D" w:rsidRPr="003F2C24" w:rsidRDefault="009D564D" w:rsidP="009D564D">
      <w:pPr>
        <w:spacing w:before="120"/>
        <w:ind w:firstLine="567"/>
        <w:jc w:val="both"/>
      </w:pPr>
      <w:r w:rsidRPr="003F2C24">
        <w:t>Достоинства внебиржевого валютного рынка заключаются в:</w:t>
      </w:r>
    </w:p>
    <w:p w:rsidR="009D564D" w:rsidRPr="003F2C24" w:rsidRDefault="009D564D" w:rsidP="009D564D">
      <w:pPr>
        <w:spacing w:before="120"/>
        <w:ind w:firstLine="567"/>
        <w:jc w:val="both"/>
      </w:pPr>
      <w:r w:rsidRPr="003F2C24">
        <w:t>достаточно низкой себестоимости затрат на операции по обмену валют. Дилеры банков часто используют очные валютные аукционы на бирже для снижения собственных затрат на валютную конверсию, путем заключения договоров купли-продажи валюты по биржевому курсу до начала торгов на бирже;</w:t>
      </w:r>
    </w:p>
    <w:p w:rsidR="009D564D" w:rsidRPr="003F2C24" w:rsidRDefault="009D564D" w:rsidP="009D564D">
      <w:pPr>
        <w:spacing w:before="120"/>
        <w:ind w:firstLine="567"/>
        <w:jc w:val="both"/>
      </w:pPr>
      <w:r w:rsidRPr="003F2C24">
        <w:t>на бирже с участников торгов снимаются комиссионные, сумма которых находится в прямой зависимости от суммы проданных валютных и рублевых ресурсов. Кроме того, законом установлен налог на биржевые сделки. Во внебиржевом рынке для уполномоченного банка после того, как был найден контрагент по сделке, операция валютной конверсии осуществляется практически бесплатно;</w:t>
      </w:r>
    </w:p>
    <w:p w:rsidR="009D564D" w:rsidRPr="003F2C24" w:rsidRDefault="009D564D" w:rsidP="009D564D">
      <w:pPr>
        <w:spacing w:before="120"/>
        <w:ind w:firstLine="567"/>
        <w:jc w:val="both"/>
      </w:pPr>
      <w:r w:rsidRPr="003F2C24">
        <w:t>более высокой скорости расчетов, чем при торговле на валютной бирже. Это связано с тем, что внебиржевой валютный рынок позволяет проводить сделки в течение всего операционного дня, а не в строго определенное время биржевой сессии.</w:t>
      </w:r>
    </w:p>
    <w:p w:rsidR="009D564D" w:rsidRPr="003F2C24" w:rsidRDefault="009D564D" w:rsidP="009D564D">
      <w:pPr>
        <w:spacing w:before="120"/>
        <w:ind w:firstLine="567"/>
        <w:jc w:val="both"/>
      </w:pPr>
      <w:r w:rsidRPr="003F2C24">
        <w:t>3.3 Виды валютных рынков</w:t>
      </w:r>
    </w:p>
    <w:p w:rsidR="009D564D" w:rsidRPr="003F2C24" w:rsidRDefault="009D564D" w:rsidP="009D564D">
      <w:pPr>
        <w:spacing w:before="120"/>
        <w:ind w:firstLine="567"/>
        <w:jc w:val="both"/>
      </w:pPr>
      <w:r w:rsidRPr="003F2C24">
        <w:t>Существует три категории участников валютного рынка в зависимости от целей купли-продажи валюты, соответственно существуют три основных разновидности валютного рынка:</w:t>
      </w:r>
    </w:p>
    <w:p w:rsidR="009D564D" w:rsidRPr="003F2C24" w:rsidRDefault="009D564D" w:rsidP="009D564D">
      <w:pPr>
        <w:spacing w:before="120"/>
        <w:ind w:firstLine="567"/>
        <w:jc w:val="both"/>
      </w:pPr>
      <w:r w:rsidRPr="003F2C24">
        <w:t>1. Клиринг (рынок спот).</w:t>
      </w:r>
    </w:p>
    <w:p w:rsidR="009D564D" w:rsidRPr="003F2C24" w:rsidRDefault="009D564D" w:rsidP="009D564D">
      <w:pPr>
        <w:spacing w:before="120"/>
        <w:ind w:firstLine="567"/>
        <w:jc w:val="both"/>
      </w:pPr>
      <w:r w:rsidRPr="003F2C24">
        <w:t>На этом рынке валюта покупается и продается для целей внешней торговли. По сути это означает клиринговые услуги, помогая каждой стороне закончить сделку с наиболее предпочтительной валютой. Хотя сделки, связанные с внешней торговлей составляют большую часть валютного рынка, они не являются единственным видом сделок, порождающих спрос и предложение валют. Например, многие граждане покупают иностранную валюту и соответственно создают спрос на нее, чтобы сделать переводы и денежные подарки родственникам в другой стране.</w:t>
      </w:r>
    </w:p>
    <w:p w:rsidR="009D564D" w:rsidRPr="003F2C24" w:rsidRDefault="009D564D" w:rsidP="009D564D">
      <w:pPr>
        <w:spacing w:before="120"/>
        <w:ind w:firstLine="567"/>
        <w:jc w:val="both"/>
      </w:pPr>
      <w:r w:rsidRPr="003F2C24">
        <w:t>2. Страхование валютных рисков (рынок валютных форвардов).</w:t>
      </w:r>
    </w:p>
    <w:p w:rsidR="009D564D" w:rsidRPr="003F2C24" w:rsidRDefault="009D564D" w:rsidP="009D564D">
      <w:pPr>
        <w:spacing w:before="120"/>
        <w:ind w:firstLine="567"/>
        <w:jc w:val="both"/>
      </w:pPr>
      <w:r w:rsidRPr="003F2C24">
        <w:t xml:space="preserve">Страхование валютных рисков (как и спекуляция) происходит на срочном валютном рынке. В отличие от рынка спот, купля-продажа валюты на срочном рынке происходит на основе будущих колебаний валютного курса. Предположим, вы управляете финансовыми активами одной из американских фирм. Фирма получила 100 тыс. фунтов стерлингов, в чеках на депозит в Лондоне за продажу своих товаров в Англии. Фирма желает иметь эти деньги наличными через 3 месяца, но тогда она будет иметь валютный риск. Цена фунта, которая сейчас, предположим, 1.1740 долларов за фунт, может упасть или повыситься за следующие 3 месяца. Допустим, фирма не желает рисковать. Она может заключить соглашение о продаже фунтов через 3 месяца по курсу 1,1740. Хотя будущий курс спот может отклониться от цены срочного (форвардного) контракта вверх или вниз. В этом смысле срочный валютный курс похож на срочные цены сырьевых товаров или предварительное бронирование мест в отеле. </w:t>
      </w:r>
    </w:p>
    <w:p w:rsidR="009D564D" w:rsidRPr="003F2C24" w:rsidRDefault="009D564D" w:rsidP="009D564D">
      <w:pPr>
        <w:spacing w:before="120"/>
        <w:ind w:firstLine="567"/>
        <w:jc w:val="both"/>
      </w:pPr>
      <w:r w:rsidRPr="003F2C24">
        <w:t>3. Валютная спекуляция</w:t>
      </w:r>
    </w:p>
    <w:p w:rsidR="009D564D" w:rsidRDefault="009D564D" w:rsidP="009D564D">
      <w:pPr>
        <w:spacing w:before="120"/>
        <w:ind w:firstLine="567"/>
        <w:jc w:val="both"/>
      </w:pPr>
      <w:r w:rsidRPr="003F2C24">
        <w:t>Спекуляция означает взятие на себя валютных обязательств, будущая стоимость которых в местной валюте неизвестна. Валютный рынок позволяет торговать валютой как спекулянтам, так и страхователям активов. Практически нет критериев, по которым рынок разделял бы эти две группы участников. Например, фирма США, которой перевели 100 тыс. ф.ст. в Лондон, имеет возможность спекулировать в фунтах. Она может не продавать фунты сейчас, а держать их в Великобритании, зарабатывая проценты на трехмесячном депозите и рассчитывая цену фунтов в долларах (включая проценты) через 3 месяца. Срочный рынок также предоставляет дополнительные возможности для спекуляции. Спекулянты могут действовать, даже не имея под рукой необходимой валюты. Допустим, по прогнозу фунт упадет с 1,1740 долл. в марте до 0,70 долл. в июне. В этой ситуации можно соединиться с валютным дилером и заключить соглашение на продажу 10 млн. ф.ст. на 90 дней по срочному курсу 1,1623 долл. Если дилер поверит в ваши возможности выполнить срочные обязательства в июне, не нужно даже иметь деньги в марте. Достаточно подписать срочный контракт. Как добыть 10 млн. ф.ст. в июне? За два дня до истечения контракта в июне достаточно показать какому-либо банку, что у вас есть срочный контракт, по которому дилер должен выплатить вам 11,623 млн. долл. за ваши 10 млн. ф.ст. через 2 дня. Так как курс фунта упал до 0,70 долл. на рынке спот, банк с удовольствием примет ваш контракт в качестве обеспечения ссуды. Эту ссуду банк предоставит вам на 7 млн. долл. Заплатив банку небольшие проценты, вы используете 7 млн. долл. для покупки 10 млн. ф-ст., которые вы немедленно обменяете на 11,623 млн. долл., гарантированные контрактом. Чистый доход за усилия в несколько минут и за хорошее предвидение составит 4,623 млн. долл.</w:t>
      </w:r>
    </w:p>
    <w:p w:rsidR="009D564D" w:rsidRPr="003F2C24" w:rsidRDefault="009D564D" w:rsidP="009D564D">
      <w:pPr>
        <w:spacing w:before="120"/>
        <w:ind w:firstLine="567"/>
        <w:jc w:val="both"/>
      </w:pPr>
      <w:r w:rsidRPr="003F2C24">
        <w:t>3.4 Валютный рынок Российской Федерации</w:t>
      </w:r>
    </w:p>
    <w:p w:rsidR="009D564D" w:rsidRPr="003F2C24" w:rsidRDefault="009D564D" w:rsidP="009D564D">
      <w:pPr>
        <w:spacing w:before="120"/>
        <w:ind w:firstLine="567"/>
        <w:jc w:val="both"/>
      </w:pPr>
      <w:r w:rsidRPr="003F2C24">
        <w:t>В условиях плановой экономики и валютной монополии валютный рынок в СССР отсутствовал. Государство являлось единственным законным владельцем иностранной валюты, которая концентрировалась в его руках и распределялась с помощью валютного плана. Оно имело монопольное право на совершение операций с валютными ценностями и управление золотовалютными резервами. Принцип единства валютной кассы обязывал всех держать валюту на счетах во Внешэкономбанке СССР.</w:t>
      </w:r>
    </w:p>
    <w:p w:rsidR="009D564D" w:rsidRPr="003F2C24" w:rsidRDefault="009D564D" w:rsidP="009D564D">
      <w:pPr>
        <w:spacing w:before="120"/>
        <w:ind w:firstLine="567"/>
        <w:jc w:val="both"/>
      </w:pPr>
      <w:r w:rsidRPr="003F2C24">
        <w:t>Развитие валютного рынка и валютных операций в стране началось с конца 80-х годов. Составной частью экономических реформ, направленных на переход к рыночной экономике, явилась отмена государственной монополии внешней торговли и валютной монополии и введение децентрализации внешнеэкономической деятельности страны. Валютная реформа обеспечила переход от административного распределения валютных ресурсов государственными органами к формированию валютного рынка. Предприятиям и организациям впервые было предоставлено право оставлять в своем распоряжении значительную часть экспортной выручки на открытых ими валютных счетах. Они получили возможность использовать эти средства по своему усмотрению. С ноября 1989 г. Внешэкономбанк СССР начал проводить аукционы по продаже валюты по рыночному курсу. В Москве была создана валютная биржа.</w:t>
      </w:r>
    </w:p>
    <w:p w:rsidR="009D564D" w:rsidRPr="003F2C24" w:rsidRDefault="009D564D" w:rsidP="009D564D">
      <w:pPr>
        <w:spacing w:before="120"/>
        <w:ind w:firstLine="567"/>
        <w:jc w:val="both"/>
      </w:pPr>
      <w:r w:rsidRPr="003F2C24">
        <w:t>Первыми основными нормативными актами, регулировавшими функционирование российского валютного рынка, стали указы Президента РФ «О либерализации внешнеэкономической деятельности на территории РСФСР» от 15.11.91 г. и «О формировании Республиканского валютного резерва РСФСР в 1992 г.» от 30.12.91 г., а также инструкция ЦБ РФ от 22.01.92 г. «О порядке обязательной продажи предприятиями, организациями и гражданами валюты в Республиканский валютный резерв РФ, валютные фонды республик, краев и областей в составе РФ, стабилизационный фонд БР». 14 июня 1992 г. последовал Указ президента РФ «О частичном изменении порядка обязательной продажи части валютной выручки и взимания экспортных пошлин».</w:t>
      </w:r>
    </w:p>
    <w:p w:rsidR="009D564D" w:rsidRPr="003F2C24" w:rsidRDefault="009D564D" w:rsidP="009D564D">
      <w:pPr>
        <w:spacing w:before="120"/>
        <w:ind w:firstLine="567"/>
        <w:jc w:val="both"/>
      </w:pPr>
      <w:r w:rsidRPr="003F2C24">
        <w:t>В Законе «О валютном регулировании и валютном контроле» даны определения внутреннего валютного рынка России, определены принципы осуществления валютных операций в РФ,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 Валютные операции должны осуществляться через ЦБ РФ или КБ, имеющие валютную лицензию. На первых порах специфика валютного рынка РФ состояла в том, что он был представлен преимущественно валютными биржами, прежде всего валютных бирж России (АВБР). Ее цели: создание единой информационной среды валютного и финансового рынков; координированное развитие его новых сегментов в регионах страны; унификация «правил игры» и экспертиза нормативных актов, касающихся деятельности валютных бирж. С 29 июня 1999 г. утренние торги по доллару США проводятся на ММВБ и на всех межбанковских валютных биржах одновременно в режиме реального времени. Тем самым региональные биржевые валютные рынки на деле объединяются в единую всероссийскую систему биржевой валютной торговли.</w:t>
      </w:r>
    </w:p>
    <w:p w:rsidR="009D564D" w:rsidRPr="003F2C24" w:rsidRDefault="009D564D" w:rsidP="009D564D">
      <w:pPr>
        <w:spacing w:before="120"/>
        <w:ind w:firstLine="567"/>
        <w:jc w:val="both"/>
      </w:pPr>
      <w:r w:rsidRPr="003F2C24">
        <w:t>За истекшие годы произошли резкое снижение доли биржевого оборота, перемещение основного объема валютных операций на межбанковский рынок, уменьшение значения биржи как основной курсообразующей площадки. Это сокращение компенсировалось увеличением сделок между коммерческими банками. Уменьшение доли бирж в общероссийском валютном обороте объяснялось более высокими темпами роста межбанковских валютных операций. Снижению доли биржевого валютного рынка в пользу межбанковского способствовала политика финансовой стабилизации, в результате которой курс рубля приобретал предсказуемую динамику. Валютно-финансовый кризис 1998 г., нарушивший эту динамику, привел к замораживанию межбанковского рынка и вернул валютную торговлю на ММВБ.</w:t>
      </w:r>
    </w:p>
    <w:p w:rsidR="009D564D" w:rsidRPr="003F2C24" w:rsidRDefault="009D564D" w:rsidP="009D564D">
      <w:pPr>
        <w:spacing w:before="120"/>
        <w:ind w:firstLine="567"/>
        <w:jc w:val="both"/>
      </w:pPr>
      <w:r w:rsidRPr="003F2C24">
        <w:t xml:space="preserve">По решению совета директоров Банка России с 29.06.99 г. специальная торговая сессия отменена и осуществлен переход к торговле на утренней единой торговой сессии (ЕТС). Все коммерческие банки, имеющие валютные лицензии ЦБ, получили возможность свободно покупать и продавать на этой сессии иностранную валюту, как по поручению клиентов, так и от своего имени и за свой счет. </w:t>
      </w:r>
    </w:p>
    <w:p w:rsidR="009D564D" w:rsidRPr="003F2C24" w:rsidRDefault="009D564D" w:rsidP="009D564D">
      <w:pPr>
        <w:spacing w:before="120"/>
        <w:ind w:firstLine="567"/>
        <w:jc w:val="both"/>
      </w:pPr>
      <w:r w:rsidRPr="003F2C24">
        <w:t xml:space="preserve">На обеих сессиях операции с валютой производятся в системе электронных лотовых торгов (СЭЛТ). Каждый банк указывает курс, по которому он готов купить или продать валюту, а также объем продажи или покупки. </w:t>
      </w:r>
    </w:p>
    <w:p w:rsidR="009D564D" w:rsidRDefault="009D564D" w:rsidP="009D564D">
      <w:pPr>
        <w:spacing w:before="120"/>
        <w:ind w:firstLine="567"/>
        <w:jc w:val="both"/>
      </w:pPr>
      <w:r w:rsidRPr="003F2C24">
        <w:t>Легальный рынок наличной иностранной валюты возник в России в 1992 г., когда граждане получили право осуществлять валютные операции на основе Указа Президента РФ «О либерализации внешнеэкономической деятельности» от 15.11.91 года. Тогда впервые российские граждане смогли выбирать, в какой форме лучше держать сбережения – в наличных рублях, в рублевых вкладах в банках, в наличной иностранной валюте или на валютных счетах в уполномоченных банках.</w:t>
      </w:r>
    </w:p>
    <w:p w:rsidR="009D564D" w:rsidRPr="003F2C24" w:rsidRDefault="009D564D" w:rsidP="009D564D">
      <w:pPr>
        <w:spacing w:before="120"/>
        <w:ind w:firstLine="567"/>
        <w:jc w:val="both"/>
      </w:pPr>
      <w:r w:rsidRPr="003F2C24">
        <w:t xml:space="preserve">Валютный рынок стал первым по времени возникновения – и поначалу оставался практически единственным – сегментом рынка ссудных капиталов России. Объем этого рынка постоянно возрастал и в 1995 г. превысил уровень 1992 г. в 12-13 раз. Однако в 1996 г. объем операций сократился против 1995 г. в 1,6-1,7 раза, до 190-240 млн. долларов в среднем за день. </w:t>
      </w:r>
    </w:p>
    <w:p w:rsidR="009D564D" w:rsidRPr="003F2C24" w:rsidRDefault="009D564D" w:rsidP="009D564D">
      <w:pPr>
        <w:spacing w:before="120"/>
        <w:ind w:firstLine="567"/>
        <w:jc w:val="both"/>
      </w:pPr>
      <w:r w:rsidRPr="003F2C24">
        <w:t>Непомерное разбухание рынка государственных денежных обязательств, обусловленное крупным дефицитом федерального бюджета, привело к превращению этого рынка в хрупкую финансовую пирамиду. Дело закономерно завершилось обрушением этой пирамиды, возникновением практически ситуации дефолта. Это нашло свое выражение в принятии Правительством в августе 1998 г. решения о принудительном обмене им финансовых обязательств со сроком погашения до конца 1999 г. на новые ценные бумаги со сроком погашения три-пять лет. Крушение рынка государственных обязательств, а также резкое снижение уровня капитализации фондовых ценностей вернули структуру финансового рынка России на несколько лет назад. Валютный рынок на какое-то время снова оказался единственным эффективно действующим сегментом этого рынка.</w:t>
      </w:r>
    </w:p>
    <w:p w:rsidR="009D564D" w:rsidRPr="003F2C24" w:rsidRDefault="009D564D" w:rsidP="009D564D">
      <w:pPr>
        <w:spacing w:before="120"/>
        <w:ind w:firstLine="567"/>
        <w:jc w:val="both"/>
      </w:pPr>
      <w:r w:rsidRPr="003F2C24">
        <w:t>Финансовый кризис августа 1998 г. стал своего рода рубежом в развитии российского валютного рынка. Есть основания говорить о двух периодах в истории валютного рынка – до и после финансового кризиса.</w:t>
      </w:r>
    </w:p>
    <w:p w:rsidR="009D564D" w:rsidRPr="003F2C24" w:rsidRDefault="009D564D" w:rsidP="009D564D">
      <w:pPr>
        <w:spacing w:before="120"/>
        <w:ind w:firstLine="567"/>
        <w:jc w:val="both"/>
      </w:pPr>
      <w:r w:rsidRPr="003F2C24">
        <w:t>До финансового кризиса развитие валютного рынка шло во многом стихийным путем. ЦБ РФ проводил в целом мягкую, корректирующую политику, уделяя основное внимание организации, развитию инфраструктуры и либерализации рынка. Такая политика способствовала значительному росту объема операций на валютном рынке, расширению спектра инструментов валютного рынка, высокой активности коммерческими банками, усложнению инфраструктуры валютного рынка, вовлечению в валютные операции широкого круга КБ, превращению валютного рынка в ключевой сегмент российского финансового рынка. Вместе с тем слабостью такой политики был недостаточный контроль и надзор со стороны ЦБ за операциями КБ на валютном рынке.</w:t>
      </w:r>
    </w:p>
    <w:p w:rsidR="009D564D" w:rsidRPr="003F2C24" w:rsidRDefault="009D564D" w:rsidP="009D564D">
      <w:pPr>
        <w:spacing w:before="120"/>
        <w:ind w:firstLine="567"/>
        <w:jc w:val="both"/>
      </w:pPr>
      <w:r w:rsidRPr="003F2C24">
        <w:t xml:space="preserve">После финансового кризиса пересмотреть свою валютную политику на рынке ЦБ заставила крайне тяжелая ситуация, которая сложилась после августовского финансового кризиса. Объемы операций на ММВБ упали до 30 млн. долларов в день. На межбанковском рынке операции с валютой не проводились: банки не доверяли друг другу. Колебания курса от одной торговой сессии до другой составляли от 9 до 18 руб., что объясняется резким сокращением предложения валюты на рынке. Экспортеры и импортеры теряли ориентацию в своей внешнеэкономической деятельности. Экспортеры отказывались переводить валютную выручку из-за ненадежности российских банков. Банки же не желали продавать валюту, опасаясь дальнейшего падения курса рубля. </w:t>
      </w:r>
    </w:p>
    <w:p w:rsidR="009D564D" w:rsidRPr="003F2C24" w:rsidRDefault="009D564D" w:rsidP="009D564D">
      <w:pPr>
        <w:spacing w:before="120"/>
        <w:ind w:firstLine="567"/>
        <w:jc w:val="both"/>
      </w:pPr>
      <w:r w:rsidRPr="003F2C24">
        <w:t>Критическая ситуация на рынке потребовала от ЦБ жестких и неординарных действий. Прежде всего ЦБ отступил от политики либерализации, приняв целый ряд мер по ужесточению контроля за операциями на рынке:</w:t>
      </w:r>
    </w:p>
    <w:p w:rsidR="009D564D" w:rsidRPr="003F2C24" w:rsidRDefault="009D564D" w:rsidP="009D564D">
      <w:pPr>
        <w:spacing w:before="120"/>
        <w:ind w:firstLine="567"/>
        <w:jc w:val="both"/>
      </w:pPr>
      <w:r w:rsidRPr="003F2C24">
        <w:t>1. Во-первых, ЦБ пошел на девальвацию рубля, отказавшись от валютного коридора.</w:t>
      </w:r>
    </w:p>
    <w:p w:rsidR="009D564D" w:rsidRPr="003F2C24" w:rsidRDefault="009D564D" w:rsidP="009D564D">
      <w:pPr>
        <w:spacing w:before="120"/>
        <w:ind w:firstLine="567"/>
        <w:jc w:val="both"/>
      </w:pPr>
      <w:r w:rsidRPr="003F2C24">
        <w:t>2. Во-вторых, на протяжении сентября 1998 г. – июня 1999 г. ЦБ ввел более десятка ограничений на операции, связанные с валютными операциями коммерческими банками. Так, 16 сентября 1998 г. введено требование обязательной продажи 50% экспортной валютной выручки только на межбанковских валютных биржах. Цель введенного требования состояла в том, чтобы ужесточить контроль за продажей экспортной валютной выручки в силу того, что на биржевом рынке есть возможность проконтролировать факт продажи установленной экспортной выручки.</w:t>
      </w:r>
    </w:p>
    <w:p w:rsidR="009D564D" w:rsidRPr="003F2C24" w:rsidRDefault="009D564D" w:rsidP="009D564D">
      <w:pPr>
        <w:spacing w:before="120"/>
        <w:ind w:firstLine="567"/>
        <w:jc w:val="both"/>
      </w:pPr>
      <w:r w:rsidRPr="003F2C24">
        <w:t>Действия ЦБ после финансового кризиса августа 1998 г. оцениваются по-разному его участниками. Тем не менее, нельзя не признать, что в этот период были решены первоочередные задачи, связанные с восстановлением валютного рынка:</w:t>
      </w:r>
    </w:p>
    <w:p w:rsidR="009D564D" w:rsidRPr="003F2C24" w:rsidRDefault="009D564D" w:rsidP="009D564D">
      <w:pPr>
        <w:spacing w:before="120"/>
        <w:ind w:firstLine="567"/>
        <w:jc w:val="both"/>
      </w:pPr>
      <w:r w:rsidRPr="003F2C24">
        <w:t>обеспеченно относительное равновесие спроса и предложения на валютном рынке и устранена угроза неконтролируемых изменений курса рубля. За девять месяцев 1999 г. курс доллара на валютном рынке повысился на 25% при инфляции в 32,4%;</w:t>
      </w:r>
    </w:p>
    <w:p w:rsidR="009D564D" w:rsidRPr="003F2C24" w:rsidRDefault="009D564D" w:rsidP="009D564D">
      <w:pPr>
        <w:spacing w:before="120"/>
        <w:ind w:firstLine="567"/>
        <w:jc w:val="both"/>
      </w:pPr>
      <w:r w:rsidRPr="003F2C24">
        <w:t>созданы условия для поддержания уровня валютных резервов и</w:t>
      </w:r>
      <w:r>
        <w:t xml:space="preserve"> </w:t>
      </w:r>
      <w:r w:rsidRPr="003F2C24">
        <w:t>мобилизации валютных средств для обслуживания внешнего долга;</w:t>
      </w:r>
    </w:p>
    <w:p w:rsidR="009D564D" w:rsidRPr="003F2C24" w:rsidRDefault="009D564D" w:rsidP="009D564D">
      <w:pPr>
        <w:spacing w:before="120"/>
        <w:ind w:firstLine="567"/>
        <w:jc w:val="both"/>
      </w:pPr>
      <w:r w:rsidRPr="003F2C24">
        <w:t>усилена роль валютного рынка в обслуживании внешнеторговых связей. В настоящее время около 60% операций на биржевом рынке непосредственно связаны с обслуживанием операций по экспорту и импорту;</w:t>
      </w:r>
    </w:p>
    <w:p w:rsidR="009D564D" w:rsidRPr="003F2C24" w:rsidRDefault="009D564D" w:rsidP="009D564D">
      <w:pPr>
        <w:spacing w:before="120"/>
        <w:ind w:firstLine="567"/>
        <w:jc w:val="both"/>
      </w:pPr>
      <w:r w:rsidRPr="003F2C24">
        <w:t>ограничены спекулятивные возможности КБ;</w:t>
      </w:r>
    </w:p>
    <w:p w:rsidR="009D564D" w:rsidRPr="003F2C24" w:rsidRDefault="009D564D" w:rsidP="009D564D">
      <w:pPr>
        <w:spacing w:before="120"/>
        <w:ind w:firstLine="567"/>
        <w:jc w:val="both"/>
      </w:pPr>
      <w:r w:rsidRPr="003F2C24">
        <w:t>ужесточен контроль над бегством капитала из страны.</w:t>
      </w:r>
    </w:p>
    <w:p w:rsidR="009D564D" w:rsidRDefault="009D564D" w:rsidP="009D564D">
      <w:pPr>
        <w:spacing w:before="120"/>
        <w:ind w:firstLine="567"/>
        <w:jc w:val="both"/>
      </w:pPr>
      <w:r w:rsidRPr="003F2C24">
        <w:t>Нынешняя ситуация на валютном рынке требует либерализации валютного законодательства. С 2007 года начнет действовать новый закон о валютном контроле. Считается, что документ носит либеральный характер. В нем, в частности, максимально исключена возможность ввода ограничений на валютном рынке со стороны ЦБ или правительства. В ходе рассмотрения законопроекта в ГосДуме из него были исключены почти все текущие и часть капитальных операций, по которым кабинет министров или Банк России могут вводить ограничения. Фактически у монетарных властей осталось два очень мощных рычага воздействия на трансграничные потоки капитала. Во-первых, в законе закреплено право ЦБ потребовать от инвесторов при вывозе средств за рубеж зарезервировать до 100% вывозимого объема на срок до двух месяцев. Во-вторых, при ввозе капитала допускается возможность депонирования до 20% средств на срок до одного года. Таким образом, срок действия всех ограничительных норм 1 января 2007 г. После этой даты все ограничения утратят силу, если, конечно, законодатели не сочтут необходимым вновь подправить закон.</w:t>
      </w:r>
    </w:p>
    <w:p w:rsidR="009D564D" w:rsidRPr="000E06A0" w:rsidRDefault="009D564D" w:rsidP="009D564D">
      <w:pPr>
        <w:spacing w:before="120"/>
        <w:jc w:val="center"/>
        <w:rPr>
          <w:b/>
          <w:bCs/>
          <w:sz w:val="28"/>
          <w:szCs w:val="28"/>
        </w:rPr>
      </w:pPr>
      <w:r w:rsidRPr="000E06A0">
        <w:rPr>
          <w:b/>
          <w:bCs/>
          <w:sz w:val="28"/>
          <w:szCs w:val="28"/>
        </w:rPr>
        <w:t>Глава 4. Платежный баланс</w:t>
      </w:r>
    </w:p>
    <w:p w:rsidR="009D564D" w:rsidRPr="003F2C24" w:rsidRDefault="009D564D" w:rsidP="009D564D">
      <w:pPr>
        <w:spacing w:before="120"/>
        <w:ind w:firstLine="567"/>
        <w:jc w:val="both"/>
      </w:pPr>
      <w:r w:rsidRPr="003F2C24">
        <w:t>Понятие и структура платежного баланса</w:t>
      </w:r>
    </w:p>
    <w:p w:rsidR="009D564D" w:rsidRPr="003F2C24" w:rsidRDefault="009D564D" w:rsidP="009D564D">
      <w:pPr>
        <w:spacing w:before="120"/>
        <w:ind w:firstLine="567"/>
        <w:jc w:val="both"/>
      </w:pPr>
      <w:r w:rsidRPr="003F2C24">
        <w:t>Платежный баланс – это соотношение платежей, произведенных данной страной другим странам, и валютных поступлений из-за границы, за определенный период времени.</w:t>
      </w:r>
    </w:p>
    <w:p w:rsidR="009D564D" w:rsidRPr="003F2C24" w:rsidRDefault="009D564D" w:rsidP="009D564D">
      <w:pPr>
        <w:spacing w:before="120"/>
        <w:ind w:firstLine="567"/>
        <w:jc w:val="both"/>
      </w:pPr>
      <w:r w:rsidRPr="003F2C24">
        <w:t>Данные платежного баланса отражают, как в течение отчетного периода развивалась торговля с другими странами, которая непосредственно влияет на уровень производства, занятости и потребления, сколько доходов было получено от нерезидентов и сколько было выплачено им. Согласно рекомендациям МВФ, платежный баланс сводят за определённый период, т.е. отражают не только фактически совершенные платежи, но и платежи, которые будут совершены в течение отчетного периода. Следовательно, платежные балансы чаще всего содержат данные расчетных балансов. Следует отметить, что в платежном балансе фиксируются не сами внешнеэкономические операции, а их денежный результат.</w:t>
      </w:r>
    </w:p>
    <w:p w:rsidR="009D564D" w:rsidRPr="003F2C24" w:rsidRDefault="009D564D" w:rsidP="009D564D">
      <w:pPr>
        <w:spacing w:before="120"/>
        <w:ind w:firstLine="567"/>
        <w:jc w:val="both"/>
      </w:pPr>
      <w:r w:rsidRPr="003F2C24">
        <w:t>Разделение платежного баланса происходит на конкретные счета, или компоненты, которые основываются на ряде принципов, среди которых следует особо выделить следующие:</w:t>
      </w:r>
    </w:p>
    <w:p w:rsidR="009D564D" w:rsidRPr="003F2C24" w:rsidRDefault="009D564D" w:rsidP="009D564D">
      <w:pPr>
        <w:spacing w:before="120"/>
        <w:ind w:firstLine="567"/>
        <w:jc w:val="both"/>
      </w:pPr>
      <w:r w:rsidRPr="003F2C24">
        <w:t>каждая статья платежного баланса должна иметь свои особенности, т.е. фактор или их совокупность, оказывающие влияние на объем одной статьи, должны отличаться от факторов, воздействующих на иные статьи;</w:t>
      </w:r>
    </w:p>
    <w:p w:rsidR="009D564D" w:rsidRPr="003F2C24" w:rsidRDefault="009D564D" w:rsidP="009D564D">
      <w:pPr>
        <w:spacing w:before="120"/>
        <w:ind w:firstLine="567"/>
        <w:jc w:val="both"/>
      </w:pPr>
      <w:r w:rsidRPr="003F2C24">
        <w:t>сбор информации для учета по статьям не должен представлять особых сложностей для составителей баланса;</w:t>
      </w:r>
    </w:p>
    <w:p w:rsidR="009D564D" w:rsidRPr="003F2C24" w:rsidRDefault="009D564D" w:rsidP="009D564D">
      <w:pPr>
        <w:spacing w:before="120"/>
        <w:ind w:firstLine="567"/>
        <w:jc w:val="both"/>
      </w:pPr>
      <w:r w:rsidRPr="003F2C24">
        <w:t>структура платежного баланса должна быть такой, чтобы показатели платежного баланса сочетались с другими статистическими системами, например, системой национальных счетов; в то же время, количество статей не должно быть чрезмерно многочисленным, а сами статьи должны подлежать консолидации в компоненты более высокого уровня (для того, чтобы страны, не вышедшие на высокий уровень обработки статистической информации были способны представлять платежный баланс с меньшей детализацией).</w:t>
      </w:r>
    </w:p>
    <w:p w:rsidR="009D564D" w:rsidRPr="003F2C24" w:rsidRDefault="009D564D" w:rsidP="009D564D">
      <w:pPr>
        <w:spacing w:before="120"/>
        <w:ind w:firstLine="567"/>
        <w:jc w:val="both"/>
      </w:pPr>
      <w:r w:rsidRPr="003F2C24">
        <w:t>Статьи платежного баланса делятся на основные и балансирующие. Сальдо баланса измеряется только по основным статьям, а балансирующие статьи в сумме должны быть равны сальдо платежного баланса, так как они показывают куда расходуются денежные средства.</w:t>
      </w:r>
    </w:p>
    <w:p w:rsidR="009D564D" w:rsidRPr="003F2C24" w:rsidRDefault="009D564D" w:rsidP="009D564D">
      <w:pPr>
        <w:spacing w:before="120"/>
        <w:ind w:firstLine="567"/>
        <w:jc w:val="both"/>
      </w:pPr>
      <w:r w:rsidRPr="003F2C24">
        <w:t>В различные периоды времени отнесение статей платежного баланса к основным и балансирующим осуществлялось по-разному. Однако с 1976 года платежный баланс содержит два раздела.</w:t>
      </w:r>
    </w:p>
    <w:p w:rsidR="009D564D" w:rsidRPr="003F2C24" w:rsidRDefault="009D564D" w:rsidP="009D564D">
      <w:pPr>
        <w:spacing w:before="120"/>
        <w:ind w:firstLine="567"/>
        <w:jc w:val="both"/>
      </w:pPr>
      <w:r w:rsidRPr="003F2C24">
        <w:t>Счет текущих операций, который включает в себя торговый баланс (валютные поступления и платежи, связанные с экспортом и импортом товаров и услуг), доходы от инвестиций, % по кредитам и односторонние государственные трансферты.</w:t>
      </w:r>
    </w:p>
    <w:p w:rsidR="009D564D" w:rsidRPr="003F2C24" w:rsidRDefault="009D564D" w:rsidP="009D564D">
      <w:pPr>
        <w:spacing w:before="120"/>
        <w:ind w:firstLine="567"/>
        <w:jc w:val="both"/>
      </w:pPr>
      <w:r w:rsidRPr="003F2C24">
        <w:t>Счет движения капитала и кредитов, который отражает движение прямых и портфельных инвестиций, полученные и предоставленные кредиты, прочие инвестиции, а также состояние и изменение валютных резервов страны.</w:t>
      </w:r>
    </w:p>
    <w:p w:rsidR="009D564D" w:rsidRPr="003F2C24" w:rsidRDefault="009D564D" w:rsidP="009D564D">
      <w:pPr>
        <w:spacing w:before="120"/>
        <w:ind w:firstLine="567"/>
        <w:jc w:val="both"/>
      </w:pPr>
      <w:r w:rsidRPr="003F2C24">
        <w:t>Сальдо нынешнего баланса измеряется по счетам текущих операций.</w:t>
      </w:r>
    </w:p>
    <w:p w:rsidR="009D564D" w:rsidRDefault="009D564D" w:rsidP="009D564D">
      <w:pPr>
        <w:spacing w:before="120"/>
        <w:ind w:firstLine="567"/>
        <w:jc w:val="both"/>
      </w:pPr>
      <w:r w:rsidRPr="003F2C24">
        <w:t>Платежный баланс России стал открыто публиковаться после вступления РФ в МВФ, т.е. с 1992 года. С того времени наблюдается постоянно положительное изменение платежного баланса, но это не из-за того, что экономика России крепнет. Всему этому есть простое объяснение – мировые цены на энергоресурсы постоянно растут, а Россия является одним из ведущих поставщиков этих ресурсов.</w:t>
      </w:r>
    </w:p>
    <w:p w:rsidR="009D564D" w:rsidRPr="003F2C24" w:rsidRDefault="009D564D" w:rsidP="009D564D">
      <w:pPr>
        <w:spacing w:before="120"/>
        <w:ind w:firstLine="567"/>
        <w:jc w:val="both"/>
      </w:pPr>
      <w:r w:rsidRPr="003F2C24">
        <w:t>Таблица 3</w:t>
      </w:r>
    </w:p>
    <w:tbl>
      <w:tblPr>
        <w:tblW w:w="5000" w:type="pct"/>
        <w:tblCellSpacing w:w="0" w:type="dxa"/>
        <w:tblCellMar>
          <w:left w:w="0" w:type="dxa"/>
          <w:right w:w="0" w:type="dxa"/>
        </w:tblCellMar>
        <w:tblLook w:val="0000" w:firstRow="0" w:lastRow="0" w:firstColumn="0" w:lastColumn="0" w:noHBand="0" w:noVBand="0"/>
      </w:tblPr>
      <w:tblGrid>
        <w:gridCol w:w="9638"/>
      </w:tblGrid>
      <w:tr w:rsidR="009D564D" w:rsidRPr="003F2C24" w:rsidTr="0088782C">
        <w:trPr>
          <w:tblCellSpacing w:w="0" w:type="dxa"/>
        </w:trPr>
        <w:tc>
          <w:tcPr>
            <w:tcW w:w="0" w:type="auto"/>
            <w:vAlign w:val="center"/>
          </w:tcPr>
          <w:p w:rsidR="009D564D" w:rsidRPr="003F2C24" w:rsidRDefault="009D564D" w:rsidP="0088782C">
            <w:pPr>
              <w:spacing w:before="120"/>
              <w:ind w:firstLine="567"/>
              <w:jc w:val="both"/>
            </w:pPr>
            <w:r w:rsidRPr="003F2C24">
              <w:t>Оценка платежного баланса Российской Федерации за 2005 год 8</w:t>
            </w:r>
          </w:p>
          <w:p w:rsidR="009D564D" w:rsidRDefault="009D564D" w:rsidP="0088782C">
            <w:pPr>
              <w:spacing w:before="120"/>
              <w:ind w:firstLine="567"/>
              <w:jc w:val="both"/>
            </w:pPr>
            <w:r w:rsidRPr="003F2C24">
              <w:t>(млрд. долларов США)</w:t>
            </w:r>
          </w:p>
          <w:p w:rsidR="009D564D" w:rsidRPr="003F2C24" w:rsidRDefault="009D564D" w:rsidP="0088782C">
            <w:pPr>
              <w:spacing w:before="120"/>
              <w:ind w:firstLine="567"/>
              <w:jc w:val="both"/>
            </w:pPr>
          </w:p>
        </w:tc>
      </w:tr>
    </w:tbl>
    <w:p w:rsidR="009D564D" w:rsidRPr="003F2C24" w:rsidRDefault="009D564D" w:rsidP="009D564D">
      <w:pPr>
        <w:spacing w:before="120"/>
        <w:ind w:firstLine="567"/>
        <w:jc w:val="both"/>
      </w:pPr>
    </w:p>
    <w:tbl>
      <w:tblPr>
        <w:tblW w:w="5000" w:type="pct"/>
        <w:tblCellSpacing w:w="0" w:type="dxa"/>
        <w:tblCellMar>
          <w:left w:w="0" w:type="dxa"/>
          <w:right w:w="0" w:type="dxa"/>
        </w:tblCellMar>
        <w:tblLook w:val="0000" w:firstRow="0" w:lastRow="0" w:firstColumn="0" w:lastColumn="0" w:noHBand="0" w:noVBand="0"/>
      </w:tblPr>
      <w:tblGrid>
        <w:gridCol w:w="9638"/>
      </w:tblGrid>
      <w:tr w:rsidR="009D564D" w:rsidRPr="003F2C24" w:rsidTr="0088782C">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036"/>
              <w:gridCol w:w="1494"/>
              <w:gridCol w:w="1249"/>
              <w:gridCol w:w="1396"/>
              <w:gridCol w:w="1453"/>
            </w:tblGrid>
            <w:tr w:rsidR="009D564D" w:rsidRPr="003F2C24" w:rsidTr="0088782C">
              <w:trPr>
                <w:cantSplit/>
                <w:tblCellSpacing w:w="7" w:type="dxa"/>
              </w:trPr>
              <w:tc>
                <w:tcPr>
                  <w:tcW w:w="20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D564D" w:rsidRPr="003F2C24" w:rsidRDefault="009D564D" w:rsidP="0088782C">
                  <w:r w:rsidRPr="003F2C24">
                    <w:t xml:space="preserve"> </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D564D" w:rsidRPr="003F2C24" w:rsidRDefault="009D564D" w:rsidP="0088782C">
                  <w:r w:rsidRPr="003F2C24">
                    <w:t>2005 г.</w:t>
                  </w:r>
                </w:p>
                <w:p w:rsidR="009D564D" w:rsidRPr="003F2C24" w:rsidRDefault="009D564D" w:rsidP="0088782C">
                  <w:r w:rsidRPr="003F2C24">
                    <w:t>(оценка)</w:t>
                  </w:r>
                </w:p>
              </w:tc>
              <w:tc>
                <w:tcPr>
                  <w:tcW w:w="2109"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9D564D" w:rsidRPr="003F2C24" w:rsidRDefault="009D564D" w:rsidP="0088782C">
                  <w:r w:rsidRPr="003F2C24">
                    <w:t>Справочно:</w:t>
                  </w:r>
                </w:p>
              </w:tc>
            </w:tr>
            <w:tr w:rsidR="009D564D" w:rsidRPr="003F2C24" w:rsidTr="0088782C">
              <w:trPr>
                <w:cantSplit/>
                <w:tblCellSpacing w:w="7" w:type="dxa"/>
              </w:trPr>
              <w:tc>
                <w:tcPr>
                  <w:tcW w:w="2091" w:type="pct"/>
                  <w:vMerge/>
                  <w:tcBorders>
                    <w:top w:val="single" w:sz="4" w:space="0" w:color="auto"/>
                    <w:left w:val="single" w:sz="4" w:space="0" w:color="auto"/>
                    <w:bottom w:val="single" w:sz="4" w:space="0" w:color="auto"/>
                    <w:right w:val="single" w:sz="4" w:space="0" w:color="auto"/>
                  </w:tcBorders>
                  <w:vAlign w:val="center"/>
                </w:tcPr>
                <w:p w:rsidR="009D564D" w:rsidRPr="003F2C24" w:rsidRDefault="009D564D" w:rsidP="0088782C"/>
              </w:tc>
              <w:tc>
                <w:tcPr>
                  <w:tcW w:w="771" w:type="pct"/>
                  <w:vMerge/>
                  <w:tcBorders>
                    <w:top w:val="single" w:sz="4" w:space="0" w:color="auto"/>
                    <w:left w:val="single" w:sz="4" w:space="0" w:color="auto"/>
                    <w:bottom w:val="single" w:sz="4" w:space="0" w:color="auto"/>
                    <w:right w:val="single" w:sz="4" w:space="0" w:color="auto"/>
                  </w:tcBorders>
                  <w:vAlign w:val="center"/>
                </w:tcPr>
                <w:p w:rsidR="009D564D" w:rsidRPr="003F2C24" w:rsidRDefault="009D564D" w:rsidP="0088782C"/>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rsidR="009D564D" w:rsidRPr="003F2C24" w:rsidRDefault="009D564D" w:rsidP="0088782C">
                  <w:r w:rsidRPr="003F2C24">
                    <w:t>2004 год</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tcPr>
                <w:p w:rsidR="009D564D" w:rsidRPr="003F2C24" w:rsidRDefault="009D564D" w:rsidP="0088782C">
                  <w:r w:rsidRPr="003F2C24">
                    <w:t>январь-сентябрь 2005 года</w:t>
                  </w:r>
                </w:p>
              </w:tc>
              <w:tc>
                <w:tcPr>
                  <w:tcW w:w="731" w:type="pct"/>
                  <w:tcBorders>
                    <w:top w:val="single" w:sz="4" w:space="0" w:color="auto"/>
                    <w:left w:val="single" w:sz="4" w:space="0" w:color="auto"/>
                    <w:bottom w:val="single" w:sz="4" w:space="0" w:color="auto"/>
                    <w:right w:val="single" w:sz="4" w:space="0" w:color="auto"/>
                  </w:tcBorders>
                  <w:shd w:val="clear" w:color="auto" w:fill="FFFFFF"/>
                  <w:vAlign w:val="center"/>
                </w:tcPr>
                <w:p w:rsidR="009D564D" w:rsidRPr="003F2C24" w:rsidRDefault="009D564D" w:rsidP="0088782C">
                  <w:r w:rsidRPr="003F2C24">
                    <w:t>январь-сентябрь 2004 года</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p w:rsidR="009D564D" w:rsidRPr="003F2C24" w:rsidRDefault="009D564D" w:rsidP="0088782C">
                  <w:r w:rsidRPr="003F2C24">
                    <w:t>Счет текущих операций</w:t>
                  </w:r>
                </w:p>
              </w:tc>
              <w:tc>
                <w:tcPr>
                  <w:tcW w:w="771" w:type="pct"/>
                  <w:tcBorders>
                    <w:top w:val="nil"/>
                    <w:left w:val="nil"/>
                    <w:bottom w:val="nil"/>
                    <w:right w:val="nil"/>
                  </w:tcBorders>
                  <w:shd w:val="clear" w:color="auto" w:fill="FFFFFF"/>
                  <w:vAlign w:val="center"/>
                </w:tcPr>
                <w:p w:rsidR="009D564D" w:rsidRPr="003F2C24" w:rsidRDefault="009D564D" w:rsidP="0088782C">
                  <w:r w:rsidRPr="003F2C24">
                    <w:t>86,6</w:t>
                  </w:r>
                </w:p>
              </w:tc>
              <w:tc>
                <w:tcPr>
                  <w:tcW w:w="643" w:type="pct"/>
                  <w:tcBorders>
                    <w:top w:val="nil"/>
                    <w:left w:val="nil"/>
                    <w:bottom w:val="nil"/>
                    <w:right w:val="nil"/>
                  </w:tcBorders>
                  <w:shd w:val="clear" w:color="auto" w:fill="FFFFFF"/>
                  <w:vAlign w:val="center"/>
                </w:tcPr>
                <w:p w:rsidR="009D564D" w:rsidRPr="003F2C24" w:rsidRDefault="009D564D" w:rsidP="0088782C">
                  <w:r w:rsidRPr="003F2C24">
                    <w:t>58,6</w:t>
                  </w:r>
                </w:p>
              </w:tc>
              <w:tc>
                <w:tcPr>
                  <w:tcW w:w="720" w:type="pct"/>
                  <w:tcBorders>
                    <w:top w:val="nil"/>
                    <w:left w:val="nil"/>
                    <w:bottom w:val="nil"/>
                    <w:right w:val="nil"/>
                  </w:tcBorders>
                  <w:shd w:val="clear" w:color="auto" w:fill="FFFFFF"/>
                  <w:vAlign w:val="center"/>
                </w:tcPr>
                <w:p w:rsidR="009D564D" w:rsidRPr="003F2C24" w:rsidRDefault="009D564D" w:rsidP="0088782C">
                  <w:r w:rsidRPr="003F2C24">
                    <w:t>62,9</w:t>
                  </w:r>
                </w:p>
              </w:tc>
              <w:tc>
                <w:tcPr>
                  <w:tcW w:w="731" w:type="pct"/>
                  <w:tcBorders>
                    <w:top w:val="nil"/>
                    <w:left w:val="nil"/>
                    <w:bottom w:val="nil"/>
                    <w:right w:val="single" w:sz="4" w:space="0" w:color="auto"/>
                  </w:tcBorders>
                  <w:shd w:val="clear" w:color="auto" w:fill="FFFFFF"/>
                  <w:vAlign w:val="center"/>
                </w:tcPr>
                <w:p w:rsidR="009D564D" w:rsidRPr="003F2C24" w:rsidRDefault="009D564D" w:rsidP="0088782C">
                  <w:r w:rsidRPr="003F2C24">
                    <w:t>40,8</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1788"/>
                  </w:tblGrid>
                  <w:tr w:rsidR="009D564D" w:rsidRPr="003F2C24" w:rsidTr="0088782C">
                    <w:trPr>
                      <w:tblCellSpacing w:w="0" w:type="dxa"/>
                    </w:trPr>
                    <w:tc>
                      <w:tcPr>
                        <w:tcW w:w="1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Торговый баланс</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120,2</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85,8</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88,8</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61,1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00"/>
                    <w:gridCol w:w="885"/>
                  </w:tblGrid>
                  <w:tr w:rsidR="009D564D" w:rsidRPr="003F2C24" w:rsidTr="0088782C">
                    <w:trPr>
                      <w:tblCellSpacing w:w="0" w:type="dxa"/>
                    </w:trPr>
                    <w:tc>
                      <w:tcPr>
                        <w:tcW w:w="3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Экспорт</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245,3</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183,2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176,2</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128,9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left w:w="0" w:type="dxa"/>
                      <w:right w:w="0" w:type="dxa"/>
                    </w:tblCellMar>
                    <w:tblLook w:val="0000" w:firstRow="0" w:lastRow="0" w:firstColumn="0" w:lastColumn="0" w:noHBand="0" w:noVBand="0"/>
                  </w:tblPr>
                  <w:tblGrid>
                    <w:gridCol w:w="450"/>
                    <w:gridCol w:w="1270"/>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сырая нефть</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84,7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59,0</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61,6</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42,1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left w:w="0" w:type="dxa"/>
                      <w:right w:w="0" w:type="dxa"/>
                    </w:tblCellMar>
                    <w:tblLook w:val="0000" w:firstRow="0" w:lastRow="0" w:firstColumn="0" w:lastColumn="0" w:noHBand="0" w:noVBand="0"/>
                  </w:tblPr>
                  <w:tblGrid>
                    <w:gridCol w:w="450"/>
                    <w:gridCol w:w="1596"/>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нефтепродукты</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33,3</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19,3</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23,8</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13,7</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698"/>
                    <w:gridCol w:w="3277"/>
                  </w:tblGrid>
                  <w:tr w:rsidR="009D564D" w:rsidRPr="003F2C24" w:rsidTr="0088782C">
                    <w:trPr>
                      <w:tblCellSpacing w:w="0" w:type="dxa"/>
                    </w:trPr>
                    <w:tc>
                      <w:tcPr>
                        <w:tcW w:w="878" w:type="pct"/>
                        <w:tcBorders>
                          <w:top w:val="nil"/>
                          <w:left w:val="nil"/>
                          <w:bottom w:val="nil"/>
                          <w:right w:val="nil"/>
                        </w:tcBorders>
                        <w:vAlign w:val="center"/>
                      </w:tcPr>
                      <w:p w:rsidR="009D564D" w:rsidRPr="003F2C24" w:rsidRDefault="009D564D" w:rsidP="0088782C"/>
                    </w:tc>
                    <w:tc>
                      <w:tcPr>
                        <w:tcW w:w="4122" w:type="pct"/>
                        <w:tcBorders>
                          <w:top w:val="nil"/>
                          <w:left w:val="nil"/>
                          <w:bottom w:val="nil"/>
                          <w:right w:val="nil"/>
                        </w:tcBorders>
                        <w:vAlign w:val="center"/>
                      </w:tcPr>
                      <w:p w:rsidR="009D564D" w:rsidRPr="003F2C24" w:rsidRDefault="009D564D" w:rsidP="0088782C">
                        <w:r w:rsidRPr="003F2C24">
                          <w:t>природный газ</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31,6</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21,9</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22,3</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15,8</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755"/>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прочие</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95,7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83,0</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68,5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57,4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00"/>
                    <w:gridCol w:w="829"/>
                  </w:tblGrid>
                  <w:tr w:rsidR="009D564D" w:rsidRPr="003F2C24" w:rsidTr="0088782C">
                    <w:trPr>
                      <w:tblCellSpacing w:w="0" w:type="dxa"/>
                    </w:trPr>
                    <w:tc>
                      <w:tcPr>
                        <w:tcW w:w="3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Импорт</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-125,1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-97,4</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-87,5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-67,9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1361"/>
                  </w:tblGrid>
                  <w:tr w:rsidR="009D564D" w:rsidRPr="003F2C24" w:rsidTr="0088782C">
                    <w:trPr>
                      <w:tblCellSpacing w:w="0" w:type="dxa"/>
                    </w:trPr>
                    <w:tc>
                      <w:tcPr>
                        <w:tcW w:w="1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Баланс услуг</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-14,6</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-13,4</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-10,8</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-10,0</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00"/>
                    <w:gridCol w:w="885"/>
                  </w:tblGrid>
                  <w:tr w:rsidR="009D564D" w:rsidRPr="003F2C24" w:rsidTr="0088782C">
                    <w:trPr>
                      <w:tblCellSpacing w:w="0" w:type="dxa"/>
                    </w:trPr>
                    <w:tc>
                      <w:tcPr>
                        <w:tcW w:w="3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Экспорт</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24,3</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20,3</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17,7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14,8</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00"/>
                    <w:gridCol w:w="829"/>
                  </w:tblGrid>
                  <w:tr w:rsidR="009D564D" w:rsidRPr="003F2C24" w:rsidTr="0088782C">
                    <w:trPr>
                      <w:tblCellSpacing w:w="0" w:type="dxa"/>
                    </w:trPr>
                    <w:tc>
                      <w:tcPr>
                        <w:tcW w:w="3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Импорт</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-38,9</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-33,7</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-28,5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-24,8</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2170"/>
                  </w:tblGrid>
                  <w:tr w:rsidR="009D564D" w:rsidRPr="003F2C24" w:rsidTr="0088782C">
                    <w:trPr>
                      <w:tblCellSpacing w:w="0" w:type="dxa"/>
                    </w:trPr>
                    <w:tc>
                      <w:tcPr>
                        <w:tcW w:w="1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Баланс оплаты труда</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-1,6</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-0,6</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-0,9</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3425"/>
                  </w:tblGrid>
                  <w:tr w:rsidR="009D564D" w:rsidRPr="003F2C24" w:rsidTr="0088782C">
                    <w:trPr>
                      <w:tblCellSpacing w:w="0" w:type="dxa"/>
                    </w:trPr>
                    <w:tc>
                      <w:tcPr>
                        <w:tcW w:w="1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Баланс инвестиционных доходов</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-16,5</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-12,5</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-13,6</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-9,2</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00"/>
                    <w:gridCol w:w="2226"/>
                  </w:tblGrid>
                  <w:tr w:rsidR="009D564D" w:rsidRPr="003F2C24" w:rsidTr="0088782C">
                    <w:trPr>
                      <w:tblCellSpacing w:w="0" w:type="dxa"/>
                    </w:trPr>
                    <w:tc>
                      <w:tcPr>
                        <w:tcW w:w="3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получению</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16,2</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9,2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11,5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6,1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00"/>
                    <w:gridCol w:w="1915"/>
                  </w:tblGrid>
                  <w:tr w:rsidR="009D564D" w:rsidRPr="003F2C24" w:rsidTr="0088782C">
                    <w:trPr>
                      <w:tblCellSpacing w:w="0" w:type="dxa"/>
                    </w:trPr>
                    <w:tc>
                      <w:tcPr>
                        <w:tcW w:w="3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выплате</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-32,7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-21,7</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-25,1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-15,3</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3444"/>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Федеральные органы управления</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-3,4</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-2,8</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226"/>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получению</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1,7</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1,6</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1,6</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91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выплате</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-4,7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-5,1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-4,1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-4,3</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3525"/>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Субъекты Российской Федерации (доходы к выплате)</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3525"/>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 xml:space="preserve">Органы денежно-кредитного регулирования </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1,4</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1,0</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226"/>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получению</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3,8</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1,5</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91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выплате</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-0,2</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-0,2</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648"/>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Банки</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-1,0</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-0,5</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-0,6</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226"/>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получению</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0,9</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0,6</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91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выплате</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-2,6</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-1,4</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-1,0</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2933"/>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Нефинансовые предприятия</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-16,1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-9,9</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-13,0</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-6,9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226"/>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получению</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9,0</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5,1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6,1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2,9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91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Доходы к выплате</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-25,1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-15,0</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-19,1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-9,8</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3024"/>
                  </w:tblGrid>
                  <w:tr w:rsidR="009D564D" w:rsidRPr="003F2C24" w:rsidTr="0088782C">
                    <w:trPr>
                      <w:tblCellSpacing w:w="0" w:type="dxa"/>
                    </w:trPr>
                    <w:tc>
                      <w:tcPr>
                        <w:tcW w:w="1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Баланс текущих трансфертов</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-1,0</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-0,7</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-0,6</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p w:rsidR="009D564D" w:rsidRPr="003F2C24" w:rsidRDefault="009D564D" w:rsidP="0088782C">
                  <w:r w:rsidRPr="003F2C24">
                    <w:t>Счет операций с капиталом и финансовыми инструментами</w:t>
                  </w:r>
                </w:p>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-14,4</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-6,3</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-15,1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-19,0</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3825"/>
                  </w:tblGrid>
                  <w:tr w:rsidR="009D564D" w:rsidRPr="003F2C24" w:rsidTr="0088782C">
                    <w:trPr>
                      <w:tblCellSpacing w:w="0" w:type="dxa"/>
                    </w:trPr>
                    <w:tc>
                      <w:tcPr>
                        <w:tcW w:w="1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Счет операций с капиталом (капитальные трансферты)</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-12,2</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-1,6</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-12,1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50"/>
                    <w:gridCol w:w="3825"/>
                  </w:tblGrid>
                  <w:tr w:rsidR="009D564D" w:rsidRPr="003F2C24" w:rsidTr="0088782C">
                    <w:trPr>
                      <w:tblCellSpacing w:w="0" w:type="dxa"/>
                    </w:trPr>
                    <w:tc>
                      <w:tcPr>
                        <w:tcW w:w="1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Финансовый счет (кроме резервных активов)</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-4,6</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-3,0</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-17,9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00"/>
                    <w:gridCol w:w="3675"/>
                  </w:tblGrid>
                  <w:tr w:rsidR="009D564D" w:rsidRPr="003F2C24" w:rsidTr="0088782C">
                    <w:trPr>
                      <w:tblCellSpacing w:w="0" w:type="dxa"/>
                    </w:trPr>
                    <w:tc>
                      <w:tcPr>
                        <w:tcW w:w="3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Обязательства ('+' - рост, '-' - снижение)</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58,7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34,1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33,7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14,1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3444"/>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Федеральные органы управления</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-21,3</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-2,6</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-20,9</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-3,1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337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Портфельные инвестиции (долговые ценные бумаги)</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-2,0</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2,8</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-2,3</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750"/>
                    <w:gridCol w:w="777"/>
                  </w:tblGrid>
                  <w:tr w:rsidR="009D564D" w:rsidRPr="003F2C24" w:rsidTr="0088782C">
                    <w:trPr>
                      <w:tblCellSpacing w:w="0" w:type="dxa"/>
                    </w:trPr>
                    <w:tc>
                      <w:tcPr>
                        <w:tcW w:w="7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выпуск</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0,0</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0,9</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0,0</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750"/>
                    <w:gridCol w:w="2084"/>
                  </w:tblGrid>
                  <w:tr w:rsidR="009D564D" w:rsidRPr="003F2C24" w:rsidTr="0088782C">
                    <w:trPr>
                      <w:tblCellSpacing w:w="0" w:type="dxa"/>
                    </w:trPr>
                    <w:tc>
                      <w:tcPr>
                        <w:tcW w:w="7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погашение (график)</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-5,2</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-3,3</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-5,0</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-3,2</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00"/>
                    <w:gridCol w:w="975"/>
                  </w:tblGrid>
                  <w:tr w:rsidR="009D564D" w:rsidRPr="003F2C24" w:rsidTr="0088782C">
                    <w:trPr>
                      <w:tblCellSpacing w:w="0" w:type="dxa"/>
                    </w:trPr>
                    <w:tc>
                      <w:tcPr>
                        <w:tcW w:w="9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корпусов</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-3,3</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-1,3</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-3,3</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-1,3</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00"/>
                    <w:gridCol w:w="877"/>
                  </w:tblGrid>
                  <w:tr w:rsidR="009D564D" w:rsidRPr="003F2C24" w:rsidTr="0088782C">
                    <w:trPr>
                      <w:tblCellSpacing w:w="0" w:type="dxa"/>
                    </w:trPr>
                    <w:tc>
                      <w:tcPr>
                        <w:tcW w:w="9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купонов</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-1,9</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-2,0</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-1,8</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750"/>
                    <w:gridCol w:w="2794"/>
                  </w:tblGrid>
                  <w:tr w:rsidR="009D564D" w:rsidRPr="003F2C24" w:rsidTr="0088782C">
                    <w:trPr>
                      <w:tblCellSpacing w:w="0" w:type="dxa"/>
                    </w:trPr>
                    <w:tc>
                      <w:tcPr>
                        <w:tcW w:w="7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реинвестирование доходов</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1,6</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1,7</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750"/>
                    <w:gridCol w:w="1862"/>
                  </w:tblGrid>
                  <w:tr w:rsidR="009D564D" w:rsidRPr="003F2C24" w:rsidTr="0088782C">
                    <w:trPr>
                      <w:tblCellSpacing w:w="0" w:type="dxa"/>
                    </w:trPr>
                    <w:tc>
                      <w:tcPr>
                        <w:tcW w:w="7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вторичный рынок</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3,1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1,2</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2,5</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592"/>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Ссуды и займы</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-19,2</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-18,6</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-0,7</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750"/>
                    <w:gridCol w:w="1541"/>
                  </w:tblGrid>
                  <w:tr w:rsidR="009D564D" w:rsidRPr="003F2C24" w:rsidTr="0088782C">
                    <w:trPr>
                      <w:tblCellSpacing w:w="0" w:type="dxa"/>
                    </w:trPr>
                    <w:tc>
                      <w:tcPr>
                        <w:tcW w:w="7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использование</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0,5</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0,7</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0,3</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750"/>
                    <w:gridCol w:w="2084"/>
                  </w:tblGrid>
                  <w:tr w:rsidR="009D564D" w:rsidRPr="003F2C24" w:rsidTr="0088782C">
                    <w:trPr>
                      <w:tblCellSpacing w:w="0" w:type="dxa"/>
                    </w:trPr>
                    <w:tc>
                      <w:tcPr>
                        <w:tcW w:w="7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погашение (график)</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-19,7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-4,9</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-18,9</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-4,2</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750"/>
                    <w:gridCol w:w="1867"/>
                  </w:tblGrid>
                  <w:tr w:rsidR="009D564D" w:rsidRPr="003F2C24" w:rsidTr="0088782C">
                    <w:trPr>
                      <w:tblCellSpacing w:w="0" w:type="dxa"/>
                    </w:trPr>
                    <w:tc>
                      <w:tcPr>
                        <w:tcW w:w="7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реструктуризация</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0,0</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3,0</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0,0</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3,0</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308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Просроченная задолженность</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0,2</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-2,9</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0,2</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-2,9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28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Прочие обязательства</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-0,3</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-1,4</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-0,3</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3498"/>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Субъекты Российской Федерации</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-0,2</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3525"/>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Органы денежно-кредитного регулирования</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0,3</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-0,7</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557"/>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Кредиты МВФ</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-3,5</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-1,7</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-3,5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28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Прочие обязательства</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4,6</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1,9</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4,6</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0,7</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648"/>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Банки</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18,0</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7,1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12,0</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0,6</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2933"/>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Нефинансовые предприятия</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59,1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29,1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41,7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17,3</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116"/>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Прямые инвестиции</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16,7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12,1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18,5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4,9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698"/>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Портфельные инвестиции</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0,8</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3,2</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592"/>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Ссуды и займы</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39,4</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16,2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20,2</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11,0</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28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Прочие обязательства</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-0,1</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0,0</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0,0</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left w:w="0" w:type="dxa"/>
                      <w:right w:w="0" w:type="dxa"/>
                    </w:tblCellMar>
                    <w:tblLook w:val="0000" w:firstRow="0" w:lastRow="0" w:firstColumn="0" w:lastColumn="0" w:noHBand="0" w:noVBand="0"/>
                  </w:tblPr>
                  <w:tblGrid>
                    <w:gridCol w:w="300"/>
                    <w:gridCol w:w="3675"/>
                  </w:tblGrid>
                  <w:tr w:rsidR="009D564D" w:rsidRPr="003F2C24" w:rsidTr="0088782C">
                    <w:trPr>
                      <w:tblCellSpacing w:w="0" w:type="dxa"/>
                    </w:trPr>
                    <w:tc>
                      <w:tcPr>
                        <w:tcW w:w="3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Активы, кроме резервных</w:t>
                        </w:r>
                        <w:r>
                          <w:t xml:space="preserve"> </w:t>
                        </w:r>
                        <w:r w:rsidRPr="003F2C24">
                          <w:t>('+' - снижение, '-' - рост)</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-60,8</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-38,7</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-36,7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-32,1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3444"/>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Федеральные органы управления</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10,7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10,7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-0,2</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592"/>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Ссуды и займы</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0,9</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0,4</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1,0</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308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Просроченная задолженность</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10,5</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-0,9</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11,0</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-0,8</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590"/>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Прочие активы</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-0,5</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3525"/>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 xml:space="preserve">Органы денежно-кредитного регулирования </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-5,5</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-1,3</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-4,5</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-0,6</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648"/>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Банки</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-12,7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-3,6</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-10,7</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-6,4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450"/>
                    <w:gridCol w:w="3525"/>
                  </w:tblGrid>
                  <w:tr w:rsidR="009D564D" w:rsidRPr="003F2C24" w:rsidTr="0088782C">
                    <w:trPr>
                      <w:tblCellSpacing w:w="0" w:type="dxa"/>
                    </w:trPr>
                    <w:tc>
                      <w:tcPr>
                        <w:tcW w:w="45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Нефинансовые предприятия и домашние хозяйства</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-53,3</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-33,6</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-32,1</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-24,9</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337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Прямые и портфельные инвестиции</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-18,2</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-10,2</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-9,3</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-6,4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3164"/>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Наличная иностранная валюта</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1,9</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2,0</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3,2</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0,4</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2907"/>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Торговые кредиты и авансы</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-8,9</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-0,7</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-6,9</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0,3</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337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Задолженность по поставкам на основании межправительственных соглашений</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-0,0</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-0,1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-0,6</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-0,2</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3375"/>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Своевременно не полученная экспортная выручка, не поступившие товары и услуги в счет переводов денежных средств по импортным контрактам, переводы по фиктивным операциям с ценными бумагами</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-25,8</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-25,9</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-17,9</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-20,1</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600"/>
                    <w:gridCol w:w="1590"/>
                  </w:tblGrid>
                  <w:tr w:rsidR="009D564D" w:rsidRPr="003F2C24" w:rsidTr="0088782C">
                    <w:trPr>
                      <w:tblCellSpacing w:w="0" w:type="dxa"/>
                    </w:trPr>
                    <w:tc>
                      <w:tcPr>
                        <w:tcW w:w="600" w:type="dxa"/>
                        <w:tcBorders>
                          <w:top w:val="nil"/>
                          <w:left w:val="nil"/>
                          <w:bottom w:val="nil"/>
                          <w:right w:val="nil"/>
                        </w:tcBorders>
                        <w:vAlign w:val="center"/>
                      </w:tcPr>
                      <w:p w:rsidR="009D564D" w:rsidRPr="003F2C24" w:rsidRDefault="009D564D" w:rsidP="0088782C"/>
                    </w:tc>
                    <w:tc>
                      <w:tcPr>
                        <w:tcW w:w="0" w:type="auto"/>
                        <w:tcBorders>
                          <w:top w:val="nil"/>
                          <w:left w:val="nil"/>
                          <w:bottom w:val="nil"/>
                          <w:right w:val="nil"/>
                        </w:tcBorders>
                        <w:vAlign w:val="center"/>
                      </w:tcPr>
                      <w:p w:rsidR="009D564D" w:rsidRPr="003F2C24" w:rsidRDefault="009D564D" w:rsidP="0088782C">
                        <w:r w:rsidRPr="003F2C24">
                          <w:t>Прочие активы</w:t>
                        </w:r>
                      </w:p>
                    </w:tc>
                  </w:tr>
                </w:tbl>
                <w:p w:rsidR="009D564D" w:rsidRPr="003F2C24" w:rsidRDefault="009D564D" w:rsidP="0088782C"/>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-2,3</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1,3</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-0,6</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1,0</w:t>
                  </w:r>
                </w:p>
              </w:tc>
            </w:tr>
            <w:tr w:rsidR="009D564D" w:rsidRPr="003F2C24" w:rsidTr="0088782C">
              <w:trPr>
                <w:tblCellSpacing w:w="7" w:type="dxa"/>
              </w:trPr>
              <w:tc>
                <w:tcPr>
                  <w:tcW w:w="2091" w:type="pct"/>
                  <w:tcBorders>
                    <w:top w:val="nil"/>
                    <w:left w:val="single" w:sz="4" w:space="0" w:color="auto"/>
                    <w:bottom w:val="nil"/>
                    <w:right w:val="nil"/>
                  </w:tcBorders>
                  <w:shd w:val="clear" w:color="auto" w:fill="FFFFFF"/>
                  <w:vAlign w:val="center"/>
                </w:tcPr>
                <w:p w:rsidR="009D564D" w:rsidRPr="003F2C24" w:rsidRDefault="009D564D" w:rsidP="0088782C">
                  <w:r w:rsidRPr="003F2C24">
                    <w:t>Чистые ошибки и пропуски</w:t>
                  </w:r>
                </w:p>
              </w:tc>
              <w:tc>
                <w:tcPr>
                  <w:tcW w:w="771" w:type="pct"/>
                  <w:tcBorders>
                    <w:top w:val="nil"/>
                    <w:left w:val="nil"/>
                    <w:bottom w:val="nil"/>
                    <w:right w:val="nil"/>
                  </w:tcBorders>
                  <w:shd w:val="clear" w:color="auto" w:fill="FFFFFF"/>
                  <w:noWrap/>
                  <w:vAlign w:val="center"/>
                </w:tcPr>
                <w:p w:rsidR="009D564D" w:rsidRPr="003F2C24" w:rsidRDefault="009D564D" w:rsidP="0088782C">
                  <w:r w:rsidRPr="003F2C24">
                    <w:t>-10,7</w:t>
                  </w:r>
                </w:p>
              </w:tc>
              <w:tc>
                <w:tcPr>
                  <w:tcW w:w="643" w:type="pct"/>
                  <w:tcBorders>
                    <w:top w:val="nil"/>
                    <w:left w:val="nil"/>
                    <w:bottom w:val="nil"/>
                    <w:right w:val="nil"/>
                  </w:tcBorders>
                  <w:shd w:val="clear" w:color="auto" w:fill="FFFFFF"/>
                  <w:noWrap/>
                  <w:vAlign w:val="center"/>
                </w:tcPr>
                <w:p w:rsidR="009D564D" w:rsidRPr="003F2C24" w:rsidRDefault="009D564D" w:rsidP="0088782C">
                  <w:r w:rsidRPr="003F2C24">
                    <w:t>-7,1</w:t>
                  </w:r>
                </w:p>
              </w:tc>
              <w:tc>
                <w:tcPr>
                  <w:tcW w:w="720" w:type="pct"/>
                  <w:tcBorders>
                    <w:top w:val="nil"/>
                    <w:left w:val="nil"/>
                    <w:bottom w:val="nil"/>
                    <w:right w:val="nil"/>
                  </w:tcBorders>
                  <w:shd w:val="clear" w:color="auto" w:fill="FFFFFF"/>
                  <w:noWrap/>
                  <w:vAlign w:val="center"/>
                </w:tcPr>
                <w:p w:rsidR="009D564D" w:rsidRPr="003F2C24" w:rsidRDefault="009D564D" w:rsidP="0088782C">
                  <w:r w:rsidRPr="003F2C24">
                    <w:t>-7,3</w:t>
                  </w:r>
                </w:p>
              </w:tc>
              <w:tc>
                <w:tcPr>
                  <w:tcW w:w="731" w:type="pct"/>
                  <w:tcBorders>
                    <w:top w:val="nil"/>
                    <w:left w:val="nil"/>
                    <w:bottom w:val="nil"/>
                    <w:right w:val="single" w:sz="4" w:space="0" w:color="auto"/>
                  </w:tcBorders>
                  <w:shd w:val="clear" w:color="auto" w:fill="FFFFFF"/>
                  <w:noWrap/>
                  <w:vAlign w:val="center"/>
                </w:tcPr>
                <w:p w:rsidR="009D564D" w:rsidRPr="003F2C24" w:rsidRDefault="009D564D" w:rsidP="0088782C">
                  <w:r w:rsidRPr="003F2C24">
                    <w:t>-3,4</w:t>
                  </w:r>
                </w:p>
              </w:tc>
            </w:tr>
            <w:tr w:rsidR="009D564D" w:rsidRPr="003F2C24" w:rsidTr="0088782C">
              <w:trPr>
                <w:tblCellSpacing w:w="7" w:type="dxa"/>
              </w:trPr>
              <w:tc>
                <w:tcPr>
                  <w:tcW w:w="2091" w:type="pct"/>
                  <w:tcBorders>
                    <w:top w:val="nil"/>
                    <w:left w:val="single" w:sz="4" w:space="0" w:color="auto"/>
                    <w:bottom w:val="single" w:sz="4" w:space="0" w:color="auto"/>
                    <w:right w:val="nil"/>
                  </w:tcBorders>
                  <w:shd w:val="clear" w:color="auto" w:fill="FFFFFF"/>
                  <w:vAlign w:val="center"/>
                </w:tcPr>
                <w:p w:rsidR="009D564D" w:rsidRPr="003F2C24" w:rsidRDefault="009D564D" w:rsidP="0088782C">
                  <w:r w:rsidRPr="003F2C24">
                    <w:t>Изменение валютных резервов ('+' -снижение, '-' -рост)</w:t>
                  </w:r>
                </w:p>
              </w:tc>
              <w:tc>
                <w:tcPr>
                  <w:tcW w:w="771" w:type="pct"/>
                  <w:tcBorders>
                    <w:top w:val="nil"/>
                    <w:left w:val="nil"/>
                    <w:bottom w:val="single" w:sz="4" w:space="0" w:color="auto"/>
                    <w:right w:val="nil"/>
                  </w:tcBorders>
                  <w:shd w:val="clear" w:color="auto" w:fill="FFFFFF"/>
                  <w:noWrap/>
                  <w:vAlign w:val="center"/>
                </w:tcPr>
                <w:p w:rsidR="009D564D" w:rsidRPr="003F2C24" w:rsidRDefault="009D564D" w:rsidP="0088782C">
                  <w:r w:rsidRPr="003F2C24">
                    <w:t>-61,5</w:t>
                  </w:r>
                </w:p>
              </w:tc>
              <w:tc>
                <w:tcPr>
                  <w:tcW w:w="643" w:type="pct"/>
                  <w:tcBorders>
                    <w:top w:val="nil"/>
                    <w:left w:val="nil"/>
                    <w:bottom w:val="single" w:sz="4" w:space="0" w:color="auto"/>
                    <w:right w:val="nil"/>
                  </w:tcBorders>
                  <w:shd w:val="clear" w:color="auto" w:fill="FFFFFF"/>
                  <w:noWrap/>
                  <w:vAlign w:val="center"/>
                </w:tcPr>
                <w:p w:rsidR="009D564D" w:rsidRPr="003F2C24" w:rsidRDefault="009D564D" w:rsidP="0088782C">
                  <w:r w:rsidRPr="003F2C24">
                    <w:t>-45,2</w:t>
                  </w:r>
                </w:p>
              </w:tc>
              <w:tc>
                <w:tcPr>
                  <w:tcW w:w="720" w:type="pct"/>
                  <w:tcBorders>
                    <w:top w:val="nil"/>
                    <w:left w:val="nil"/>
                    <w:bottom w:val="single" w:sz="4" w:space="0" w:color="auto"/>
                    <w:right w:val="nil"/>
                  </w:tcBorders>
                  <w:shd w:val="clear" w:color="auto" w:fill="FFFFFF"/>
                  <w:noWrap/>
                  <w:vAlign w:val="center"/>
                </w:tcPr>
                <w:p w:rsidR="009D564D" w:rsidRPr="003F2C24" w:rsidRDefault="009D564D" w:rsidP="0088782C">
                  <w:r w:rsidRPr="003F2C24">
                    <w:t>-40,5</w:t>
                  </w:r>
                </w:p>
              </w:tc>
              <w:tc>
                <w:tcPr>
                  <w:tcW w:w="731" w:type="pct"/>
                  <w:tcBorders>
                    <w:top w:val="nil"/>
                    <w:left w:val="nil"/>
                    <w:bottom w:val="single" w:sz="4" w:space="0" w:color="auto"/>
                    <w:right w:val="single" w:sz="4" w:space="0" w:color="auto"/>
                  </w:tcBorders>
                  <w:shd w:val="clear" w:color="auto" w:fill="FFFFFF"/>
                  <w:noWrap/>
                  <w:vAlign w:val="center"/>
                </w:tcPr>
                <w:p w:rsidR="009D564D" w:rsidRPr="003F2C24" w:rsidRDefault="009D564D" w:rsidP="0088782C">
                  <w:r w:rsidRPr="003F2C24">
                    <w:t>-18,3</w:t>
                  </w:r>
                </w:p>
              </w:tc>
            </w:tr>
          </w:tbl>
          <w:p w:rsidR="009D564D" w:rsidRPr="003F2C24" w:rsidRDefault="009D564D" w:rsidP="0088782C">
            <w:pPr>
              <w:spacing w:before="120"/>
              <w:ind w:firstLine="567"/>
              <w:jc w:val="both"/>
            </w:pPr>
          </w:p>
        </w:tc>
      </w:tr>
    </w:tbl>
    <w:p w:rsidR="009D564D" w:rsidRPr="003F2C24" w:rsidRDefault="009D564D" w:rsidP="009D564D">
      <w:pPr>
        <w:spacing w:before="120"/>
        <w:ind w:firstLine="567"/>
        <w:jc w:val="both"/>
      </w:pPr>
    </w:p>
    <w:p w:rsidR="009D564D" w:rsidRPr="003F2C24" w:rsidRDefault="009D564D" w:rsidP="009D564D">
      <w:pPr>
        <w:spacing w:before="120"/>
        <w:ind w:firstLine="567"/>
        <w:jc w:val="both"/>
      </w:pPr>
      <w:r w:rsidRPr="003F2C24">
        <w:t xml:space="preserve">Платежный баланс, который в настоящее время отвечает международным стандартам, имеет и свои отрицательные стороны, которые связаны, прежде всего, с отсутствием достоверной статистической информации, необходимой для его составления. </w:t>
      </w:r>
    </w:p>
    <w:p w:rsidR="009D564D" w:rsidRPr="003F2C24" w:rsidRDefault="009D564D" w:rsidP="009D564D">
      <w:pPr>
        <w:spacing w:before="120"/>
        <w:ind w:firstLine="567"/>
        <w:jc w:val="both"/>
      </w:pPr>
      <w:r w:rsidRPr="003F2C24">
        <w:t>Есть разные способы регулирования платежного баланса, но наиболее действенные, на коротком периоде времени, прямой контроль. Именно его чаще используют, хотя именно они имеют наименьшие положительные отклики у населения.. Например, в России для уменьшения импорта автомобилей были введены таможенные пошлины (так же для увеличения поступлений в бюджет).</w:t>
      </w:r>
    </w:p>
    <w:p w:rsidR="009D564D" w:rsidRPr="003F2C24" w:rsidRDefault="009D564D" w:rsidP="009D564D">
      <w:pPr>
        <w:spacing w:before="120"/>
        <w:ind w:firstLine="567"/>
        <w:jc w:val="both"/>
      </w:pPr>
      <w:r w:rsidRPr="003F2C24">
        <w:t>2000 год для платежного баланса России стал переломным. Впервые итоговое сальдо было положительным, впервые сальдо торгового баланса было таким большим, впервые было выплачено такая большая сумма по внешнему долгу. В тот год нас пытались убедить, что в экономики России начался невиданный подъем. Но спустя годы можно сказать, что такого подъема не было, были только удачные стечения обстоятельств: повышение цен на нефть, списание части внешнего долга перед Лондонским клубом и т.д. Главное, что было достигнуто</w:t>
      </w:r>
      <w:r>
        <w:t xml:space="preserve"> </w:t>
      </w:r>
      <w:r w:rsidRPr="003F2C24">
        <w:t>– стабилизация платежного баланса.</w:t>
      </w:r>
    </w:p>
    <w:p w:rsidR="009D564D" w:rsidRDefault="009D564D" w:rsidP="009D564D">
      <w:pPr>
        <w:spacing w:before="120"/>
        <w:ind w:firstLine="567"/>
        <w:jc w:val="both"/>
      </w:pPr>
      <w:r w:rsidRPr="003F2C24">
        <w:t>В итоге, платежный баланс является одним из</w:t>
      </w:r>
      <w:r>
        <w:t xml:space="preserve"> </w:t>
      </w:r>
      <w:r w:rsidRPr="003F2C24">
        <w:t>важнейших инструментов макроэкономического анализа и прогнозирования. Он активно используется для определения фискальной политики, при принятии решений по регулированию внутреннего валютного рынка и валютного курса. Изменения валютного курса имеют ощутимые последствия для экономики, поэтому закономерно, что платежный баланс является важным объектом регулирования как внутри государства, так и в межгосударственных отношениях.</w:t>
      </w:r>
    </w:p>
    <w:p w:rsidR="009D564D" w:rsidRPr="000E06A0" w:rsidRDefault="009D564D" w:rsidP="009D564D">
      <w:pPr>
        <w:spacing w:before="120"/>
        <w:jc w:val="center"/>
        <w:rPr>
          <w:b/>
          <w:bCs/>
          <w:sz w:val="28"/>
          <w:szCs w:val="28"/>
        </w:rPr>
      </w:pPr>
      <w:r w:rsidRPr="000E06A0">
        <w:rPr>
          <w:b/>
          <w:bCs/>
          <w:sz w:val="28"/>
          <w:szCs w:val="28"/>
        </w:rPr>
        <w:t>Заключение</w:t>
      </w:r>
    </w:p>
    <w:p w:rsidR="009D564D" w:rsidRDefault="009D564D" w:rsidP="009D564D">
      <w:pPr>
        <w:spacing w:before="120"/>
        <w:ind w:firstLine="567"/>
        <w:jc w:val="both"/>
      </w:pPr>
      <w:r w:rsidRPr="003F2C24">
        <w:t>В данной работе были рассмотрены вопросы о валюте, валютных курсах и рынках и методах его регулирования, а также о понятии и структуре платежного баланса. Все эти вопросы взаимосвязаны, и каждый вытекает один из другого. Изучив их, я поняла, что экономика не может существовать без развитого финансового рынка, который может существовать только в условиях развитого и свободного валютного рынка, до чего ещё многим развивающимся странам, как Россия, далеко. Международные валютные отношения</w:t>
      </w:r>
      <w:r>
        <w:t xml:space="preserve"> </w:t>
      </w:r>
      <w:r w:rsidRPr="003F2C24">
        <w:t>всегда были сложными, а для нашей страны, которая только недавно вошла на этот рынок и уже претерпела много потрясений, вызвав этим недоверие многих участников, будет тяжело обосноваться там и стать полноправным её участником. Наша страна только ступила на путь развития рыночной экономики, а люди, управляющие ей, не зная сущности экономики, в самом начале её пути уже смогли наделать столько ошибок, что кажется, как будто делая шаг вперед, мы делаем два шага назад. В настоящее время экономика, в том числе и валютный рынок, развиваются, но как я уже ранее писала, это всё оттого, что Россия – страна энергоресурсов. Именно поэтому нам кажется, что идёт развитие. А так хочется, чтобы валюта шла к нам не за ресурсы, которые не восполняются, а за продукты и услуги, производимые в России.</w:t>
      </w:r>
    </w:p>
    <w:p w:rsidR="009D564D" w:rsidRPr="000E06A0" w:rsidRDefault="009D564D" w:rsidP="009D564D">
      <w:pPr>
        <w:spacing w:before="120"/>
        <w:jc w:val="center"/>
        <w:rPr>
          <w:b/>
          <w:bCs/>
          <w:sz w:val="28"/>
          <w:szCs w:val="28"/>
        </w:rPr>
      </w:pPr>
      <w:r w:rsidRPr="000E06A0">
        <w:rPr>
          <w:b/>
          <w:bCs/>
          <w:sz w:val="28"/>
          <w:szCs w:val="28"/>
        </w:rPr>
        <w:t>Список литературы</w:t>
      </w:r>
    </w:p>
    <w:p w:rsidR="009D564D" w:rsidRPr="003F2C24" w:rsidRDefault="009D564D" w:rsidP="009D564D">
      <w:pPr>
        <w:spacing w:before="120"/>
        <w:ind w:firstLine="567"/>
        <w:jc w:val="both"/>
      </w:pPr>
      <w:r w:rsidRPr="003F2C24">
        <w:t>Воронин В.П. Деньги, Кредит, Банки: Учебное пособие. – М.:Юрайт, 2002</w:t>
      </w:r>
    </w:p>
    <w:p w:rsidR="009D564D" w:rsidRPr="003F2C24" w:rsidRDefault="009D564D" w:rsidP="009D564D">
      <w:pPr>
        <w:spacing w:before="120"/>
        <w:ind w:firstLine="567"/>
        <w:jc w:val="both"/>
      </w:pPr>
      <w:r w:rsidRPr="003F2C24">
        <w:t>Камаева В.Д. Экономическая теория: Учебник для вузов. – М.:Владос, 2000</w:t>
      </w:r>
    </w:p>
    <w:p w:rsidR="009D564D" w:rsidRPr="003F2C24" w:rsidRDefault="009D564D" w:rsidP="009D564D">
      <w:pPr>
        <w:spacing w:before="120"/>
        <w:ind w:firstLine="567"/>
        <w:jc w:val="both"/>
      </w:pPr>
      <w:r w:rsidRPr="003F2C24">
        <w:t>Макконнелл К.Р. Экономикс: Учебник. – М.:Инфра-М, 2003</w:t>
      </w:r>
    </w:p>
    <w:p w:rsidR="009D564D" w:rsidRPr="003F2C24" w:rsidRDefault="009D564D" w:rsidP="009D564D">
      <w:pPr>
        <w:spacing w:before="120"/>
        <w:ind w:firstLine="567"/>
        <w:jc w:val="both"/>
      </w:pPr>
      <w:r w:rsidRPr="003F2C24">
        <w:t>Боткин О.И. Основы экономического анализа: Курс лекций. – Ижевск: Издательство Удмурсткого Университета, 1996</w:t>
      </w:r>
    </w:p>
    <w:p w:rsidR="009D564D" w:rsidRPr="003F2C24" w:rsidRDefault="009D564D" w:rsidP="009D564D">
      <w:pPr>
        <w:spacing w:before="120"/>
        <w:ind w:firstLine="567"/>
        <w:jc w:val="both"/>
      </w:pPr>
      <w:r w:rsidRPr="000E06A0">
        <w:t>www.finance.rich4you.ru</w:t>
      </w:r>
      <w:r w:rsidRPr="003F2C24">
        <w:t>: статья «Валютный режим в России: прошлое и настоящее», автор Плетенв А., 2004</w:t>
      </w:r>
    </w:p>
    <w:p w:rsidR="009D564D" w:rsidRPr="003F2C24" w:rsidRDefault="009D564D" w:rsidP="009D564D">
      <w:pPr>
        <w:spacing w:before="120"/>
        <w:ind w:firstLine="567"/>
        <w:jc w:val="both"/>
      </w:pPr>
      <w:r w:rsidRPr="000E06A0">
        <w:t>www.alexdl.ru/articles_23</w:t>
      </w:r>
      <w:r w:rsidRPr="003F2C24">
        <w:t>: «Виды валютных рынков», 2003</w:t>
      </w:r>
    </w:p>
    <w:p w:rsidR="009D564D" w:rsidRPr="003F2C24" w:rsidRDefault="009D564D" w:rsidP="009D564D">
      <w:pPr>
        <w:spacing w:before="120"/>
        <w:ind w:firstLine="567"/>
        <w:jc w:val="both"/>
      </w:pPr>
      <w:r w:rsidRPr="000E06A0">
        <w:t>www.consultant.ru</w:t>
      </w:r>
      <w:r w:rsidRPr="003F2C24">
        <w:t>: Федеральный закон № 173-ФЗ от 10.12.2003 г., «О валютном регулировании и валютном контроле»</w:t>
      </w:r>
    </w:p>
    <w:p w:rsidR="009D564D" w:rsidRDefault="009D564D" w:rsidP="009D564D">
      <w:pPr>
        <w:spacing w:before="120"/>
        <w:ind w:firstLine="567"/>
        <w:jc w:val="both"/>
      </w:pPr>
      <w:r w:rsidRPr="000E06A0">
        <w:t>www.cbr.ru</w:t>
      </w:r>
      <w:r w:rsidRPr="003F2C24">
        <w:t>:«Оценка платежного баланса РФ за 2005 год», данные ЦБ РФ</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64D"/>
    <w:rsid w:val="00051FB8"/>
    <w:rsid w:val="00095BA6"/>
    <w:rsid w:val="000E06A0"/>
    <w:rsid w:val="00210DB3"/>
    <w:rsid w:val="0031418A"/>
    <w:rsid w:val="00350B15"/>
    <w:rsid w:val="00377A3D"/>
    <w:rsid w:val="003F2C24"/>
    <w:rsid w:val="0052086C"/>
    <w:rsid w:val="005A2562"/>
    <w:rsid w:val="00755964"/>
    <w:rsid w:val="0088782C"/>
    <w:rsid w:val="008C19D7"/>
    <w:rsid w:val="008D2F36"/>
    <w:rsid w:val="009D564D"/>
    <w:rsid w:val="00A44D32"/>
    <w:rsid w:val="00D76E7D"/>
    <w:rsid w:val="00E12572"/>
    <w:rsid w:val="00F6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3EA59C-08B4-4F6B-8098-D2C56B9C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64D"/>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5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10138</Words>
  <Characters>57790</Characters>
  <Application>Microsoft Office Word</Application>
  <DocSecurity>0</DocSecurity>
  <Lines>481</Lines>
  <Paragraphs>135</Paragraphs>
  <ScaleCrop>false</ScaleCrop>
  <Company>Home</Company>
  <LinksUpToDate>false</LinksUpToDate>
  <CharactersWithSpaces>67793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Валютный рынок и валютный курс</dc:title>
  <dc:subject/>
  <dc:creator>Alena</dc:creator>
  <cp:keywords/>
  <dc:description/>
  <cp:lastModifiedBy>admin</cp:lastModifiedBy>
  <cp:revision>2</cp:revision>
  <dcterms:created xsi:type="dcterms:W3CDTF">2014-02-19T04:13:00Z</dcterms:created>
  <dcterms:modified xsi:type="dcterms:W3CDTF">2014-02-19T04:13:00Z</dcterms:modified>
</cp:coreProperties>
</file>