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sz w:val="28"/>
          <w:szCs w:val="28"/>
        </w:rPr>
        <w:t>Министерство Образования РФ</w:t>
      </w:r>
    </w:p>
    <w:p w:rsidR="00177F8F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sz w:val="28"/>
          <w:szCs w:val="28"/>
        </w:rPr>
        <w:t xml:space="preserve">Государственное образовательное учреждение высшего 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sz w:val="28"/>
          <w:szCs w:val="28"/>
        </w:rPr>
        <w:t>профессионального образования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sz w:val="28"/>
          <w:szCs w:val="28"/>
        </w:rPr>
        <w:t xml:space="preserve">Воронежский </w:t>
      </w:r>
      <w:r>
        <w:rPr>
          <w:sz w:val="28"/>
          <w:szCs w:val="28"/>
        </w:rPr>
        <w:t>г</w:t>
      </w:r>
      <w:r w:rsidRPr="008B7480">
        <w:rPr>
          <w:sz w:val="28"/>
          <w:szCs w:val="28"/>
        </w:rPr>
        <w:t xml:space="preserve">осударственный </w:t>
      </w:r>
      <w:r>
        <w:rPr>
          <w:sz w:val="28"/>
          <w:szCs w:val="28"/>
        </w:rPr>
        <w:t>а</w:t>
      </w:r>
      <w:r w:rsidRPr="008B7480">
        <w:rPr>
          <w:sz w:val="28"/>
          <w:szCs w:val="28"/>
        </w:rPr>
        <w:t>рхитектурно</w:t>
      </w:r>
      <w:r w:rsidR="00E41CB6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8B7480">
        <w:rPr>
          <w:sz w:val="28"/>
          <w:szCs w:val="28"/>
        </w:rPr>
        <w:t xml:space="preserve">троительный </w:t>
      </w:r>
      <w:r>
        <w:rPr>
          <w:sz w:val="28"/>
          <w:szCs w:val="28"/>
        </w:rPr>
        <w:t>у</w:t>
      </w:r>
      <w:r w:rsidRPr="008B7480">
        <w:rPr>
          <w:sz w:val="28"/>
          <w:szCs w:val="28"/>
        </w:rPr>
        <w:t>ниверситет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8B7480">
        <w:rPr>
          <w:b/>
          <w:sz w:val="28"/>
          <w:szCs w:val="28"/>
        </w:rPr>
        <w:t>Курсовая работа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b/>
          <w:sz w:val="28"/>
          <w:szCs w:val="28"/>
        </w:rPr>
        <w:t>Виды рисков внутренней и внешней среды организации и учет их при управлении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 w:rsidRPr="008B7480">
        <w:rPr>
          <w:sz w:val="28"/>
          <w:szCs w:val="28"/>
        </w:rPr>
        <w:t>Выполнил: студент группы 2611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 w:rsidRPr="008B7480">
        <w:rPr>
          <w:sz w:val="28"/>
          <w:szCs w:val="28"/>
        </w:rPr>
        <w:t>Доровских Лилия</w:t>
      </w:r>
    </w:p>
    <w:p w:rsidR="00177F8F" w:rsidRDefault="00177F8F" w:rsidP="009E6E85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 w:rsidRPr="008B7480">
        <w:rPr>
          <w:sz w:val="28"/>
          <w:szCs w:val="28"/>
        </w:rPr>
        <w:t xml:space="preserve">Научный руководитель: 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 w:rsidRPr="008B7480">
        <w:rPr>
          <w:sz w:val="28"/>
          <w:szCs w:val="28"/>
        </w:rPr>
        <w:t>Половинкина А.И.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right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77F8F" w:rsidRDefault="00177F8F" w:rsidP="009E6E85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B7480"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2010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bCs/>
          <w:sz w:val="28"/>
          <w:szCs w:val="28"/>
        </w:rPr>
        <w:br w:type="page"/>
        <w:t>Содержание</w:t>
      </w:r>
    </w:p>
    <w:p w:rsidR="00177F8F" w:rsidRPr="008B7480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Введение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Глава 1. Характеристика риска: истоки и сущность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1.1 Понятие и классификация рисков</w:t>
      </w:r>
      <w:r>
        <w:rPr>
          <w:sz w:val="28"/>
          <w:szCs w:val="28"/>
        </w:rPr>
        <w:t xml:space="preserve"> 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1.2 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</w:p>
    <w:p w:rsidR="00177F8F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Глава 2. Методы оценки риска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Глава 3. Управление рисками: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3.1 Понятие риск-менеджмента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3.2 Методы снижения 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24-30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Заключение</w:t>
      </w:r>
    </w:p>
    <w:p w:rsidR="00177F8F" w:rsidRPr="008B7480" w:rsidRDefault="00177F8F" w:rsidP="009E6E85">
      <w:pPr>
        <w:widowControl w:val="0"/>
        <w:tabs>
          <w:tab w:val="left" w:pos="851"/>
          <w:tab w:val="right" w:pos="9688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B7480">
        <w:rPr>
          <w:sz w:val="28"/>
          <w:szCs w:val="28"/>
          <w:lang w:eastAsia="zh-CN"/>
        </w:rPr>
        <w:t>Литература</w:t>
      </w:r>
    </w:p>
    <w:p w:rsidR="00177F8F" w:rsidRPr="008B7480" w:rsidRDefault="00177F8F" w:rsidP="009E6E85">
      <w:pPr>
        <w:pStyle w:val="1"/>
        <w:keepNext w:val="0"/>
        <w:widowControl w:val="0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 условиях рыночных отношений, при наличии конкуренции и возникновении порой непредсказуемых ситуаций, хозяйственная, производственная или коммерческая деятельность невозможна без рисков. Однако и отсутствие риска, т. е. опасности наступления непредсказуемых и нежелательных для субъекта деятельности последствий его действий, в конечном счете вредит экономике, подрывает ее динамичность и эффективность. Нормальный ход экономического развития требует достаточно полной и разнообразной «рисковой стратификации», которая обеспечивает каждому субъекту возможность занять позиции в такой зоне хозяйствования, в которой степень риска отвечает его наклонностям и личным качествам. Существование риска и неизбежные в ходе развития изменения его степени выступают постоянным и сильнодействующим фактором движения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Западе,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стабильных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уделяют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пристальное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нестабильности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усложняют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комплексом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недостаточное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внимание.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обусловило</w:t>
      </w:r>
      <w:r>
        <w:rPr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классификацию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обработка,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источников;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учебников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пособий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исследуемой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sz w:val="28"/>
          <w:szCs w:val="28"/>
        </w:rPr>
        <w:br w:type="page"/>
      </w:r>
      <w:bookmarkStart w:id="0" w:name="_Toc154421852"/>
      <w:bookmarkStart w:id="1" w:name="_Toc154421864"/>
      <w:bookmarkStart w:id="2" w:name="_Toc154421884"/>
      <w:bookmarkStart w:id="3" w:name="_Toc154422403"/>
      <w:bookmarkStart w:id="4" w:name="_Toc154424184"/>
      <w:r w:rsidRPr="008B748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риска: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истоки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сущность</w:t>
      </w:r>
      <w:bookmarkEnd w:id="0"/>
      <w:bookmarkEnd w:id="1"/>
      <w:bookmarkEnd w:id="2"/>
      <w:bookmarkEnd w:id="3"/>
      <w:bookmarkEnd w:id="4"/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bookmarkStart w:id="5" w:name="_Toc154393334"/>
      <w:bookmarkStart w:id="6" w:name="_Toc154393352"/>
      <w:bookmarkStart w:id="7" w:name="_Toc154421853"/>
      <w:bookmarkStart w:id="8" w:name="_Toc154421865"/>
      <w:bookmarkStart w:id="9" w:name="_Toc154421885"/>
      <w:bookmarkStart w:id="10" w:name="_Toc154422404"/>
      <w:bookmarkStart w:id="11" w:name="_Toc154424185"/>
      <w:r w:rsidRPr="008B7480">
        <w:rPr>
          <w:b/>
          <w:snapToGrid w:val="0"/>
          <w:sz w:val="28"/>
          <w:szCs w:val="28"/>
        </w:rPr>
        <w:t>1.1</w:t>
      </w:r>
      <w:r>
        <w:rPr>
          <w:b/>
          <w:snapToGrid w:val="0"/>
          <w:sz w:val="28"/>
          <w:szCs w:val="28"/>
        </w:rPr>
        <w:t xml:space="preserve"> </w:t>
      </w:r>
      <w:r w:rsidRPr="008B7480">
        <w:rPr>
          <w:b/>
          <w:snapToGrid w:val="0"/>
          <w:sz w:val="28"/>
          <w:szCs w:val="28"/>
        </w:rPr>
        <w:t>Понятие</w:t>
      </w:r>
      <w:r>
        <w:rPr>
          <w:b/>
          <w:snapToGrid w:val="0"/>
          <w:sz w:val="28"/>
          <w:szCs w:val="28"/>
        </w:rPr>
        <w:t xml:space="preserve"> </w:t>
      </w:r>
      <w:r w:rsidRPr="008B7480">
        <w:rPr>
          <w:b/>
          <w:snapToGrid w:val="0"/>
          <w:sz w:val="28"/>
          <w:szCs w:val="28"/>
        </w:rPr>
        <w:t>и</w:t>
      </w:r>
      <w:r>
        <w:rPr>
          <w:b/>
          <w:snapToGrid w:val="0"/>
          <w:sz w:val="28"/>
          <w:szCs w:val="28"/>
        </w:rPr>
        <w:t xml:space="preserve"> </w:t>
      </w:r>
      <w:r w:rsidRPr="008B7480">
        <w:rPr>
          <w:b/>
          <w:snapToGrid w:val="0"/>
          <w:sz w:val="28"/>
          <w:szCs w:val="28"/>
        </w:rPr>
        <w:t>классификация</w:t>
      </w:r>
      <w:r>
        <w:rPr>
          <w:b/>
          <w:snapToGrid w:val="0"/>
          <w:sz w:val="28"/>
          <w:szCs w:val="28"/>
        </w:rPr>
        <w:t xml:space="preserve"> </w:t>
      </w:r>
      <w:r w:rsidRPr="008B7480">
        <w:rPr>
          <w:b/>
          <w:snapToGrid w:val="0"/>
          <w:sz w:val="28"/>
          <w:szCs w:val="28"/>
        </w:rPr>
        <w:t>рисков</w:t>
      </w:r>
      <w:bookmarkEnd w:id="5"/>
      <w:bookmarkEnd w:id="6"/>
      <w:bookmarkEnd w:id="7"/>
      <w:bookmarkEnd w:id="8"/>
      <w:bookmarkEnd w:id="9"/>
      <w:bookmarkEnd w:id="10"/>
      <w:bookmarkEnd w:id="11"/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обращать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нестабильного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сопровождаемого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инфляционными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сверхдолгими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борьбы.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соизмерения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(авансированного)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производственно-торговую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понесет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намеченное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(управленческое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осуществится,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E6E85" w:rsidRPr="008B7480">
        <w:rPr>
          <w:sz w:val="28"/>
          <w:szCs w:val="28"/>
        </w:rPr>
        <w:t>также,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допущены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просчеты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ошибки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bCs/>
          <w:sz w:val="28"/>
          <w:szCs w:val="28"/>
        </w:rPr>
        <w:t>Основные</w:t>
      </w:r>
      <w:r>
        <w:rPr>
          <w:b/>
          <w:bCs/>
          <w:sz w:val="28"/>
          <w:szCs w:val="28"/>
        </w:rPr>
        <w:t xml:space="preserve"> </w:t>
      </w:r>
      <w:r w:rsidRPr="008B7480">
        <w:rPr>
          <w:b/>
          <w:bCs/>
          <w:sz w:val="28"/>
          <w:szCs w:val="28"/>
        </w:rPr>
        <w:t>черты</w:t>
      </w:r>
      <w:r>
        <w:rPr>
          <w:b/>
          <w:bCs/>
          <w:sz w:val="28"/>
          <w:szCs w:val="28"/>
        </w:rPr>
        <w:t xml:space="preserve"> </w:t>
      </w:r>
      <w:r w:rsidRPr="008B7480">
        <w:rPr>
          <w:b/>
          <w:bCs/>
          <w:sz w:val="28"/>
          <w:szCs w:val="28"/>
        </w:rPr>
        <w:t>риска</w:t>
      </w:r>
      <w:r w:rsidRPr="008B7480">
        <w:rPr>
          <w:sz w:val="28"/>
          <w:szCs w:val="28"/>
        </w:rPr>
        <w:t>: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противоречивость,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альтернативность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противоречивость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столкновению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объективно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субъективной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оценкой.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инициативами,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новаторскими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идеями,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внедрением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ускоряющими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прогресс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духовную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атмосферу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консерватизм,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догматизм,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субъективизм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Альтернативность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отсутствует,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Неопределенностью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неполнота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неточность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(решения).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неоднородна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содержанию.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(экономической,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политической,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ит.д.),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множества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переменных,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контрагентов,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предсказать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точностью.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объективно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(риск)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спецификой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бизнеса.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недопоступлений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исхода.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высокодоходный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оказаться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рискованным,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говорится,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«игра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свеч».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произойти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произойти.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отрицательный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(проигрыш,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убыток);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нулевой;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положительный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(выигрыш,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выгода,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B7480">
        <w:rPr>
          <w:snapToGrid w:val="0"/>
          <w:sz w:val="28"/>
          <w:szCs w:val="28"/>
        </w:rPr>
        <w:t>Конечно,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можно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избежать,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т.е.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просто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уклониться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мероприятия,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связанного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риском.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Однако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избежание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зачастую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означает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отказ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возможной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прибыли.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B7480">
        <w:rPr>
          <w:snapToGrid w:val="0"/>
          <w:sz w:val="28"/>
          <w:szCs w:val="28"/>
        </w:rPr>
        <w:t>Риском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можно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управлять,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т.е.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использовать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различные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меры,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позволяющие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определенной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степени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прогнозировать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наступление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рискового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события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принимать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меры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снижению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степени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риска.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Эффективность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организации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управления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риском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многом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определяется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классификацией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классификацией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обоснованная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многообразии.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сталкиваются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текущих,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долгосрочных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подвержены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исключения.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отличаются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предпринимательстве.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бедствий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конфликтов,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законодательстве,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регулирующем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инфляционных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колебаний.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(рискового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подразделить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группы: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чистые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спекулятивные.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Чистые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означают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отрицательного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нулевого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природно-естественные,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экологические,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политические,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(имущественные,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торговые)</w:t>
      </w:r>
      <w:r w:rsidRPr="008B7480">
        <w:rPr>
          <w:rStyle w:val="ac"/>
          <w:sz w:val="28"/>
          <w:szCs w:val="28"/>
        </w:rPr>
        <w:footnoteReference w:id="1"/>
      </w:r>
      <w:r w:rsidRPr="008B7480">
        <w:rPr>
          <w:sz w:val="28"/>
          <w:szCs w:val="28"/>
        </w:rPr>
        <w:t>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Спекулятивные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положительного,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отрицательного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(базисный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природно-естественные,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экологические,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политические,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Коммерческие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означают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отданной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структурному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торговые,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гражданина-предпринимателя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кражи,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диверсии,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халатности,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перенапряжения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Производственные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гибелью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повреждением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(оборудование,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внедрением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задержки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транспортировки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непоставки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институтами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(банками,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компаниями,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биржами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др.).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подразделяются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денег;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(инвестиционные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разновидности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дефляционные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Инфляция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обесценивание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Дефляция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Инфляционный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получаемые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обесцениваются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быстрее,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растут.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Дефляционный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дефляции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падение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ухудшение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Валютные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иностранной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внешнеэкономических,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потребительной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Инвестиционные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рисков:</w:t>
      </w:r>
    </w:p>
    <w:p w:rsidR="00177F8F" w:rsidRPr="008B7480" w:rsidRDefault="00177F8F" w:rsidP="009E6E85">
      <w:pPr>
        <w:widowControl w:val="0"/>
        <w:numPr>
          <w:ilvl w:val="0"/>
          <w:numId w:val="13"/>
        </w:numPr>
        <w:tabs>
          <w:tab w:val="clear" w:pos="1260"/>
          <w:tab w:val="num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упущенной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выгоды;</w:t>
      </w:r>
    </w:p>
    <w:p w:rsidR="00177F8F" w:rsidRPr="008B7480" w:rsidRDefault="00177F8F" w:rsidP="009E6E85">
      <w:pPr>
        <w:widowControl w:val="0"/>
        <w:numPr>
          <w:ilvl w:val="0"/>
          <w:numId w:val="13"/>
        </w:numPr>
        <w:tabs>
          <w:tab w:val="clear" w:pos="1260"/>
          <w:tab w:val="num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доходности;</w:t>
      </w:r>
    </w:p>
    <w:p w:rsidR="00177F8F" w:rsidRPr="008B7480" w:rsidRDefault="00177F8F" w:rsidP="009E6E85">
      <w:pPr>
        <w:widowControl w:val="0"/>
        <w:numPr>
          <w:ilvl w:val="0"/>
          <w:numId w:val="13"/>
        </w:numPr>
        <w:tabs>
          <w:tab w:val="clear" w:pos="1260"/>
          <w:tab w:val="num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упущенной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выгоды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косвенного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(побочного)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(неполученная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неосуществления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хеджирование,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дивидендов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портфельным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инвестициям,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вкладам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Портфельные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формированием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портфеля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Термин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«портфельный»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итальянского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«Porte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foglio»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инвестора</w:t>
      </w:r>
      <w:r w:rsidRPr="008B7480">
        <w:rPr>
          <w:rStyle w:val="ac"/>
          <w:sz w:val="28"/>
          <w:szCs w:val="28"/>
        </w:rPr>
        <w:footnoteReference w:id="2"/>
      </w:r>
      <w:r w:rsidRPr="008B7480">
        <w:rPr>
          <w:sz w:val="28"/>
          <w:szCs w:val="28"/>
        </w:rPr>
        <w:t>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разновидности: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учреждениями,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институтами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ставок,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выплачиваемых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привлеченным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предоставленным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дивидендов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акциям,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облигациям,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сертификатам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бумагам.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облигаций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начаться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массовый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сброс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эмитированных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низкие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обратно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эмитентом.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вложивший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среднесрочные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долгосрочные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среднерыночного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высвободить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 w:rsidRPr="008B7480">
        <w:rPr>
          <w:rStyle w:val="ac"/>
          <w:sz w:val="28"/>
          <w:szCs w:val="28"/>
        </w:rPr>
        <w:footnoteReference w:id="3"/>
      </w:r>
      <w:r w:rsidRPr="008B7480">
        <w:rPr>
          <w:sz w:val="28"/>
          <w:szCs w:val="28"/>
        </w:rPr>
        <w:t>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Процентный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эмитент,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выпускающий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среднесрочные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долгосрочные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понижении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среднерыночного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фиксированным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Иначе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говоря,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эмитент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сделанным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краткосрочных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заемщиком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причитающихся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кредитору.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эмитент,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выпустивший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окажется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выплачивать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разновидностью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разновидности: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биржевой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селективный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Биржевые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биржевых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сделок.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неплатежа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сделкам,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неплатежа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комиссионного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вознаграждения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брокерской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Селективные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лат.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selectio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отбор)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неправильного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инвестирования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портфеля</w:t>
      </w:r>
      <w:r w:rsidRPr="008B7480">
        <w:rPr>
          <w:rStyle w:val="ac"/>
          <w:sz w:val="28"/>
          <w:szCs w:val="28"/>
        </w:rPr>
        <w:footnoteReference w:id="4"/>
      </w:r>
      <w:r w:rsidRPr="008B7480">
        <w:rPr>
          <w:sz w:val="28"/>
          <w:szCs w:val="28"/>
        </w:rPr>
        <w:t>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неправильного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рассчитываться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взятым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обязательствам.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банкротом.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B7480">
        <w:rPr>
          <w:snapToGrid w:val="0"/>
          <w:sz w:val="28"/>
          <w:szCs w:val="28"/>
        </w:rPr>
        <w:t>Финансовый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представляет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собой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функцию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времени.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Как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правило,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степень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риска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для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данного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финансового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актива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или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варианта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вложения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капитала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увеличивается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времени.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Например,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убытки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импортера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сегодня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зависят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времени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момента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заключения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контракта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до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срока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платежа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сделке,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так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как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курсы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иностранной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валюты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отношению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российскому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рублю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продолжают</w:t>
      </w:r>
      <w:r>
        <w:rPr>
          <w:snapToGrid w:val="0"/>
          <w:sz w:val="28"/>
          <w:szCs w:val="28"/>
        </w:rPr>
        <w:t xml:space="preserve"> </w:t>
      </w:r>
      <w:r w:rsidRPr="008B7480">
        <w:rPr>
          <w:snapToGrid w:val="0"/>
          <w:sz w:val="28"/>
          <w:szCs w:val="28"/>
        </w:rPr>
        <w:t>расти.</w:t>
      </w:r>
    </w:p>
    <w:p w:rsidR="00177F8F" w:rsidRPr="008B7480" w:rsidRDefault="00177F8F" w:rsidP="009E6E85">
      <w:pPr>
        <w:pStyle w:val="12"/>
        <w:keepNext w:val="0"/>
        <w:keepLines w:val="0"/>
        <w:widowControl w:val="0"/>
        <w:tabs>
          <w:tab w:val="left" w:pos="851"/>
        </w:tabs>
        <w:suppressAutoHyphens w:val="0"/>
        <w:ind w:firstLine="709"/>
        <w:jc w:val="both"/>
        <w:outlineLvl w:val="9"/>
        <w:rPr>
          <w:rStyle w:val="22"/>
          <w:rFonts w:cs="Times New Roman"/>
          <w:b/>
          <w:bCs/>
          <w:lang w:val="ru-RU"/>
        </w:rPr>
      </w:pPr>
    </w:p>
    <w:p w:rsidR="00177F8F" w:rsidRPr="008B7480" w:rsidRDefault="00BA5E33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002" style="width:411.75pt;height:270.75pt;visibility:visible">
            <v:imagedata r:id="rId7" o:title="image002"/>
          </v:shape>
        </w:pict>
      </w:r>
    </w:p>
    <w:p w:rsidR="009E6E85" w:rsidRDefault="009E6E85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Причины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рисков</w:t>
      </w:r>
    </w:p>
    <w:p w:rsidR="009E6E85" w:rsidRDefault="009E6E85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норму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инвесторы.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рисков: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экологические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строительные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непреодолимой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"форс-мажор".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позиций: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обсудим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гипотетические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негативные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способствуют:</w:t>
      </w:r>
    </w:p>
    <w:p w:rsidR="00177F8F" w:rsidRPr="008B7480" w:rsidRDefault="00177F8F" w:rsidP="009E6E85">
      <w:pPr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нестабильность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стране;</w:t>
      </w:r>
    </w:p>
    <w:p w:rsidR="00177F8F" w:rsidRPr="008B7480" w:rsidRDefault="00177F8F" w:rsidP="009E6E85">
      <w:pPr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инфляция;</w:t>
      </w:r>
    </w:p>
    <w:p w:rsidR="00177F8F" w:rsidRPr="008B7480" w:rsidRDefault="00177F8F" w:rsidP="009E6E85">
      <w:pPr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сложившаяся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неплатежей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отрасли;</w:t>
      </w:r>
    </w:p>
    <w:p w:rsidR="00177F8F" w:rsidRPr="008B7480" w:rsidRDefault="00177F8F" w:rsidP="009E6E85">
      <w:pPr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назвать:</w:t>
      </w:r>
    </w:p>
    <w:p w:rsidR="00177F8F" w:rsidRPr="008B7480" w:rsidRDefault="00177F8F" w:rsidP="009E6E85">
      <w:pPr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факторы;</w:t>
      </w:r>
    </w:p>
    <w:p w:rsidR="00177F8F" w:rsidRPr="008B7480" w:rsidRDefault="00177F8F" w:rsidP="009E6E85">
      <w:pPr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курсов;</w:t>
      </w:r>
    </w:p>
    <w:p w:rsidR="00177F8F" w:rsidRPr="008B7480" w:rsidRDefault="00177F8F" w:rsidP="009E6E85">
      <w:pPr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ставки;</w:t>
      </w:r>
    </w:p>
    <w:p w:rsidR="00177F8F" w:rsidRPr="008B7480" w:rsidRDefault="00177F8F" w:rsidP="009E6E85">
      <w:pPr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капитала;</w:t>
      </w:r>
    </w:p>
    <w:p w:rsidR="00177F8F" w:rsidRPr="008B7480" w:rsidRDefault="00177F8F" w:rsidP="009E6E85">
      <w:pPr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Перечисленные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удорожанию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контрактам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строительство.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Нехватку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вызвать:</w:t>
      </w:r>
    </w:p>
    <w:p w:rsidR="00177F8F" w:rsidRPr="008B7480" w:rsidRDefault="00177F8F" w:rsidP="009E6E85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рынке;</w:t>
      </w:r>
    </w:p>
    <w:p w:rsidR="00177F8F" w:rsidRPr="008B7480" w:rsidRDefault="00177F8F" w:rsidP="009E6E85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неустойчивость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экономики;</w:t>
      </w:r>
    </w:p>
    <w:p w:rsidR="00177F8F" w:rsidRPr="008B7480" w:rsidRDefault="00177F8F" w:rsidP="009E6E85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неграмотное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политикой;</w:t>
      </w:r>
    </w:p>
    <w:p w:rsidR="00177F8F" w:rsidRPr="008B7480" w:rsidRDefault="00177F8F" w:rsidP="009E6E85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инфляционный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себя:</w:t>
      </w:r>
    </w:p>
    <w:p w:rsidR="00177F8F" w:rsidRPr="008B7480" w:rsidRDefault="00177F8F" w:rsidP="009E6E85">
      <w:pPr>
        <w:widowControl w:val="0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проектирования,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эксплуатации;</w:t>
      </w:r>
    </w:p>
    <w:p w:rsidR="00177F8F" w:rsidRPr="008B7480" w:rsidRDefault="00177F8F" w:rsidP="009E6E85">
      <w:pPr>
        <w:widowControl w:val="0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страхователя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предоставляемые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западными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инвесторами;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льгот;</w:t>
      </w:r>
    </w:p>
    <w:p w:rsidR="00177F8F" w:rsidRPr="008B7480" w:rsidRDefault="00177F8F" w:rsidP="009E6E85">
      <w:pPr>
        <w:widowControl w:val="0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тщательную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сторон,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привлеченными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организациями;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сценариев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причинам:</w:t>
      </w:r>
    </w:p>
    <w:p w:rsidR="00177F8F" w:rsidRPr="008B7480" w:rsidRDefault="00177F8F" w:rsidP="009E6E85">
      <w:pPr>
        <w:widowControl w:val="0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неправильный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неверное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неточный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емкости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неправильное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мощности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производства;</w:t>
      </w:r>
    </w:p>
    <w:p w:rsidR="00177F8F" w:rsidRPr="008B7480" w:rsidRDefault="00177F8F" w:rsidP="009E6E85">
      <w:pPr>
        <w:widowControl w:val="0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необдуманность,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неотлаженность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сбытовой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сбыта;</w:t>
      </w:r>
    </w:p>
    <w:p w:rsidR="00177F8F" w:rsidRPr="008B7480" w:rsidRDefault="00177F8F" w:rsidP="009E6E85">
      <w:pPr>
        <w:widowControl w:val="0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задержка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выходе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рынок.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отсутствию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(сбыть)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нужном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намеченные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являются:</w:t>
      </w:r>
    </w:p>
    <w:p w:rsidR="00177F8F" w:rsidRPr="008B7480" w:rsidRDefault="00177F8F" w:rsidP="009E6E85">
      <w:pPr>
        <w:widowControl w:val="0"/>
        <w:numPr>
          <w:ilvl w:val="0"/>
          <w:numId w:val="20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невыход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мощность;</w:t>
      </w:r>
    </w:p>
    <w:p w:rsidR="00177F8F" w:rsidRPr="008B7480" w:rsidRDefault="00177F8F" w:rsidP="009E6E85">
      <w:pPr>
        <w:widowControl w:val="0"/>
        <w:numPr>
          <w:ilvl w:val="0"/>
          <w:numId w:val="20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мощность;</w:t>
      </w:r>
    </w:p>
    <w:p w:rsidR="00177F8F" w:rsidRPr="008B7480" w:rsidRDefault="00177F8F" w:rsidP="009E6E85">
      <w:pPr>
        <w:widowControl w:val="0"/>
        <w:numPr>
          <w:ilvl w:val="0"/>
          <w:numId w:val="20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причинами: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ошибки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проектировании;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неправильный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оборудования;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ошибочное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мощности;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управлении;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нехватка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силы;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импортным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персонала;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срыв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стройматериалов,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комплектующих;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срыв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подрядчиками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(субподрядчиками);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комплектующие;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оборудования;</w:t>
      </w:r>
    </w:p>
    <w:p w:rsidR="00177F8F" w:rsidRPr="008B7480" w:rsidRDefault="00177F8F" w:rsidP="009E6E85">
      <w:pPr>
        <w:widowControl w:val="0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зарплату.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Недофинансирование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срыв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основе:</w:t>
      </w:r>
    </w:p>
    <w:p w:rsidR="00177F8F" w:rsidRPr="008B7480" w:rsidRDefault="00177F8F" w:rsidP="009E6E85">
      <w:pPr>
        <w:widowControl w:val="0"/>
        <w:numPr>
          <w:ilvl w:val="0"/>
          <w:numId w:val="2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невыполнения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кредиторами;</w:t>
      </w:r>
    </w:p>
    <w:p w:rsidR="00177F8F" w:rsidRPr="008B7480" w:rsidRDefault="00177F8F" w:rsidP="009E6E85">
      <w:pPr>
        <w:widowControl w:val="0"/>
        <w:numPr>
          <w:ilvl w:val="0"/>
          <w:numId w:val="2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кредита;</w:t>
      </w:r>
    </w:p>
    <w:p w:rsidR="00177F8F" w:rsidRPr="008B7480" w:rsidRDefault="00177F8F" w:rsidP="009E6E85">
      <w:pPr>
        <w:widowControl w:val="0"/>
        <w:numPr>
          <w:ilvl w:val="0"/>
          <w:numId w:val="2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лимита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валюты;</w:t>
      </w:r>
    </w:p>
    <w:p w:rsidR="00177F8F" w:rsidRPr="008B7480" w:rsidRDefault="00177F8F" w:rsidP="009E6E85">
      <w:pPr>
        <w:widowControl w:val="0"/>
        <w:numPr>
          <w:ilvl w:val="0"/>
          <w:numId w:val="2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(прекращение)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кредита;</w:t>
      </w:r>
    </w:p>
    <w:p w:rsidR="00177F8F" w:rsidRPr="008B7480" w:rsidRDefault="00177F8F" w:rsidP="009E6E85">
      <w:pPr>
        <w:widowControl w:val="0"/>
        <w:numPr>
          <w:ilvl w:val="0"/>
          <w:numId w:val="2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ужесточения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(сокращения)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следующем: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торгово-политического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политики;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регулировании,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внешнеполитической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РФ;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экспортного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финансирования;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социально-экономическая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нестабильность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РФ;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национализации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экспроприации;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инвестициях);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репатриацией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геополитические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риски;</w:t>
      </w:r>
    </w:p>
    <w:p w:rsidR="00177F8F" w:rsidRPr="008B7480" w:rsidRDefault="00177F8F" w:rsidP="009E6E85">
      <w:pPr>
        <w:widowControl w:val="0"/>
        <w:numPr>
          <w:ilvl w:val="0"/>
          <w:numId w:val="2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вследствие:</w:t>
      </w:r>
    </w:p>
    <w:p w:rsidR="00177F8F" w:rsidRPr="008B7480" w:rsidRDefault="00177F8F" w:rsidP="009E6E85">
      <w:pPr>
        <w:widowControl w:val="0"/>
        <w:numPr>
          <w:ilvl w:val="0"/>
          <w:numId w:val="2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несовершенства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законодательства;</w:t>
      </w:r>
    </w:p>
    <w:p w:rsidR="00177F8F" w:rsidRPr="008B7480" w:rsidRDefault="00177F8F" w:rsidP="009E6E85">
      <w:pPr>
        <w:widowControl w:val="0"/>
        <w:numPr>
          <w:ilvl w:val="0"/>
          <w:numId w:val="2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неправильного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контрактов,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фиксирующих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Экологические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вследствие:</w:t>
      </w:r>
    </w:p>
    <w:p w:rsidR="00177F8F" w:rsidRPr="008B7480" w:rsidRDefault="00177F8F" w:rsidP="009E6E85">
      <w:pPr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среде;</w:t>
      </w:r>
    </w:p>
    <w:p w:rsidR="00177F8F" w:rsidRPr="008B7480" w:rsidRDefault="00177F8F" w:rsidP="009E6E85">
      <w:pPr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аварий;</w:t>
      </w:r>
    </w:p>
    <w:p w:rsidR="00177F8F" w:rsidRPr="008B7480" w:rsidRDefault="00177F8F" w:rsidP="009E6E85">
      <w:pPr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властей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общественности.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Строительные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части:</w:t>
      </w:r>
    </w:p>
    <w:p w:rsidR="00177F8F" w:rsidRPr="008B7480" w:rsidRDefault="00177F8F" w:rsidP="009E6E85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"А"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строительства;</w:t>
      </w:r>
    </w:p>
    <w:p w:rsidR="00177F8F" w:rsidRPr="008B7480" w:rsidRDefault="00177F8F" w:rsidP="009E6E85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"Б"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"А"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приносят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увеличивая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вызваны:</w:t>
      </w:r>
    </w:p>
    <w:p w:rsidR="00177F8F" w:rsidRPr="008B7480" w:rsidRDefault="00177F8F" w:rsidP="009E6E85">
      <w:pPr>
        <w:widowControl w:val="0"/>
        <w:numPr>
          <w:ilvl w:val="0"/>
          <w:numId w:val="2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задержками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строительстве;</w:t>
      </w:r>
    </w:p>
    <w:p w:rsidR="00177F8F" w:rsidRPr="008B7480" w:rsidRDefault="00177F8F" w:rsidP="009E6E85">
      <w:pPr>
        <w:widowControl w:val="0"/>
        <w:numPr>
          <w:ilvl w:val="0"/>
          <w:numId w:val="2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невыполнением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поставщиком,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дефектами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технологии;</w:t>
      </w:r>
    </w:p>
    <w:p w:rsidR="00177F8F" w:rsidRPr="008B7480" w:rsidRDefault="00177F8F" w:rsidP="009E6E85">
      <w:pPr>
        <w:widowControl w:val="0"/>
        <w:numPr>
          <w:ilvl w:val="0"/>
          <w:numId w:val="2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срывами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(монтажа)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рядчика.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"Б"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являются: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некомпетентность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экспортно-импортные;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"форс-мажор";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транспортные;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снабжения;</w:t>
      </w:r>
    </w:p>
    <w:p w:rsidR="00177F8F" w:rsidRPr="008B7480" w:rsidRDefault="00177F8F" w:rsidP="009E6E85">
      <w:pPr>
        <w:widowControl w:val="0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несовместимость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присущи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проекту.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подразделяются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группы:</w:t>
      </w:r>
    </w:p>
    <w:p w:rsidR="00177F8F" w:rsidRPr="008B7480" w:rsidRDefault="00177F8F" w:rsidP="009E6E85">
      <w:pPr>
        <w:widowControl w:val="0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Допустимый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осуществляемому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проекту.</w:t>
      </w:r>
    </w:p>
    <w:p w:rsidR="00177F8F" w:rsidRPr="008B7480" w:rsidRDefault="00177F8F" w:rsidP="009E6E85">
      <w:pPr>
        <w:widowControl w:val="0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Критический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осуществляемому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проекту.</w:t>
      </w:r>
    </w:p>
    <w:p w:rsidR="00177F8F" w:rsidRPr="008B7480" w:rsidRDefault="00177F8F" w:rsidP="009E6E85">
      <w:pPr>
        <w:widowControl w:val="0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Катастрофический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частичной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утратой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капитала.</w:t>
      </w:r>
    </w:p>
    <w:p w:rsidR="00177F8F" w:rsidRPr="008B7480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ситуации.</w:t>
      </w:r>
    </w:p>
    <w:p w:rsidR="00177F8F" w:rsidRPr="008B7480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учитывать,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сопутствует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идущим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пассивными.</w:t>
      </w:r>
    </w:p>
    <w:p w:rsidR="00177F8F" w:rsidRPr="008B7480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охарактеризовать</w:t>
      </w:r>
      <w:r>
        <w:rPr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риск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как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вероятность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недополучения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планируемых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доходов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в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процессе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снижения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неопределенности,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сопутствующей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деятельности</w:t>
      </w:r>
      <w:r>
        <w:rPr>
          <w:rStyle w:val="a5"/>
          <w:i w:val="0"/>
          <w:sz w:val="28"/>
          <w:szCs w:val="28"/>
        </w:rPr>
        <w:t xml:space="preserve"> </w:t>
      </w:r>
      <w:r w:rsidRPr="008B7480">
        <w:rPr>
          <w:rStyle w:val="a5"/>
          <w:i w:val="0"/>
          <w:sz w:val="28"/>
          <w:szCs w:val="28"/>
        </w:rPr>
        <w:t>компании.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риска: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квалифицируется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хозяйственная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личностью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природными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факторами.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следствие,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неопределенностью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непредсказуемостью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партнеров,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недостатком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образом,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основными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источниками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риска</w:t>
      </w:r>
      <w:r>
        <w:rPr>
          <w:b/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являются: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Спонтанность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стихийные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бедствия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(землетрясения,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ураганы,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наводнения,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засуха,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мороз,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гололед).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Случайность.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сходных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неодинаково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социально-экономических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технологических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многовариантности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вступают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противоборствующих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тенденций,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столкновение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противоречивых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интересов.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межнациональные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конфликты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(запрет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экспорт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импорт,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замораживание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конкуренция,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простое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несовпадение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интересов.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НТП.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открытий,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изобретений.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V.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Неполнота,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недостаточность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явлении.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сборе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переработке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изменчивостью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VI.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недостаточность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однозначного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сложившихся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познания;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относительная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сознательной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человека,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существующие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социально-психологических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установках,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идеалах,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намерениях,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стереотипах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поведения.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рисунке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изображена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I,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II,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III,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IV,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V,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VI,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создающие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лучшую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</w:p>
    <w:p w:rsidR="00177F8F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худшую,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разрядить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(принятия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</w:p>
    <w:p w:rsidR="009E6E85" w:rsidRPr="008B7480" w:rsidRDefault="009E6E85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BA5E33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image001" style="width:311.25pt;height:300pt;visibility:visible">
            <v:imagedata r:id="rId8" o:title="image001"/>
          </v:shape>
        </w:pic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E6E85" w:rsidRDefault="009E6E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2.</w:t>
      </w:r>
      <w:r w:rsidR="009E6E85"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риска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субъективной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(убытком)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вынуждена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неизвестностью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обстановки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подвергается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угроза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разорения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остановить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неудачи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присутствует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встает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выбранной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Американский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Берлимер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предложил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допущения: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независимы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Потеря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увеличивает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форс-мажорных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обстоятельств).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участника.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качественный.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потенциальные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сравнение.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целесообразности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оценок,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устойчивости.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обобщении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специалистов-экспертов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интуитивные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характеристики,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знаниях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выработки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«живой»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Жизненный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зрелости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упадка.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Изучая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жизненный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нежелательных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информацию.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численное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(решения)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численные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последствий,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(уровня)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определяется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(устанавливается)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допустимый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остановке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распространенными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оценок.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предусмотреть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Анализируются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бухгалтерской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отчетности.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текущей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обеспеченности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платежеспособности.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целесообразности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нижний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нулю.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приносит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сокращении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падением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спроса,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сокращением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изделий,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заменой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причинами.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имевших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аналогичном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колеблемостью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потоки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предыдущих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предполагается,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потоки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независимыми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потоками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произойти.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E6E85" w:rsidRDefault="009E6E8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b/>
          <w:bCs/>
          <w:sz w:val="28"/>
          <w:szCs w:val="28"/>
        </w:rPr>
        <w:t>Шкалы</w:t>
      </w:r>
      <w:r>
        <w:rPr>
          <w:b/>
          <w:bCs/>
          <w:sz w:val="28"/>
          <w:szCs w:val="28"/>
        </w:rPr>
        <w:t xml:space="preserve"> </w:t>
      </w:r>
      <w:r w:rsidRPr="008B748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8B7480">
        <w:rPr>
          <w:b/>
          <w:bCs/>
          <w:sz w:val="28"/>
          <w:szCs w:val="28"/>
        </w:rPr>
        <w:t>уровни</w:t>
      </w:r>
      <w:r>
        <w:rPr>
          <w:b/>
          <w:bCs/>
          <w:sz w:val="28"/>
          <w:szCs w:val="28"/>
        </w:rPr>
        <w:t xml:space="preserve"> </w:t>
      </w:r>
      <w:r w:rsidRPr="008B7480">
        <w:rPr>
          <w:b/>
          <w:bCs/>
          <w:sz w:val="28"/>
          <w:szCs w:val="28"/>
        </w:rPr>
        <w:t>рисков</w:t>
      </w:r>
    </w:p>
    <w:p w:rsidR="009E6E85" w:rsidRDefault="009E6E85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E6E85" w:rsidRPr="008B7480" w:rsidRDefault="009E6E85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распространенными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оценок.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порождает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шкал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обобщения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авторов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приведена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эмпирическая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шкала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рекомендуют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36" w:type="pct"/>
        <w:tblInd w:w="108" w:type="dxa"/>
        <w:tblLook w:val="0000" w:firstRow="0" w:lastRow="0" w:firstColumn="0" w:lastColumn="0" w:noHBand="0" w:noVBand="0"/>
      </w:tblPr>
      <w:tblGrid>
        <w:gridCol w:w="1776"/>
        <w:gridCol w:w="2276"/>
        <w:gridCol w:w="5397"/>
      </w:tblGrid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№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Величина риска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Наименование градаций риска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0,0-0,1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минимальный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0,1-0,3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малый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0,3-0,4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средний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0,4-0,6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высокий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5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0,6-0,8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максимальный</w:t>
            </w:r>
          </w:p>
        </w:tc>
      </w:tr>
      <w:tr w:rsidR="00177F8F" w:rsidRPr="008B7480" w:rsidTr="009E6E85">
        <w:tc>
          <w:tcPr>
            <w:tcW w:w="17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0,8-1,0</w:t>
            </w:r>
          </w:p>
        </w:tc>
        <w:tc>
          <w:tcPr>
            <w:tcW w:w="5397" w:type="dxa"/>
          </w:tcPr>
          <w:p w:rsidR="00177F8F" w:rsidRPr="009E6E85" w:rsidRDefault="00177F8F" w:rsidP="009E6E85">
            <w:pPr>
              <w:widowControl w:val="0"/>
              <w:tabs>
                <w:tab w:val="left" w:pos="851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9E6E85">
              <w:rPr>
                <w:sz w:val="20"/>
                <w:szCs w:val="20"/>
              </w:rPr>
              <w:t>критический</w:t>
            </w:r>
          </w:p>
        </w:tc>
      </w:tr>
    </w:tbl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градации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нежелательного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соответствуют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"нормальному",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"разумному"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нежелательного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банкротству.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колеблемости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(изменчивости)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шкалы: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0,1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слабая;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0,1-0,25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умеренная;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высокая.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определяющего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банкротства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считают,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оптимальным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составляющий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0,3,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0,7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шкала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градациями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коэффициента: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приемлемый;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0,25-0,50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допустимый;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0,50-0,75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критический;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свыше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0,75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катастрофический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описательные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шкал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ожидаемых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содержащего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градациях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зон.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недопустимого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превзойти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имущественному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чувствительности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устойчивости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чувствительности,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точка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безубыточности,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чувствительности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(β)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общерыночными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колебаниями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доходности.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Точка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безубыточности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объема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(реализации),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производственного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изготовление,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нулю.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ликвидности.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ликвидностью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превращаться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обязательств.</w:t>
      </w:r>
    </w:p>
    <w:p w:rsidR="009E6E85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борьбы,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испытывают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направлениями:</w:t>
      </w:r>
    </w:p>
    <w:p w:rsidR="009E6E85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решений;</w:t>
      </w:r>
    </w:p>
    <w:p w:rsidR="009E6E85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мониторинговые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сопоставления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маркетинговой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рынка;</w:t>
      </w:r>
    </w:p>
    <w:p w:rsidR="009E6E85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широкого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сценарию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планировании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(пессимистических,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оптимистичных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проведением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неуверенности.</w:t>
      </w:r>
      <w:r>
        <w:rPr>
          <w:sz w:val="28"/>
          <w:szCs w:val="28"/>
        </w:rPr>
        <w:t xml:space="preserve"> 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присутствуют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им.</w:t>
      </w:r>
    </w:p>
    <w:p w:rsidR="00177F8F" w:rsidRPr="008B7480" w:rsidRDefault="00177F8F" w:rsidP="009E6E85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чувствителен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факторов.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внутренних,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Неуверенность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происхождения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складываются.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внешнюю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нестабильности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признакам: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будничности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(события).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часто;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неожиданные,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прошлом;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абсолютно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неожиданные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прошлые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периоды;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характеристикой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скоростью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реакцией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(фирмы)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признаку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классифицируются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протекают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медленнее,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реагирует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них;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совпадает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скоростью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происхождения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динамической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открытой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неоднородные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разнохарактерными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иерархической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структуре.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Динамическая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беспрестанно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самостоятельно,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окружения.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Открытость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(экономики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региона,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отрасли,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целом).Влияние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управляемый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ними.</w:t>
      </w:r>
    </w:p>
    <w:p w:rsidR="009E6E85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этапе:</w:t>
      </w:r>
    </w:p>
    <w:p w:rsidR="009E6E85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сбору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информации;</w:t>
      </w:r>
    </w:p>
    <w:p w:rsidR="009E6E85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информации;</w:t>
      </w:r>
    </w:p>
    <w:p w:rsidR="009E6E85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собранной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проанализированной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информации.</w:t>
      </w:r>
    </w:p>
    <w:p w:rsidR="00177F8F" w:rsidRPr="008B7480" w:rsidRDefault="00177F8F" w:rsidP="009E6E85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планирование.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Планирование,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тактических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(растет)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стратегических.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Тактическое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планирование,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стратегическом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меньшую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меньший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охватывает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длинная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плановая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перспектива.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пропорциональная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разрабатывается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охватить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длительный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уменьшено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показателей.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Никакой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окончательным;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пересмотрен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реализованная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неуверенность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вызывать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адекватные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sz w:val="28"/>
          <w:szCs w:val="28"/>
        </w:rPr>
        <w:br w:type="page"/>
      </w:r>
      <w:r w:rsidRPr="008B748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риском</w:t>
      </w:r>
    </w:p>
    <w:p w:rsidR="009E6E85" w:rsidRDefault="009E6E85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риск-менеджмента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сегодняшней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добиться,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худшем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раскладе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некотором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стоял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корректировать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позиций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максимума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риск-менеджменту.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Риск-менеджмент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бизнеса.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производители,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продавцы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самостоятельно.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непредсказуемо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прогнозируемо.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вовремя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воздействовать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механизм,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своеобразный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целенаправленный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(выигрыша,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Конечная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предпринимательства.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оптимальном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соотношении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(точнее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тактику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лучшего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сконцентрировать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отбросить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существование,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выдвигают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Тактика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тактики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конструктивных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Риск-менеджмент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подсистем: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(объекта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(субъекта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страхователем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страховщиком,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заемщиком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кредитором,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конкурентами.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целенаправленное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циркулировании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br w:type="page"/>
      </w:r>
      <w:r w:rsidRPr="008B7480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снижения</w:t>
      </w:r>
      <w:r>
        <w:rPr>
          <w:b/>
          <w:sz w:val="28"/>
          <w:szCs w:val="28"/>
        </w:rPr>
        <w:t xml:space="preserve"> </w:t>
      </w:r>
      <w:r w:rsidRPr="008B7480">
        <w:rPr>
          <w:b/>
          <w:sz w:val="28"/>
          <w:szCs w:val="28"/>
        </w:rPr>
        <w:t>риска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забывать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риска;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малого.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надежной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главную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роль,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клиентов.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тайны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вноситься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вклада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акционерного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товарищества.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надежной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сопоставить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вкладываемого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сравнить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банкротству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эвристики,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логических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отыскания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истины.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проводящий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портфельные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разрабатывающий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входить: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сбор,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обстановке.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выполнения,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бухгалтерской,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выбирается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наибольшую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приемлемом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выигрыша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проигрыша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наименьший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разрыв.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Оцениваются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выигрыша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мероприятие,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выигрыш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что: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известны.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выбирается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нормой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неизвестны,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относительных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капитал.</w:t>
      </w:r>
    </w:p>
    <w:p w:rsidR="00177F8F" w:rsidRPr="008B7480" w:rsidRDefault="00177F8F" w:rsidP="009E6E85">
      <w:pPr>
        <w:widowControl w:val="0"/>
        <w:numPr>
          <w:ilvl w:val="0"/>
          <w:numId w:val="36"/>
        </w:numPr>
        <w:tabs>
          <w:tab w:val="clear" w:pos="436"/>
          <w:tab w:val="num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неизвестны,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рисков;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позволила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Математический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конфликтных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игр,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обстановку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минимуму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побуждает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управляющего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альтернативы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партнеров,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наилучшего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подчиненного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некоторым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ограничениям,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вытекающим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математически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выраженную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статистические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непредвиденному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исчислить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воедино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сделать.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Случайное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оказывающее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конечного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наблюдаться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суммарных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вычитать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сопровождающий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выигрыш.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непредусмотренных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единицах,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единицах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веса,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объема,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физическом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переводятся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умножения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выражении,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воедино,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физическом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(нельзя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складывать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килограммы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т.д.).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Трудовые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непредвиденными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обстоятельствами.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человеко-часах,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человеко-днях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умножения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трудочасов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непредусмотренными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штрафов,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уплатой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налогов,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недополучении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неполучении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невозврате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неоплате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покупателем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реализуемые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инфляции.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обусловленные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замораживанием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счетов,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несвоевременной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выдачей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отсрочкой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долгов.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медленнее,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намечено.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днях,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неделях,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месяцах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запаздывания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намеченного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измерение,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случайные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нанесения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престижу,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морально-психологических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количественном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выражении.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снизить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угрозу,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перерасходом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топлива,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энергии.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издержки,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перерасход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намеченной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(вследствие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превышения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работникам),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негативное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важен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заемных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собственным,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кредиторов,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серьезнее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ужесточение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влечет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остановку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сырья,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воздействием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прошлых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Понесенные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диктуют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осторожной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политики,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успех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побуждает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предпочитает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малорискованные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располагает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альтернативных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альтернативных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депозитные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сертификаты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облигации,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гарантия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оговоренный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требующие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достоверной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предсказать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Неопределенность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меняющихся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обстоятельствах.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попытается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новизну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сложность,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сочетая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накопленным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оценок.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прошлым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интуицией,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Диверсификация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инвестируемых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Диверсификация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разнообразными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убытки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инвестирования,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динамичность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увеличивает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разделения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факторинга.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факторинговых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поставщиков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ускоренном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платежей,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сомнительными.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претензий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плательщиком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вообще.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2)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результатах.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точный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снизить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ценной.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какого-нибудь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(проекта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приобретения),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стоимостью,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неполная.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B7480">
        <w:rPr>
          <w:sz w:val="28"/>
          <w:szCs w:val="28"/>
        </w:rPr>
        <w:t>3)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Лимитирование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ссуд,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займов,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т.п.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4)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Резервирование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потенциальными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размерами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преодоления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непредвиденных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накладных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5)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своп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(соглашение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пассивов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аналогичные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пассивы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процентной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минимизировать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финансирования).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6)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Самострахование.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натуральных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чья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подвержена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риску.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оперативном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временных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затруднений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финансово-коммерческой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7)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наступлении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(страховых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случаев)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формируемых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уплачиваемых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взносов,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кооперация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бедствий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противоречиями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общества.</w:t>
      </w:r>
    </w:p>
    <w:p w:rsidR="00177F8F" w:rsidRPr="008B7480" w:rsidRDefault="00177F8F" w:rsidP="009E6E85">
      <w:pPr>
        <w:pStyle w:val="3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функции: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1.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перераспределение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последствиями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случайных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событий.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главной,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назначением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возмещению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пострадавшим.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2.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Предупредительная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уменьшению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3.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Сберегательная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сберегаются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дожитие.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сбережение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достигнутого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достатка.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4.</w:t>
      </w:r>
      <w:r w:rsidR="009E6E85"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целевым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формированием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фонда.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формах.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законодательными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РФ.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случаев.</w:t>
      </w:r>
      <w:r>
        <w:rPr>
          <w:sz w:val="28"/>
          <w:szCs w:val="28"/>
        </w:rPr>
        <w:t xml:space="preserve"> 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Имущественное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формы: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подрядного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грузов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включает: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ответственности.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хеджирование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нежелательного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производителя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падения,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невыгодного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потребителя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увеличения.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технике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хеджирование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хеджирование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(заключение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производителем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товаровладельцем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фьючерсного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имеющегося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наличии,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произведенного,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срок),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хеджирование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(заключение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потребителем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продавцом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фьючерсного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покупке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товара).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Фьючерсы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(фьючерсные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контракты)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зафиксированной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фьючерсной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сделки.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какая-нибудь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иностранная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нефть,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металл,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зерно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торговля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биржах.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Покупая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фьючерс,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застраховаться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базисный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будущем.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опционы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(право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бумаг).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фьючерса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опциона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обязательно.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выгодно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держателю.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страхуясь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падения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выручку,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предприятие-экспортер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подписанием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купить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опцион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поставка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оплачена.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моменту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упадет,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курсу,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зафиксированному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опционе.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произойдет,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исполнит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опцион.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80">
        <w:rPr>
          <w:sz w:val="28"/>
          <w:szCs w:val="28"/>
        </w:rPr>
        <w:br w:type="page"/>
      </w:r>
      <w:r w:rsidRPr="008B7480">
        <w:rPr>
          <w:b/>
          <w:sz w:val="28"/>
          <w:szCs w:val="28"/>
        </w:rPr>
        <w:t>Заключение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сталкивается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правильным.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страх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дальнейшая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зависеть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дальновидности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знаний.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«готовых»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рецептов.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вопросу,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требующему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нужен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подход.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управляющего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подходящих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минимуму,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максимальную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удачной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неудачной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сделки.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определив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компанию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краху.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квалификация,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интуиция.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постоянный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(возможность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чужих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ошибках).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общем,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важная.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грамотное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высококвалифицированный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специалист.</w:t>
      </w:r>
    </w:p>
    <w:p w:rsidR="009E6E85" w:rsidRDefault="00177F8F" w:rsidP="009E6E85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трансформации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сопряжено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потерям.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нематериальным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ресурсам,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конкурентной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текущим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проектам,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менеджмент.</w:t>
      </w:r>
      <w:r>
        <w:rPr>
          <w:sz w:val="28"/>
          <w:szCs w:val="28"/>
        </w:rPr>
        <w:t xml:space="preserve"> </w:t>
      </w:r>
    </w:p>
    <w:p w:rsidR="00177F8F" w:rsidRPr="008B7480" w:rsidRDefault="00177F8F" w:rsidP="009E6E85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процедурах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ориентированного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внешние,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динамику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отрасли,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ниши,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региональной,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«спасаться»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существенного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аналитической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управлении.</w:t>
      </w:r>
    </w:p>
    <w:p w:rsidR="00177F8F" w:rsidRPr="008B7480" w:rsidRDefault="00177F8F" w:rsidP="009E6E85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предметный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интегральных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(рыночная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позиция,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имидж,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нематериальные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активы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совместными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усилиями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подразделениями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фирмы.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подобной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привычки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менеджеров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сильная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черта.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готовить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регулярные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совместные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тренинги.</w:t>
      </w:r>
    </w:p>
    <w:p w:rsidR="00177F8F" w:rsidRPr="008B7480" w:rsidRDefault="00177F8F" w:rsidP="009E6E85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осознание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заметной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инструментальной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одними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стабильного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экономики.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всепроникающее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явление,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присущее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хозяйствующим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функционирующим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возникающий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любых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производством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реализацией,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товарно-денежными,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операциями,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коммерцией,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социально-экономических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научно-технических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проектов.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непредвиденных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случайным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неблагоприятными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обстоятельствами.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измеряется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частотой,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вероятностью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Квалификационная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категории,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виды,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подвиды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разновидности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предприятия.</w:t>
      </w:r>
    </w:p>
    <w:p w:rsidR="009E6E85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оценку,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оптимальный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7480">
        <w:rPr>
          <w:sz w:val="28"/>
          <w:szCs w:val="28"/>
        </w:rPr>
        <w:br w:type="page"/>
      </w:r>
      <w:r w:rsidRPr="008B7480">
        <w:rPr>
          <w:b/>
          <w:sz w:val="28"/>
          <w:szCs w:val="28"/>
        </w:rPr>
        <w:t>Литература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Э.А.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Смирнов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«Разработка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Юнити,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2000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Гамза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Екатеринославский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Ю.Ю.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«Рисковый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спектр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организаций».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2002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Супрунович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Е.Б.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рыночным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Е.Б.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Супрунович,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Киселева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Банк.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дело.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2003.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№1.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Фомичев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«Риск-менеджмент»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Дашков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Чернова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Г.В.,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Кудрявцев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А.А.«Управление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Проспект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Чернова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СПб: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Питер,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178с.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Ступаков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В.С.,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Токаренко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Г.С.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Риск-менеджмент: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2005.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Цветкова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Е.В.,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Арлюкова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СПб.,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2002.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04D4A">
        <w:rPr>
          <w:sz w:val="28"/>
          <w:szCs w:val="28"/>
        </w:rPr>
        <w:t>http://aboutrisk.info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кредит.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3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рисками: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менеджмента: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научно-практической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0ктября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Киров: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Вятского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ГЛУ,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71—77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Вяткин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Хэмптон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Дж.,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Казак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«Принятие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бизнесом».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Перспектива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г.</w:t>
      </w:r>
    </w:p>
    <w:p w:rsidR="00177F8F" w:rsidRPr="008B7480" w:rsidRDefault="00177F8F" w:rsidP="009E6E8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B7480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В.Р.Веснин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«Менеджмент»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3-е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«Издательство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Проспект»</w:t>
      </w:r>
      <w:r>
        <w:rPr>
          <w:sz w:val="28"/>
          <w:szCs w:val="28"/>
        </w:rPr>
        <w:t xml:space="preserve"> </w:t>
      </w:r>
      <w:r w:rsidRPr="008B7480">
        <w:rPr>
          <w:sz w:val="28"/>
          <w:szCs w:val="28"/>
        </w:rPr>
        <w:t>2008</w:t>
      </w:r>
      <w:bookmarkStart w:id="12" w:name="_GoBack"/>
      <w:bookmarkEnd w:id="12"/>
    </w:p>
    <w:sectPr w:rsidR="00177F8F" w:rsidRPr="008B7480" w:rsidSect="009E6E85">
      <w:footerReference w:type="even" r:id="rId9"/>
      <w:footerReference w:type="default" r:id="rId10"/>
      <w:pgSz w:w="11907" w:h="16839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1D" w:rsidRDefault="00E20F1D" w:rsidP="00177F8F">
      <w:r>
        <w:separator/>
      </w:r>
    </w:p>
  </w:endnote>
  <w:endnote w:type="continuationSeparator" w:id="0">
    <w:p w:rsidR="00E20F1D" w:rsidRDefault="00E20F1D" w:rsidP="001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85" w:rsidRDefault="009E6E85" w:rsidP="009E6E85">
    <w:pPr>
      <w:pStyle w:val="af"/>
      <w:framePr w:wrap="around" w:vAnchor="text" w:hAnchor="margin" w:xAlign="center" w:y="1"/>
      <w:rPr>
        <w:rStyle w:val="af1"/>
      </w:rPr>
    </w:pPr>
  </w:p>
  <w:p w:rsidR="009E6E85" w:rsidRDefault="009E6E8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85" w:rsidRDefault="00204D4A" w:rsidP="009E6E85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9E6E85" w:rsidRDefault="009E6E8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1D" w:rsidRDefault="00E20F1D" w:rsidP="00177F8F">
      <w:r>
        <w:separator/>
      </w:r>
    </w:p>
  </w:footnote>
  <w:footnote w:type="continuationSeparator" w:id="0">
    <w:p w:rsidR="00E20F1D" w:rsidRDefault="00E20F1D" w:rsidP="00177F8F">
      <w:r>
        <w:continuationSeparator/>
      </w:r>
    </w:p>
  </w:footnote>
  <w:footnote w:id="1">
    <w:p w:rsidR="00E20F1D" w:rsidRDefault="009E6E85" w:rsidP="009E6E85">
      <w:pPr>
        <w:jc w:val="both"/>
      </w:pPr>
      <w:r w:rsidRPr="009E6E85">
        <w:rPr>
          <w:rStyle w:val="ac"/>
          <w:sz w:val="20"/>
          <w:szCs w:val="20"/>
        </w:rPr>
        <w:footnoteRef/>
      </w:r>
      <w:r w:rsidRPr="009E6E85">
        <w:rPr>
          <w:sz w:val="20"/>
          <w:szCs w:val="20"/>
        </w:rPr>
        <w:t xml:space="preserve"> Романов В. Понятие рисков и их классификация как основной элемент теории рисков // Деньги и кредит. 2009. № 3 </w:t>
      </w:r>
    </w:p>
  </w:footnote>
  <w:footnote w:id="2">
    <w:p w:rsidR="00E20F1D" w:rsidRDefault="009E6E85" w:rsidP="009E6E85">
      <w:pPr>
        <w:jc w:val="both"/>
      </w:pPr>
      <w:r w:rsidRPr="009E6E85">
        <w:rPr>
          <w:rStyle w:val="ac"/>
          <w:sz w:val="20"/>
          <w:szCs w:val="20"/>
        </w:rPr>
        <w:footnoteRef/>
      </w:r>
      <w:r w:rsidRPr="009E6E85">
        <w:rPr>
          <w:sz w:val="20"/>
          <w:szCs w:val="20"/>
        </w:rPr>
        <w:t xml:space="preserve"> Чернова Г. В. Практика управления рисками на уровне предприятия. – СПб: Питер, 2008. – 178с.</w:t>
      </w:r>
    </w:p>
  </w:footnote>
  <w:footnote w:id="3">
    <w:p w:rsidR="00E20F1D" w:rsidRDefault="009E6E85" w:rsidP="009E6E85">
      <w:pPr>
        <w:jc w:val="both"/>
      </w:pPr>
      <w:r w:rsidRPr="009E6E85">
        <w:rPr>
          <w:rStyle w:val="ac"/>
          <w:sz w:val="20"/>
          <w:szCs w:val="20"/>
        </w:rPr>
        <w:footnoteRef/>
      </w:r>
      <w:r w:rsidRPr="009E6E85">
        <w:rPr>
          <w:sz w:val="20"/>
          <w:szCs w:val="20"/>
        </w:rPr>
        <w:t xml:space="preserve"> Вяткин В., Хэмптон Дж., Казак А. «Принятие финансовых решений в управлении бизнесом». Москва - Перспектива </w:t>
      </w:r>
      <w:smartTag w:uri="urn:schemas-microsoft-com:office:smarttags" w:element="metricconverter">
        <w:smartTagPr>
          <w:attr w:name="ProductID" w:val="2007 г"/>
        </w:smartTagPr>
        <w:r w:rsidRPr="009E6E85">
          <w:rPr>
            <w:sz w:val="20"/>
            <w:szCs w:val="20"/>
          </w:rPr>
          <w:t>2007 г</w:t>
        </w:r>
      </w:smartTag>
      <w:r w:rsidRPr="009E6E85">
        <w:rPr>
          <w:sz w:val="20"/>
          <w:szCs w:val="20"/>
        </w:rPr>
        <w:t>.</w:t>
      </w:r>
    </w:p>
  </w:footnote>
  <w:footnote w:id="4">
    <w:p w:rsidR="00E20F1D" w:rsidRDefault="009E6E85" w:rsidP="009E6E85">
      <w:pPr>
        <w:jc w:val="both"/>
      </w:pPr>
      <w:r w:rsidRPr="009E6E85">
        <w:rPr>
          <w:rStyle w:val="ac"/>
          <w:sz w:val="20"/>
          <w:szCs w:val="20"/>
        </w:rPr>
        <w:footnoteRef/>
      </w:r>
      <w:r w:rsidRPr="009E6E85">
        <w:rPr>
          <w:sz w:val="20"/>
          <w:szCs w:val="20"/>
        </w:rPr>
        <w:t xml:space="preserve"> Вяткин В., Хэмптон Дж., Казак А. «Принятие финансовых решений в управлении бизнесом». Москва - Перспектива </w:t>
      </w:r>
      <w:smartTag w:uri="urn:schemas-microsoft-com:office:smarttags" w:element="metricconverter">
        <w:smartTagPr>
          <w:attr w:name="ProductID" w:val="2007 г"/>
        </w:smartTagPr>
        <w:r w:rsidRPr="009E6E85">
          <w:rPr>
            <w:sz w:val="20"/>
            <w:szCs w:val="20"/>
          </w:rPr>
          <w:t>2007 г</w:t>
        </w:r>
      </w:smartTag>
      <w:r w:rsidRPr="009E6E85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885"/>
    <w:multiLevelType w:val="multilevel"/>
    <w:tmpl w:val="9DEC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C278C"/>
    <w:multiLevelType w:val="multilevel"/>
    <w:tmpl w:val="9D4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B2E8C"/>
    <w:multiLevelType w:val="hybridMultilevel"/>
    <w:tmpl w:val="0124FE5A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085B423E"/>
    <w:multiLevelType w:val="multilevel"/>
    <w:tmpl w:val="F04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D1EE2"/>
    <w:multiLevelType w:val="hybridMultilevel"/>
    <w:tmpl w:val="092E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A35D1E"/>
    <w:multiLevelType w:val="multilevel"/>
    <w:tmpl w:val="284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E1884"/>
    <w:multiLevelType w:val="hybridMultilevel"/>
    <w:tmpl w:val="9048BF44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13EE374C"/>
    <w:multiLevelType w:val="multilevel"/>
    <w:tmpl w:val="41B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85669"/>
    <w:multiLevelType w:val="multilevel"/>
    <w:tmpl w:val="897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62E96"/>
    <w:multiLevelType w:val="multilevel"/>
    <w:tmpl w:val="D66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E23FC"/>
    <w:multiLevelType w:val="multilevel"/>
    <w:tmpl w:val="735608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1E80ABC"/>
    <w:multiLevelType w:val="multilevel"/>
    <w:tmpl w:val="DCCC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A20478"/>
    <w:multiLevelType w:val="multilevel"/>
    <w:tmpl w:val="351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B2B52"/>
    <w:multiLevelType w:val="multilevel"/>
    <w:tmpl w:val="278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E900CC"/>
    <w:multiLevelType w:val="multilevel"/>
    <w:tmpl w:val="5DCCC6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46473F"/>
    <w:multiLevelType w:val="multilevel"/>
    <w:tmpl w:val="FE7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C545A"/>
    <w:multiLevelType w:val="multilevel"/>
    <w:tmpl w:val="79E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E1197"/>
    <w:multiLevelType w:val="hybridMultilevel"/>
    <w:tmpl w:val="E7B46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27916"/>
    <w:multiLevelType w:val="multilevel"/>
    <w:tmpl w:val="8142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3D231668"/>
    <w:multiLevelType w:val="hybridMultilevel"/>
    <w:tmpl w:val="8D72E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EE81925"/>
    <w:multiLevelType w:val="hybridMultilevel"/>
    <w:tmpl w:val="9970FC2E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>
    <w:nsid w:val="41AC266B"/>
    <w:multiLevelType w:val="multilevel"/>
    <w:tmpl w:val="3D82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CE2EF0"/>
    <w:multiLevelType w:val="multilevel"/>
    <w:tmpl w:val="C802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114A88"/>
    <w:multiLevelType w:val="multilevel"/>
    <w:tmpl w:val="2F6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502D6"/>
    <w:multiLevelType w:val="multilevel"/>
    <w:tmpl w:val="DBE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60119"/>
    <w:multiLevelType w:val="multilevel"/>
    <w:tmpl w:val="AE3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20ED8"/>
    <w:multiLevelType w:val="multilevel"/>
    <w:tmpl w:val="684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246E9F"/>
    <w:multiLevelType w:val="multilevel"/>
    <w:tmpl w:val="24FE6F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162549A"/>
    <w:multiLevelType w:val="multilevel"/>
    <w:tmpl w:val="A86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A03319"/>
    <w:multiLevelType w:val="multilevel"/>
    <w:tmpl w:val="1D4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6625A"/>
    <w:multiLevelType w:val="multilevel"/>
    <w:tmpl w:val="C1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C37BF"/>
    <w:multiLevelType w:val="multilevel"/>
    <w:tmpl w:val="C1A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520F4"/>
    <w:multiLevelType w:val="multilevel"/>
    <w:tmpl w:val="F2D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D429E1"/>
    <w:multiLevelType w:val="multilevel"/>
    <w:tmpl w:val="8A78A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29B259D"/>
    <w:multiLevelType w:val="multilevel"/>
    <w:tmpl w:val="804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E6A81"/>
    <w:multiLevelType w:val="multilevel"/>
    <w:tmpl w:val="2E3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E35DAD"/>
    <w:multiLevelType w:val="multilevel"/>
    <w:tmpl w:val="1C96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E242C9"/>
    <w:multiLevelType w:val="hybridMultilevel"/>
    <w:tmpl w:val="0124FE5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>
    <w:nsid w:val="707C204B"/>
    <w:multiLevelType w:val="multilevel"/>
    <w:tmpl w:val="280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3B53B5F"/>
    <w:multiLevelType w:val="multilevel"/>
    <w:tmpl w:val="CD6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713646"/>
    <w:multiLevelType w:val="multilevel"/>
    <w:tmpl w:val="C230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9BE3272"/>
    <w:multiLevelType w:val="multilevel"/>
    <w:tmpl w:val="E2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2"/>
  </w:num>
  <w:num w:numId="3">
    <w:abstractNumId w:val="21"/>
  </w:num>
  <w:num w:numId="4">
    <w:abstractNumId w:val="13"/>
  </w:num>
  <w:num w:numId="5">
    <w:abstractNumId w:val="36"/>
  </w:num>
  <w:num w:numId="6">
    <w:abstractNumId w:val="22"/>
  </w:num>
  <w:num w:numId="7">
    <w:abstractNumId w:val="11"/>
  </w:num>
  <w:num w:numId="8">
    <w:abstractNumId w:val="23"/>
  </w:num>
  <w:num w:numId="9">
    <w:abstractNumId w:val="33"/>
  </w:num>
  <w:num w:numId="10">
    <w:abstractNumId w:val="14"/>
  </w:num>
  <w:num w:numId="11">
    <w:abstractNumId w:val="27"/>
  </w:num>
  <w:num w:numId="12">
    <w:abstractNumId w:val="10"/>
  </w:num>
  <w:num w:numId="13">
    <w:abstractNumId w:val="19"/>
  </w:num>
  <w:num w:numId="14">
    <w:abstractNumId w:val="5"/>
  </w:num>
  <w:num w:numId="15">
    <w:abstractNumId w:val="8"/>
  </w:num>
  <w:num w:numId="16">
    <w:abstractNumId w:val="1"/>
  </w:num>
  <w:num w:numId="17">
    <w:abstractNumId w:val="25"/>
  </w:num>
  <w:num w:numId="18">
    <w:abstractNumId w:val="15"/>
  </w:num>
  <w:num w:numId="19">
    <w:abstractNumId w:val="0"/>
  </w:num>
  <w:num w:numId="20">
    <w:abstractNumId w:val="3"/>
  </w:num>
  <w:num w:numId="21">
    <w:abstractNumId w:val="26"/>
  </w:num>
  <w:num w:numId="22">
    <w:abstractNumId w:val="39"/>
  </w:num>
  <w:num w:numId="23">
    <w:abstractNumId w:val="29"/>
  </w:num>
  <w:num w:numId="24">
    <w:abstractNumId w:val="41"/>
  </w:num>
  <w:num w:numId="25">
    <w:abstractNumId w:val="28"/>
  </w:num>
  <w:num w:numId="26">
    <w:abstractNumId w:val="9"/>
  </w:num>
  <w:num w:numId="27">
    <w:abstractNumId w:val="12"/>
  </w:num>
  <w:num w:numId="28">
    <w:abstractNumId w:val="31"/>
  </w:num>
  <w:num w:numId="29">
    <w:abstractNumId w:val="34"/>
  </w:num>
  <w:num w:numId="30">
    <w:abstractNumId w:val="38"/>
  </w:num>
  <w:num w:numId="31">
    <w:abstractNumId w:val="7"/>
  </w:num>
  <w:num w:numId="32">
    <w:abstractNumId w:val="30"/>
  </w:num>
  <w:num w:numId="33">
    <w:abstractNumId w:val="40"/>
  </w:num>
  <w:num w:numId="34">
    <w:abstractNumId w:val="24"/>
  </w:num>
  <w:num w:numId="35">
    <w:abstractNumId w:val="35"/>
  </w:num>
  <w:num w:numId="36">
    <w:abstractNumId w:val="37"/>
  </w:num>
  <w:num w:numId="37">
    <w:abstractNumId w:val="6"/>
  </w:num>
  <w:num w:numId="38">
    <w:abstractNumId w:val="2"/>
  </w:num>
  <w:num w:numId="39">
    <w:abstractNumId w:val="20"/>
  </w:num>
  <w:num w:numId="40">
    <w:abstractNumId w:val="18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F8F"/>
    <w:rsid w:val="00020345"/>
    <w:rsid w:val="000631A2"/>
    <w:rsid w:val="00077D15"/>
    <w:rsid w:val="00086AA6"/>
    <w:rsid w:val="000A14DB"/>
    <w:rsid w:val="000B3504"/>
    <w:rsid w:val="00145B71"/>
    <w:rsid w:val="00177F8F"/>
    <w:rsid w:val="001C5D13"/>
    <w:rsid w:val="001D19C4"/>
    <w:rsid w:val="00204D4A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2F3F8E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D6535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B7480"/>
    <w:rsid w:val="008E050D"/>
    <w:rsid w:val="009039C5"/>
    <w:rsid w:val="009116BE"/>
    <w:rsid w:val="00945BC2"/>
    <w:rsid w:val="00981B15"/>
    <w:rsid w:val="009C4F80"/>
    <w:rsid w:val="009E6E85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46676"/>
    <w:rsid w:val="00B52001"/>
    <w:rsid w:val="00B52E60"/>
    <w:rsid w:val="00B742DE"/>
    <w:rsid w:val="00BA5E33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20F1D"/>
    <w:rsid w:val="00E41CB6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1146FBE-A079-4C85-923F-C7FAB0FB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8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F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77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77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77F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7F8F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77F8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77F8F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77F8F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77F8F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177F8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77F8F"/>
    <w:rPr>
      <w:rFonts w:cs="Times New Roman"/>
      <w:b/>
      <w:bCs/>
    </w:rPr>
  </w:style>
  <w:style w:type="character" w:styleId="a5">
    <w:name w:val="Emphasis"/>
    <w:uiPriority w:val="20"/>
    <w:qFormat/>
    <w:rsid w:val="00177F8F"/>
    <w:rPr>
      <w:rFonts w:cs="Times New Roman"/>
      <w:i/>
      <w:iCs/>
    </w:rPr>
  </w:style>
  <w:style w:type="character" w:styleId="a6">
    <w:name w:val="Hyperlink"/>
    <w:uiPriority w:val="99"/>
    <w:rsid w:val="00177F8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77F8F"/>
    <w:rPr>
      <w:rFonts w:cs="Times New Roman"/>
      <w:color w:val="800080"/>
      <w:u w:val="single"/>
    </w:rPr>
  </w:style>
  <w:style w:type="paragraph" w:customStyle="1" w:styleId="21">
    <w:name w:val="заголовок 2"/>
    <w:basedOn w:val="a"/>
    <w:next w:val="a"/>
    <w:link w:val="22"/>
    <w:rsid w:val="00177F8F"/>
    <w:pPr>
      <w:keepNext/>
      <w:keepLines/>
      <w:suppressAutoHyphens/>
      <w:autoSpaceDE w:val="0"/>
      <w:autoSpaceDN w:val="0"/>
      <w:spacing w:line="360" w:lineRule="auto"/>
      <w:ind w:left="709"/>
      <w:jc w:val="both"/>
      <w:outlineLvl w:val="1"/>
    </w:pPr>
    <w:rPr>
      <w:rFonts w:cs="Courier New"/>
      <w:b/>
      <w:bCs/>
      <w:sz w:val="28"/>
      <w:szCs w:val="28"/>
      <w:lang w:eastAsia="zh-CN"/>
    </w:rPr>
  </w:style>
  <w:style w:type="character" w:customStyle="1" w:styleId="22">
    <w:name w:val="заголовок 2 Знак"/>
    <w:link w:val="21"/>
    <w:locked/>
    <w:rsid w:val="00177F8F"/>
    <w:rPr>
      <w:rFonts w:ascii="Times New Roman" w:hAnsi="Times New Roman" w:cs="Courier New"/>
      <w:b/>
      <w:bCs/>
      <w:sz w:val="28"/>
      <w:szCs w:val="28"/>
      <w:lang w:val="x-none" w:eastAsia="zh-CN"/>
    </w:rPr>
  </w:style>
  <w:style w:type="paragraph" w:styleId="11">
    <w:name w:val="toc 1"/>
    <w:basedOn w:val="a"/>
    <w:next w:val="a"/>
    <w:autoRedefine/>
    <w:uiPriority w:val="39"/>
    <w:semiHidden/>
    <w:rsid w:val="00177F8F"/>
    <w:pPr>
      <w:tabs>
        <w:tab w:val="right" w:leader="dot" w:pos="9345"/>
      </w:tabs>
      <w:spacing w:line="360" w:lineRule="auto"/>
    </w:pPr>
    <w:rPr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rsid w:val="00177F8F"/>
    <w:pPr>
      <w:jc w:val="both"/>
    </w:pPr>
    <w:rPr>
      <w:szCs w:val="20"/>
    </w:rPr>
  </w:style>
  <w:style w:type="character" w:customStyle="1" w:styleId="a9">
    <w:name w:val="Основний текст Знак"/>
    <w:link w:val="a8"/>
    <w:uiPriority w:val="99"/>
    <w:locked/>
    <w:rsid w:val="00177F8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заголовок 1"/>
    <w:basedOn w:val="a"/>
    <w:next w:val="a"/>
    <w:rsid w:val="00177F8F"/>
    <w:pPr>
      <w:keepNext/>
      <w:keepLines/>
      <w:suppressAutoHyphens/>
      <w:autoSpaceDE w:val="0"/>
      <w:autoSpaceDN w:val="0"/>
      <w:spacing w:line="360" w:lineRule="auto"/>
      <w:jc w:val="center"/>
      <w:outlineLvl w:val="0"/>
    </w:pPr>
    <w:rPr>
      <w:rFonts w:cs="Courier New"/>
      <w:b/>
      <w:bCs/>
      <w:kern w:val="28"/>
      <w:sz w:val="28"/>
      <w:szCs w:val="28"/>
      <w:lang w:eastAsia="zh-CN"/>
    </w:rPr>
  </w:style>
  <w:style w:type="paragraph" w:styleId="aa">
    <w:name w:val="footnote text"/>
    <w:basedOn w:val="a"/>
    <w:link w:val="ab"/>
    <w:uiPriority w:val="99"/>
    <w:semiHidden/>
    <w:rsid w:val="00177F8F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locked/>
    <w:rsid w:val="00177F8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semiHidden/>
    <w:rsid w:val="00177F8F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177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177F8F"/>
    <w:rPr>
      <w:rFonts w:ascii="Courier New" w:hAnsi="Courier New" w:cs="Courier New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177F8F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locked/>
    <w:rsid w:val="00177F8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ad">
    <w:name w:val="Схема документа Знак"/>
    <w:link w:val="ae"/>
    <w:semiHidden/>
    <w:locked/>
    <w:rsid w:val="00177F8F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e">
    <w:name w:val="Document Map"/>
    <w:basedOn w:val="a"/>
    <w:link w:val="ad"/>
    <w:uiPriority w:val="99"/>
    <w:semiHidden/>
    <w:rsid w:val="00177F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177F8F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locked/>
    <w:rsid w:val="00177F8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page number"/>
    <w:uiPriority w:val="99"/>
    <w:rsid w:val="00177F8F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E6E8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locked/>
    <w:rsid w:val="009E6E85"/>
    <w:rPr>
      <w:rFonts w:ascii="Tahoma" w:hAnsi="Tahoma" w:cs="Tahoma"/>
      <w:sz w:val="16"/>
      <w:szCs w:val="16"/>
      <w:lang w:val="x-none" w:eastAsia="ru-RU"/>
    </w:rPr>
  </w:style>
  <w:style w:type="table" w:styleId="af4">
    <w:name w:val="Table Grid"/>
    <w:basedOn w:val="a1"/>
    <w:uiPriority w:val="59"/>
    <w:rsid w:val="009E6E8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9366</Words>
  <Characters>53388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2014-08-10T11:49:00Z</dcterms:created>
  <dcterms:modified xsi:type="dcterms:W3CDTF">2014-08-10T11:49:00Z</dcterms:modified>
</cp:coreProperties>
</file>