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82A" w:rsidRDefault="00D7082A">
      <w:pPr>
        <w:pStyle w:val="a3"/>
        <w:spacing w:line="360" w:lineRule="auto"/>
        <w:ind w:firstLine="720"/>
        <w:jc w:val="center"/>
        <w:rPr>
          <w:rFonts w:ascii="Arial Narrow" w:hAnsi="Arial Narrow" w:cs="Arial Narrow"/>
          <w:b/>
          <w:bCs/>
          <w:caps/>
        </w:rPr>
      </w:pPr>
      <w:r>
        <w:rPr>
          <w:rFonts w:ascii="Arial Narrow" w:hAnsi="Arial Narrow" w:cs="Arial Narrow"/>
          <w:b/>
          <w:bCs/>
          <w:caps/>
        </w:rPr>
        <w:t>План</w:t>
      </w:r>
    </w:p>
    <w:p w:rsidR="00D7082A" w:rsidRDefault="00D7082A">
      <w:pPr>
        <w:pStyle w:val="11"/>
        <w:tabs>
          <w:tab w:val="right" w:leader="dot" w:pos="9344"/>
        </w:tabs>
        <w:rPr>
          <w:noProof/>
        </w:rPr>
      </w:pPr>
      <w:r>
        <w:rPr>
          <w:rFonts w:ascii="Arial Narrow" w:hAnsi="Arial Narrow" w:cs="Arial Narrow"/>
          <w:noProof/>
        </w:rPr>
        <w:t>ВВедение</w:t>
      </w:r>
      <w:r>
        <w:rPr>
          <w:noProof/>
        </w:rPr>
        <w:tab/>
        <w:t>2</w:t>
      </w:r>
    </w:p>
    <w:p w:rsidR="00D7082A" w:rsidRDefault="00D7082A">
      <w:pPr>
        <w:pStyle w:val="11"/>
        <w:tabs>
          <w:tab w:val="right" w:leader="dot" w:pos="9344"/>
        </w:tabs>
        <w:rPr>
          <w:noProof/>
        </w:rPr>
      </w:pPr>
      <w:r>
        <w:rPr>
          <w:rFonts w:ascii="Arial Narrow" w:hAnsi="Arial Narrow" w:cs="Arial Narrow"/>
          <w:noProof/>
        </w:rPr>
        <w:t>Международное сотрудничество в области прав человека</w:t>
      </w:r>
      <w:r>
        <w:rPr>
          <w:noProof/>
        </w:rPr>
        <w:tab/>
        <w:t>3</w:t>
      </w:r>
    </w:p>
    <w:p w:rsidR="00D7082A" w:rsidRDefault="00D7082A">
      <w:pPr>
        <w:pStyle w:val="11"/>
        <w:tabs>
          <w:tab w:val="right" w:leader="dot" w:pos="9344"/>
        </w:tabs>
        <w:rPr>
          <w:noProof/>
        </w:rPr>
      </w:pPr>
      <w:r>
        <w:rPr>
          <w:rFonts w:ascii="Arial Narrow" w:hAnsi="Arial Narrow" w:cs="Arial Narrow"/>
          <w:noProof/>
        </w:rPr>
        <w:t>Международная защита прав человека.</w:t>
      </w:r>
      <w:r>
        <w:rPr>
          <w:noProof/>
        </w:rPr>
        <w:tab/>
        <w:t>3</w:t>
      </w:r>
    </w:p>
    <w:p w:rsidR="00D7082A" w:rsidRDefault="00D7082A">
      <w:pPr>
        <w:pStyle w:val="11"/>
        <w:tabs>
          <w:tab w:val="right" w:leader="dot" w:pos="9344"/>
        </w:tabs>
        <w:rPr>
          <w:noProof/>
        </w:rPr>
      </w:pPr>
      <w:r>
        <w:rPr>
          <w:rFonts w:ascii="Arial Narrow" w:hAnsi="Arial Narrow" w:cs="Arial Narrow"/>
          <w:noProof/>
        </w:rPr>
        <w:t>Всеобщая декларация прав человека 1948 года</w:t>
      </w:r>
      <w:r>
        <w:rPr>
          <w:noProof/>
        </w:rPr>
        <w:tab/>
        <w:t>4</w:t>
      </w:r>
    </w:p>
    <w:p w:rsidR="00D7082A" w:rsidRDefault="00D7082A">
      <w:pPr>
        <w:pStyle w:val="11"/>
        <w:tabs>
          <w:tab w:val="right" w:leader="dot" w:pos="9344"/>
        </w:tabs>
        <w:rPr>
          <w:noProof/>
        </w:rPr>
      </w:pPr>
      <w:r>
        <w:rPr>
          <w:rFonts w:ascii="Arial Narrow" w:hAnsi="Arial Narrow" w:cs="Arial Narrow"/>
          <w:noProof/>
        </w:rPr>
        <w:t>Международный пакт об экономических, социальных и культурных правах 1966 года</w:t>
      </w:r>
      <w:r>
        <w:rPr>
          <w:noProof/>
        </w:rPr>
        <w:tab/>
        <w:t>4</w:t>
      </w:r>
    </w:p>
    <w:p w:rsidR="00D7082A" w:rsidRDefault="00D7082A">
      <w:pPr>
        <w:pStyle w:val="11"/>
        <w:tabs>
          <w:tab w:val="right" w:leader="dot" w:pos="9344"/>
        </w:tabs>
        <w:rPr>
          <w:noProof/>
        </w:rPr>
      </w:pPr>
      <w:r>
        <w:rPr>
          <w:rFonts w:ascii="Arial Narrow" w:hAnsi="Arial Narrow" w:cs="Arial Narrow"/>
          <w:noProof/>
        </w:rPr>
        <w:t>Хартия прав человека.</w:t>
      </w:r>
      <w:r>
        <w:rPr>
          <w:noProof/>
        </w:rPr>
        <w:tab/>
        <w:t>7</w:t>
      </w:r>
    </w:p>
    <w:p w:rsidR="00D7082A" w:rsidRDefault="00D7082A">
      <w:pPr>
        <w:pStyle w:val="11"/>
        <w:tabs>
          <w:tab w:val="right" w:leader="dot" w:pos="9344"/>
        </w:tabs>
        <w:rPr>
          <w:noProof/>
        </w:rPr>
      </w:pPr>
      <w:r>
        <w:rPr>
          <w:rFonts w:ascii="Arial Narrow" w:hAnsi="Arial Narrow" w:cs="Arial Narrow"/>
          <w:noProof/>
        </w:rPr>
        <w:t>Сотрудничество государств в рамках специализированных учреждений ООН.</w:t>
      </w:r>
      <w:r>
        <w:rPr>
          <w:noProof/>
        </w:rPr>
        <w:tab/>
        <w:t>13</w:t>
      </w:r>
    </w:p>
    <w:p w:rsidR="00D7082A" w:rsidRDefault="00D7082A">
      <w:pPr>
        <w:pStyle w:val="11"/>
        <w:tabs>
          <w:tab w:val="right" w:leader="dot" w:pos="9344"/>
        </w:tabs>
        <w:rPr>
          <w:noProof/>
        </w:rPr>
      </w:pPr>
      <w:r>
        <w:rPr>
          <w:rFonts w:ascii="Arial Narrow" w:hAnsi="Arial Narrow" w:cs="Arial Narrow"/>
          <w:noProof/>
        </w:rPr>
        <w:t>Заключение</w:t>
      </w:r>
      <w:r>
        <w:rPr>
          <w:noProof/>
        </w:rPr>
        <w:tab/>
        <w:t>19</w:t>
      </w:r>
    </w:p>
    <w:p w:rsidR="00D7082A" w:rsidRDefault="00D7082A">
      <w:pPr>
        <w:pStyle w:val="11"/>
        <w:tabs>
          <w:tab w:val="right" w:leader="dot" w:pos="9344"/>
        </w:tabs>
        <w:rPr>
          <w:noProof/>
        </w:rPr>
      </w:pPr>
      <w:r>
        <w:rPr>
          <w:rFonts w:ascii="Arial Narrow" w:hAnsi="Arial Narrow" w:cs="Arial Narrow"/>
          <w:noProof/>
        </w:rPr>
        <w:t>Список литературы:</w:t>
      </w:r>
      <w:r>
        <w:rPr>
          <w:noProof/>
        </w:rPr>
        <w:tab/>
        <w:t>20</w:t>
      </w:r>
    </w:p>
    <w:p w:rsidR="00D7082A" w:rsidRDefault="00D7082A">
      <w:pPr>
        <w:pStyle w:val="a3"/>
        <w:spacing w:line="360" w:lineRule="auto"/>
        <w:ind w:firstLine="720"/>
        <w:jc w:val="both"/>
        <w:rPr>
          <w:rFonts w:ascii="Arial Narrow" w:hAnsi="Arial Narrow" w:cs="Arial Narrow"/>
          <w:sz w:val="28"/>
          <w:szCs w:val="28"/>
        </w:rPr>
      </w:pPr>
    </w:p>
    <w:p w:rsidR="00D7082A" w:rsidRDefault="00D7082A">
      <w:pPr>
        <w:pStyle w:val="1"/>
        <w:spacing w:before="0" w:after="0" w:line="360" w:lineRule="auto"/>
        <w:ind w:firstLine="720"/>
        <w:jc w:val="both"/>
        <w:rPr>
          <w:rFonts w:ascii="Arial Narrow" w:hAnsi="Arial Narrow" w:cs="Arial Narrow"/>
        </w:rPr>
      </w:pPr>
      <w:r>
        <w:rPr>
          <w:rFonts w:ascii="Arial Narrow" w:hAnsi="Arial Narrow" w:cs="Arial Narrow"/>
        </w:rPr>
        <w:br w:type="page"/>
      </w:r>
      <w:bookmarkStart w:id="0" w:name="_Toc472245443"/>
      <w:bookmarkStart w:id="1" w:name="_Toc514742435"/>
      <w:r>
        <w:rPr>
          <w:rFonts w:ascii="Arial Narrow" w:hAnsi="Arial Narrow" w:cs="Arial Narrow"/>
        </w:rPr>
        <w:t>ВВедение</w:t>
      </w:r>
      <w:bookmarkEnd w:id="0"/>
      <w:bookmarkEnd w:id="1"/>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Государство в качестве субъекта международного права характеризуется наличием двух материальных компонентов, а именно, территории и населения. Физические лица, проживающие на территории государства и находящиеся под его юрисдикцией, в совокупности составляют население данного государства. В состав населения не входят лица, которые пользуются дипломатическим иммунитетом.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современном международном праве, в отличие от классического международного права, имеется целая отрасль, посвященная нравам человека. Современное международное право содержит общепризнанные, и следовательно, обязательные для всех государств нормы, определяющие основные права и свободы человека независимо от гражданства, пола, расы я т.д. Кроме этих общепризнанных основных норм, имеется также большое число общих договоров по специальным вопросам прав человека, как, например. Конвенция о политических правах женщин, Конвенция о ликвидации всех форм дискриминации в отношении женщин. Конвенция о статусе беженцев, многочисленные конвенции Международной организации труда, а также региональные договоры о правах человека.</w:t>
      </w:r>
      <w:r>
        <w:rPr>
          <w:rStyle w:val="a7"/>
          <w:rFonts w:ascii="Arial Narrow" w:hAnsi="Arial Narrow" w:cs="Arial Narrow"/>
          <w:sz w:val="28"/>
          <w:szCs w:val="28"/>
        </w:rPr>
        <w:footnoteReference w:id="1"/>
      </w:r>
    </w:p>
    <w:p w:rsidR="00D7082A" w:rsidRDefault="00D7082A">
      <w:pPr>
        <w:pStyle w:val="1"/>
        <w:spacing w:before="0" w:after="0" w:line="360" w:lineRule="auto"/>
        <w:ind w:firstLine="720"/>
        <w:jc w:val="both"/>
        <w:rPr>
          <w:rFonts w:ascii="Arial Narrow" w:hAnsi="Arial Narrow" w:cs="Arial Narrow"/>
        </w:rPr>
      </w:pPr>
      <w:r>
        <w:rPr>
          <w:rFonts w:ascii="Arial Narrow" w:hAnsi="Arial Narrow" w:cs="Arial Narrow"/>
        </w:rPr>
        <w:br w:type="page"/>
      </w:r>
      <w:bookmarkStart w:id="2" w:name="_Toc472245444"/>
      <w:bookmarkStart w:id="3" w:name="_Toc514742436"/>
      <w:r>
        <w:rPr>
          <w:rFonts w:ascii="Arial Narrow" w:hAnsi="Arial Narrow" w:cs="Arial Narrow"/>
        </w:rPr>
        <w:t>Международное сотрудничество в области прав человека</w:t>
      </w:r>
      <w:bookmarkEnd w:id="2"/>
      <w:bookmarkEnd w:id="3"/>
    </w:p>
    <w:p w:rsidR="00D7082A" w:rsidRDefault="00D7082A">
      <w:pPr>
        <w:pStyle w:val="1"/>
        <w:spacing w:before="0" w:after="0" w:line="360" w:lineRule="auto"/>
        <w:ind w:firstLine="720"/>
        <w:jc w:val="both"/>
        <w:rPr>
          <w:rFonts w:ascii="Arial Narrow" w:hAnsi="Arial Narrow" w:cs="Arial Narrow"/>
        </w:rPr>
      </w:pPr>
      <w:bookmarkStart w:id="4" w:name="_Toc472245445"/>
      <w:bookmarkStart w:id="5" w:name="_Toc514742437"/>
      <w:r>
        <w:rPr>
          <w:rFonts w:ascii="Arial Narrow" w:hAnsi="Arial Narrow" w:cs="Arial Narrow"/>
        </w:rPr>
        <w:t>Международная защита прав человека.</w:t>
      </w:r>
      <w:bookmarkEnd w:id="4"/>
      <w:bookmarkEnd w:id="5"/>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Одна из особенностей современного международного права состоит в появлении в нем совокупности норм, регулирующих сотрудничество государств в области прав человека. На международном уровне разрабатываются стандарты прав и свобод человека, которые государства обязуются ввести в свои национальные правовые системы, а также устанавливается порядок контроля за соблюдением этих стандартов и рассмотрения споров, возникающих из-за несоблюдения государствами взятых на себя обязательств по международным договорам.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Правовой основой сотрудничества государств в области прав человека является Устав ООН. В нем закреплен принцип недискриминации по признаку расы, языка, пола и религии. А само международное сотрудничество в области прав человека, согласно Уставу ООН, состоит "в поощрении и развитии уважения к правам человека и основным свободам" (п. 3 ст. 1).</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Устав ООН содержит лишь одну конкретную норму о правах человека — равные права мужчин и женщин участвовать в главных и вспомогательных органах ООН (ст. 8). Но все сотрудничество государств в области прав человека должно строиться с учетом основных принципов современного международного права, закрепленных в Уставе ООН.</w:t>
      </w:r>
      <w:r>
        <w:rPr>
          <w:rStyle w:val="a7"/>
          <w:rFonts w:ascii="Arial Narrow" w:hAnsi="Arial Narrow" w:cs="Arial Narrow"/>
          <w:sz w:val="28"/>
          <w:szCs w:val="28"/>
        </w:rPr>
        <w:footnoteReference w:id="2"/>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Гражданские, политические, экономические, социальные права и права в области культуры содержатся во Всеобщей декларации прав человека, в Международном пакте об экономических, социальных и культурных правах, в Международном пакте о гражданских и политических правах и протоколах к нему. Эти акты иногда объединяются под общим названием "Хартия прав человека", хотя и не создают единого документа. Акты имеют различную юридическую силу, разное время принятия и неодинаковое пространственное распространение.</w:t>
      </w:r>
    </w:p>
    <w:p w:rsidR="00D7082A" w:rsidRDefault="00D7082A">
      <w:pPr>
        <w:pStyle w:val="1"/>
        <w:spacing w:before="0" w:after="0" w:line="360" w:lineRule="auto"/>
        <w:ind w:firstLine="720"/>
        <w:jc w:val="both"/>
        <w:rPr>
          <w:rFonts w:ascii="Arial Narrow" w:hAnsi="Arial Narrow" w:cs="Arial Narrow"/>
        </w:rPr>
      </w:pPr>
      <w:bookmarkStart w:id="6" w:name="_Toc472245446"/>
      <w:bookmarkStart w:id="7" w:name="_Toc514742438"/>
      <w:r>
        <w:rPr>
          <w:rFonts w:ascii="Arial Narrow" w:hAnsi="Arial Narrow" w:cs="Arial Narrow"/>
        </w:rPr>
        <w:t>Всеобщая декларация прав человека 1948 года</w:t>
      </w:r>
      <w:bookmarkEnd w:id="6"/>
      <w:bookmarkEnd w:id="7"/>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Всеобщая декларация прав человека была принята Генеральной Ассамблеей ООН 10 декабря 1948 г. "в качестве задачи, к выполнению которой должны стремиться все народы и все государства", иными словами. Декларация содержит рекомендательные нормы. В Декларацию включен довольно широкий круг общедемократических прав и свобод человека. Хотя сама по себе Декларация и не содержит обязательных норм, но ее роль значительна. Прежде всего, она стала основой для разработки Пактов о правах человека, затем Конституции некоторых государств признали положения Декларации обязательными для них, наконец велико моральное воздействие Декларации на развитие прав человека в мире. Именно в этом плане следует понимать принятие Генеральной Ассамблеей ООН 4 декабря 1950 г. резолюции, в которой она призвала все государства и заинтересованные организации день провозглашения Декларации — 10 декабря — отмечать ежегодно как День прав человека.</w:t>
      </w:r>
    </w:p>
    <w:p w:rsidR="00D7082A" w:rsidRDefault="00D7082A">
      <w:pPr>
        <w:pStyle w:val="1"/>
        <w:spacing w:before="0" w:after="0" w:line="360" w:lineRule="auto"/>
        <w:ind w:firstLine="720"/>
        <w:jc w:val="both"/>
        <w:rPr>
          <w:rFonts w:ascii="Arial Narrow" w:hAnsi="Arial Narrow" w:cs="Arial Narrow"/>
        </w:rPr>
      </w:pPr>
      <w:bookmarkStart w:id="8" w:name="_Toc472245447"/>
      <w:bookmarkStart w:id="9" w:name="_Toc514742439"/>
      <w:r>
        <w:rPr>
          <w:rFonts w:ascii="Arial Narrow" w:hAnsi="Arial Narrow" w:cs="Arial Narrow"/>
        </w:rPr>
        <w:t>Международный пакт об экономических, социальных и культурных правах 1966 года</w:t>
      </w:r>
      <w:bookmarkEnd w:id="8"/>
      <w:bookmarkEnd w:id="9"/>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1966 году Генеральная Ассамблея ООН приняла 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нему, которые вступили в силу в 1976 году.</w:t>
      </w:r>
      <w:r>
        <w:rPr>
          <w:rStyle w:val="a7"/>
          <w:rFonts w:ascii="Arial Narrow" w:hAnsi="Arial Narrow" w:cs="Arial Narrow"/>
          <w:sz w:val="28"/>
          <w:szCs w:val="28"/>
        </w:rPr>
        <w:footnoteReference w:id="3"/>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Часть 1 обоих Пактов, состоящая из одной статьи (ст. 1), провозглашает право всех народов на самоопределение. Часть II содержит общие положения, как-то: равноправие мужчин и женщин в пользовании провозглашенными в Пактах правами, недискриминация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иных обстоятельств.</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Обязательства государств по каждому из двух Пактов в отношении содержащихся в них прав и свобод различны.</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Участники Пакта об экономических, социальных и культурных правах обязуются принимать меры с тем, чтобы обеспечить постепенно полное осуществление прав, признаваемых в Пахте.</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Участвующие же в Пакте о гражданских и политических правах государства обязуются уважать и обеспечивать всем права, признаваемые в нем.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Государства-участники Пакта об экономических, социальных и культурных правах могут устанавливать ограничения в пользовании правами. Ограничения должны быть предусмотрены в законе данного государства, совместимы с природой таких прав и предприниматься в целях общего благосостояния.</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Более жесткие требования установлены в Пакте о гражданских и политических правах: государства-участники могут отступать от своих обязательств только в случае чрезвычайного положения, которое официально объявлено. Меры, предпринимаемые государством в таких ситуациях, не должны быть дискриминационными в отношении определенных групп индивидов, и они не могут затрагивать специально оговоренных в Пакте прав, как-то: права на жизнь, запрещения пыток, рабства и принудительного труда, долгового рабства и др. О принятых ограничениях государство-участник информирует через Генерального секретаря ООН всех других участников Пакта. В отношении некоторых прав, перечисленных в Пакте, государство может устанавливать ограничения в пользовании. Такие ограничения должны быть предусмотрены законом, необходимы для охраны государственной безопасности и общественного порядка, здоровья или нравственности населения или прав и свобод других и быть совместимыми с другими правами, признаваемыми в Пакте.</w:t>
      </w:r>
      <w:r>
        <w:rPr>
          <w:rStyle w:val="a7"/>
          <w:rFonts w:ascii="Arial Narrow" w:hAnsi="Arial Narrow" w:cs="Arial Narrow"/>
          <w:sz w:val="28"/>
          <w:szCs w:val="28"/>
        </w:rPr>
        <w:footnoteReference w:id="4"/>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Название каждого Пакта раскрывает круг прав и свобод, содержащихся в нем.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рамках каждого Пакта создан и действует международный контрольный механизм.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Применительно к Пакту о гражданских и политических правах таковым является Комитет по правам человека, состоящий из 18 членов, избираемых на 4-летний срок с правом переизбрания государствами — участниками Пакта. Члены Комитета выступают в личном качестве.</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Государства-участники в предусмотренном порядке представляют Комитету доклады, в которых сообщают о мерах, принятых для проведения в жизнь положений Пакта, о достижениях в этом деле и о трудностях, с которыми государства столкнулись. Доклады рассматриваются Комитетом, который может делать замечания общего порядка.</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Кроме того, государства-участники специальным заявлением, которое депонируется у Генерального секретаря ООН, могут признать компетенцию Комитета получать и рассматривать сообщения государств о невыполнении обязательств по Пакту другим государством (ст. 41). Этот механизм действует только в отношении тех государств, которые сделали заявления о его признании. При рассмотрении таких сообщений Комитет проводит закрытые заседания.</w:t>
      </w:r>
      <w:r>
        <w:rPr>
          <w:rStyle w:val="a7"/>
          <w:rFonts w:ascii="Arial Narrow" w:hAnsi="Arial Narrow" w:cs="Arial Narrow"/>
          <w:sz w:val="28"/>
          <w:szCs w:val="28"/>
        </w:rPr>
        <w:footnoteReference w:id="5"/>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Процедура подачи и рассмотрения индивидуальных жалоб о нарушении прав, признаваемых в Пакте о гражданских и политических правах, содержится в Факультативном протоколе к этому Пакту. Такие сообщения возможны только в .отношении тех государств, которые специальным заявлением, депонированным у Генерального секретаря ООН, признали компетенцию Комитета принимать и рассматривать жалобы лиц, находящихся под их юрисдикцией. СССР ратифицировал оба Пакта в 1973 году, а 5 июля 1991 г. сделал заявление о присоединении к Факультативному протоколу и о признании компетенции Комитета в соответствии со ст. 41 Пакта о гражданских и политических правах.</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20 ноября 1989 г. Генеральная Ассамблея ООН приняла второй Факультативный протокол к Пакту о гражданских и политических правах, в котором предусматривается отказ от смертной казни. Протокол вступил в силу в июле 1991 года.</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Система контроля по Пакту об экономических, социальных и культурных правах подключена к органам ООН. Государства — участники Пакта в установленном порядке представляют доклады Генеральному секретарю ООН, который направляет их Экономическому и Социальному Совету для рассмотрения. ЭКОСОС может передавать доклады в Комиссию по правам человека для рассмотрения и дачи общих рекомендаций. В мае 1986 года ЭКОСОС образовал Комитет по экономическим, социальным и культурным правам в составе 18 членов, который в марте 1987 года приступил к работе.</w:t>
      </w:r>
    </w:p>
    <w:p w:rsidR="00D7082A" w:rsidRDefault="00D7082A">
      <w:pPr>
        <w:pStyle w:val="1"/>
        <w:spacing w:before="0" w:after="0" w:line="360" w:lineRule="auto"/>
        <w:ind w:firstLine="720"/>
        <w:jc w:val="both"/>
        <w:rPr>
          <w:rFonts w:ascii="Arial Narrow" w:hAnsi="Arial Narrow" w:cs="Arial Narrow"/>
        </w:rPr>
      </w:pPr>
      <w:bookmarkStart w:id="10" w:name="_Toc472245448"/>
      <w:bookmarkStart w:id="11" w:name="_Toc514742440"/>
      <w:r>
        <w:rPr>
          <w:rFonts w:ascii="Arial Narrow" w:hAnsi="Arial Narrow" w:cs="Arial Narrow"/>
        </w:rPr>
        <w:t>Хартия прав человека.</w:t>
      </w:r>
      <w:bookmarkEnd w:id="10"/>
      <w:bookmarkEnd w:id="11"/>
    </w:p>
    <w:p w:rsidR="00D7082A" w:rsidRDefault="00D7082A">
      <w:pPr>
        <w:pStyle w:val="a3"/>
        <w:spacing w:line="360" w:lineRule="auto"/>
        <w:ind w:firstLine="720"/>
        <w:jc w:val="both"/>
        <w:rPr>
          <w:rFonts w:ascii="Arial Narrow" w:hAnsi="Arial Narrow" w:cs="Arial Narrow"/>
          <w:sz w:val="28"/>
          <w:szCs w:val="28"/>
        </w:rPr>
      </w:pP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Всеобщий уровень сотрудничества государств в области прав человека дополняется региональным, что дает возможность учитывать политические, исторические, культурные, экономические особенности региона и отражать все это в принимаемых документах. К ним, в частности, относятся Европейская конвенция о защите прав человека и основных свобод 1950 года. Европейская социальная хартия 1961 года. Американская конвенция о правах человека 1969 года и Африканская хартия прав человека и народов 1981 года.</w:t>
      </w:r>
      <w:r>
        <w:rPr>
          <w:rStyle w:val="a7"/>
          <w:rFonts w:ascii="Arial Narrow" w:hAnsi="Arial Narrow" w:cs="Arial Narrow"/>
          <w:sz w:val="28"/>
          <w:szCs w:val="28"/>
        </w:rPr>
        <w:footnoteReference w:id="6"/>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Европейская конвенция о защите прав человека и основных свобод 1950 года и 8 протоколов к ней, принятые в разное время и вступившие в силу, определяют объем гражданских и политических прав и основных свобод, который является минимальным для правового демократического государства. Участниками Конвенции (и протоколов) могут быть только члены Совета Европы.</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Разработан и действует довольно сложный, но эффективный механизм контроля за соблюдением государствами-участниками положений Конвенции. Для этой цели создано два органа, а именно. Европейская комиссия по правам человека и Европейский суд по правам человека. Их члены избираются соответственно Комитетом министров и Консультативной ассамблеей , выступают они в личном качестве и их численный состав равен числу стран — членов Совета Европы.</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Комиссия может принимать заявления государств о нарушении Конвенции другим государством, а также жалобы от индивида, группы лиц или неправительственной организации о нарушении их прав. Причем индивидуальные жалобы принимаются только в отношении тех государств, которые специальным заявлением признали компетенцию Комиссии получать и рассматривать такие жалобы. Комиссия предоставляет себя в распоряжение сторон для решения спора. В случае успешного мирного решения спора Комиссия составляет доклад, который направляется заинтересованным государствам и Генеральному секретарю Совета Европы для публикации.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Если усилия Комиссии не привели к решению спора, то тоже составляется доклад, в котором излагаются факты и мнение Комиссии о наличии нарушений прав, признаваемых Конвенцией. Доклад направляется Комитету министров и заинтересованным государствам. При этом Комиссия может делать Комитету такие предложения, какие сочтет подходящими. Если в течение трех месяцев со дня передачи Комитету доклада спор не передается в Суд, то Комитет решает вопрос по существу. Спор на разрешение Суда может передать Комиссия или заинтересованное государство. Суд решает спор по существу.</w:t>
      </w:r>
      <w:r>
        <w:rPr>
          <w:rStyle w:val="a7"/>
          <w:rFonts w:ascii="Arial Narrow" w:hAnsi="Arial Narrow" w:cs="Arial Narrow"/>
          <w:sz w:val="28"/>
          <w:szCs w:val="28"/>
        </w:rPr>
        <w:footnoteReference w:id="7"/>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Европейская социальная хартия принята членами Совета Европы в 1961 году, вступила в силу в 1965 году. Это — своеобразный документ, в котором объединены декларация (ч. 1) и международный договор (ч. II). В первой части Хартии декларируются экономические и социальные права, которых государству следует добиваться, а во второй части эти же права получают обязательность с помощью процедуры, предусмотренной в третьей части. Согласно последней, государства из 19 статей второй части выбирают для себя обязательными не менее 10 статей, о чем сообщают Генеральному секретарю Совета Европы.</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Международный контроль осуществляется через систему докладов, заключение по которым дает Комитет экспертов, члены которого избираются Комитетом министров из кандидатов, представляемых государствами — участниками Хартии. Доклады государств и заключение Комитета экспертов рассматривает подкомитет правительственного Социального комитета Совета Европы. Он представляет Комитету министров доклад и прилагает заключение экспертов. Комитет министров на основе этого доклада и после консультаций с Консультативной ассамблеей может дать соответствующему государству рекомендации.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1990 году принят Девятый протокол, в котором право обращения в Суд наряду с государством и Комиссией признается также за индивидами, группами индивидов и неправительственными организациями.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1988 году был принят Дополнительный протокол, который включает четыре новых права в перечень прав, содержащийся в Хартии.</w:t>
      </w:r>
      <w:r>
        <w:rPr>
          <w:rStyle w:val="a7"/>
          <w:rFonts w:ascii="Arial Narrow" w:hAnsi="Arial Narrow" w:cs="Arial Narrow"/>
          <w:sz w:val="28"/>
          <w:szCs w:val="28"/>
        </w:rPr>
        <w:footnoteReference w:id="8"/>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Американская конвенция о правах человека принята в 1969 году и вступила в силу в 1978 году. Она предусматривает широкий круг гражданских и политических прав и свобод. Экономические, социальные и культурные права изложены в Дополнительном протоколе к Конвенции, который принят в 1988 году. Международный контроль за соблюдением обязательств государств по Конвенции осуществляют частично органы ОАГ, а также Межамериканская комиссия по правам человека и Межамериканский Суд по правам человека. В деятельности последних много общего с соответствующими органами Европейской конвенции.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Африканская хартия прав человека и народов принята в 1981 году и вступила в силу в 1986 году. Хартия содержит гражданские, политические, экономические и социальные права. Особенностью Хартии по сравнению с приведенными аналогичными документами является то, что в ней содержатся и так называемые коллективные права (или права третьего поколения) — это право народов на их равенство, на самоопределение, на свободное распоряжение своими материальными и природными ресурсами, на экономическое, социальное и культурное развитие, на мир и безопасность, на удовлетворительную окружающую среду. Помимо прав в Хартии содержатся и обязанности каждого перед семьей, обществом, государством, международным сообществом.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Хартия предусматривает создание Африканской комиссии по правам человека и народов из 11 членов, выполняющих свои обязанности в личном качестве. Помимо рассмотрения споров между африканскими государствами, касающихся прав человека и народов, Комиссия проводит исследования и изучение африканских проблем в области прав человека и народов, организует семинары и конференции, распространяет информацию относительно прав человека, формулирует принципы и нормы, на базе которых развивается национальное законодательство африканских государств, сотрудничает с африканскими и международными институтами, занимающимися правами человека, дает толкование Хартии по просьбе государств — членов ОАЕ.</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1975 году в Хельсинки был подписан Заключительный акт Совещания по безопасности и сотрудничеству в Европе (СБСЕ), содержащий Декларацию принципов, которыми государства-участники будут руководствоваться во взаимных отношениях. Среди этих принципов содержится принцип уважения прав человека и основных свобод, включая свободу мысли, совести, религии и убеждений. В соответствии с этим принципом государства-участники заявляют, что они будут уважать права человека без различия расы, пола, языка и религии, а также будут поощрять осуществление гражданских, политических, экономических, социальных, культурных и других прав. Источник этих прав государства видят в достоинстве, которое присуще личности.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Заключительный акт рассматривает уважение прав и свобод человека как важный фактор сохранения мира и обеспечения международной безопасности. Сотрудничество в области прав человека включает и сотрудничество в рамках ООН, а основой такого сотрудничества являются Устав ООН, Всеобщая декларация прав человека и Пакты о правах человека.</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Что касается конкретных прав и свобод, то государства будут признавать и уважать свободу личности исповедовать религию или веру, уважать права лиц, принадлежащих к национальным меньшинствам, право на равенство перед законом, подтверждают права лиц знать свои права и обязанности и поступать в соответствии с ними.</w:t>
      </w:r>
      <w:r>
        <w:rPr>
          <w:rStyle w:val="a7"/>
          <w:rFonts w:ascii="Arial Narrow" w:hAnsi="Arial Narrow" w:cs="Arial Narrow"/>
          <w:sz w:val="28"/>
          <w:szCs w:val="28"/>
        </w:rPr>
        <w:footnoteReference w:id="9"/>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Заключительном акте содержатся также положения, касающиеся сотрудничества государств в развитии контактов между людьми. Цель, которую ставят государства перед собой в этом деле, сводится к тому, чтобы облегчать более свободное передвижение людей и контакты между ними, предпринимая соответствующие меры внутри государства и заключая при необходимости международные соглашения. Предусмотрено, что государства будут благожелательно рассматривать все просьбы и упрощать процедуры в том, что касается семейных контактов и встреч, воссоединения семей, браков между гражданами различных государств, поездок по личным и профессиональным причинам, а также будут содействовать развитию туризма, встреч между молодежью, расширению спортивных связей. Подтверждено право религиозных культов, учреждений и организаций (и их представителей) на контакты, встречи и обмен информацией в сферах их деятельности.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Итоговый документ Мадридской встречи представителей государств — участников СБСЕ, состоявшейся в 1983 году, подтвердил положения Заключительного акта в том, что касается прав человека и контактов между людьми. Кроме того, в этом документе подчеркнута решимость государств совершенствовать свои законы и административные правила в области прав человека и обеспечивать эффективное осуществление прав человека и основных свобод. Подчеркивается также важность обеспечения равноправия мужчин и женщин. Государства будут обеспечивать права и свободы профсоюзов и поощрять контакты между профсоюзными организациями разных стран.</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Дальнейшим развитием сотрудничества государств — участников СБСЕ явилась Венская встреча их представителей.</w:t>
      </w:r>
      <w:r>
        <w:rPr>
          <w:rStyle w:val="a7"/>
          <w:rFonts w:ascii="Arial Narrow" w:hAnsi="Arial Narrow" w:cs="Arial Narrow"/>
          <w:sz w:val="28"/>
          <w:szCs w:val="28"/>
        </w:rPr>
        <w:footnoteReference w:id="10"/>
      </w:r>
      <w:r>
        <w:rPr>
          <w:rFonts w:ascii="Arial Narrow" w:hAnsi="Arial Narrow" w:cs="Arial Narrow"/>
          <w:sz w:val="28"/>
          <w:szCs w:val="28"/>
        </w:rPr>
        <w:t xml:space="preserve"> В принятом 15 января 1989 г. Итоговом документе этой встречи государства-участники подтвердили свои намерения, зафиксированные в ранее принятых документах, и значительно расширили круг вопросов, по которым намечалось сотрудничество. В частности, они согласились, что будут совершенствовать свое законодательство в области прав человека, публиковать и распространять международные документы о правах человека, а также национальные законодательные акты и административные правила и процедуры, поощрять обсуждение в школах и в других учебных заведениях вопросов развития и защиты прав человека,, вносить активный вклад в развитие и защиту прав человека, обеспечивать надлежащие средства правовой защиты всем, чьи права нарушены, и не допускать отрицательных последствий для тех, кто выступает в защиту своих прав. Значительно по сравнению с предыдущими документами расширены основания, по которым не допускается дискриминация при обеспечении правами и свободами лиц в пределах юрисдикции государств.</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Государства-участники согласились уважать право каждого свободно передвигаться и выбирать место жительства на территории страны, а также покидать любую страну, включая и собственную, и возвращаться в свою страну. Государства согласились с тем, что они будут создавать благоприятные условия для защиты и развития национальных меньшинств.</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Решением Пражского совещания Совета СБСЕ, состоявшегося в январе 1992 года. Бюро по свободным выборам переименовано в Бюро по демократическим институтам и правам человека.В Хельсинкском документе 1992 года государства-участники подтвердили твердую решимость обеспечить полное уважение прав человека и основных свобод, действовать на основе законности, проводить в жизнь принципы демократии. В Документе подчеркивается, что права человека и основные свободы являются всеобщими.</w:t>
      </w:r>
      <w:r>
        <w:rPr>
          <w:rStyle w:val="a7"/>
          <w:rFonts w:ascii="Arial Narrow" w:hAnsi="Arial Narrow" w:cs="Arial Narrow"/>
          <w:sz w:val="28"/>
          <w:szCs w:val="28"/>
        </w:rPr>
        <w:footnoteReference w:id="11"/>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Уточнены функции Бюро как главного института в области человеческого измерения. Бюро будет оказывать помощь в наблюдении за выполнением обязательств в области человеческого измерения, выступать в качестве центра информации, созывать совещания государств-участников на уровне экспертов для обзора того, как выполняются ими обязательства, организовывать семинары по вопросам человеческого измерения и т.д.</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Ряд положений Хельсинкского документа 1992 года касается защиты национальных меньшинств, проблем беженцев и перемещенных лиц, рабочих-эмигрантов.</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Необходимо отметить, что встречи и совещания в рамках СБСЕ являются механизмом как создания норм, так' и контроля за их выполнением.</w:t>
      </w:r>
    </w:p>
    <w:p w:rsidR="00D7082A" w:rsidRDefault="00D7082A">
      <w:pPr>
        <w:pStyle w:val="1"/>
        <w:spacing w:before="0" w:after="0" w:line="360" w:lineRule="auto"/>
        <w:ind w:firstLine="720"/>
        <w:jc w:val="both"/>
        <w:rPr>
          <w:rFonts w:ascii="Arial Narrow" w:hAnsi="Arial Narrow" w:cs="Arial Narrow"/>
        </w:rPr>
      </w:pPr>
      <w:bookmarkStart w:id="12" w:name="_Toc472245449"/>
      <w:bookmarkStart w:id="13" w:name="_Toc514742441"/>
      <w:r>
        <w:rPr>
          <w:rFonts w:ascii="Arial Narrow" w:hAnsi="Arial Narrow" w:cs="Arial Narrow"/>
        </w:rPr>
        <w:t>Сотрудничество государств в рамках специализированных учреждений ООН.</w:t>
      </w:r>
      <w:bookmarkEnd w:id="12"/>
      <w:bookmarkEnd w:id="13"/>
    </w:p>
    <w:p w:rsidR="00D7082A" w:rsidRDefault="00D7082A">
      <w:pPr>
        <w:pStyle w:val="a3"/>
        <w:spacing w:line="360" w:lineRule="auto"/>
        <w:ind w:firstLine="720"/>
        <w:jc w:val="both"/>
        <w:rPr>
          <w:rFonts w:ascii="Arial Narrow" w:hAnsi="Arial Narrow" w:cs="Arial Narrow"/>
          <w:sz w:val="28"/>
          <w:szCs w:val="28"/>
        </w:rPr>
      </w:pP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Особенность сотрудничества в области прав человека в рамках СБСЕ состоит, в частности, в том, что нормы, создаваемые в результате этого сотрудничества, являются политическими нормами. Основанные на общепризнанных нормах международного права, они охватывают более широкий круг вопросов, чем сами нормы международного права.</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Массовые и грубые нарушения прав человека при наличии соответствующих признаков являются международными преступлениями (см. гл. 9). Это общая проблема. Имеется также ряд специальных конвенций по этим вопросам. В 1948 году была принята Конвенция о предупреждении преступления геноцида и наказании за него. Геноцид в переводе на русский</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означает уничтожение рода. В Конвенции под геноцидом понимаются действия, которые совершаются с целью полного или частичного уничтожения какой-либо национальной, этнической, расовой или религиозной группы. Эта цель достигается путем следующих действий: убийства членов такой группы; причинения серьезных телесных повреждений или умственного расстройства ее членам; предумышленное создание таких условий, которые ведут к полному или частичному уничтожению группы; меры, рассчитанные на предотвращение деторождения; насильственная передача детей из одной группы в другую (ст. II).</w:t>
      </w:r>
      <w:r>
        <w:rPr>
          <w:rStyle w:val="a7"/>
          <w:rFonts w:ascii="Arial Narrow" w:hAnsi="Arial Narrow" w:cs="Arial Narrow"/>
          <w:sz w:val="28"/>
          <w:szCs w:val="28"/>
        </w:rPr>
        <w:footnoteReference w:id="12"/>
      </w:r>
      <w:r>
        <w:rPr>
          <w:rFonts w:ascii="Arial Narrow" w:hAnsi="Arial Narrow" w:cs="Arial Narrow"/>
          <w:sz w:val="28"/>
          <w:szCs w:val="28"/>
        </w:rPr>
        <w:t xml:space="preserve"> Таким образом, массовые убийства не обязательно будут геноцидом, в то же время убийство не является единственным способом совершения преступления геноцида. Наказуемы геноцид, заговор с целью его совершения, покушение, соучастие в нем.</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Конвенция о ликвидации всех форм расовой дискриминации 1965 года определяет расовую дискриминацию как любое различие, исключение, ограничение или предпочтение, которые основываются только на признаках расы, цвета кожи, родового, национального или этнического происхождения и имеет целью установление неравенства в правах человека в любых областях общественной жизни. В соответствии с Конвенцией государства-участники предусматривают в своем уголовном законодательстве ответственность за распространение идей, основанных на расовом превосходстве или ненависти, за подстрекательство к расовой дискриминации, а также за акты насилия или подстрекательства к насилию в отношении любой расы или группы лиц с другим цветом кожи или другого этнического происхождения и за предоставление любой помощи для проведения расистской деятельности.</w:t>
      </w:r>
      <w:r>
        <w:rPr>
          <w:rStyle w:val="a7"/>
          <w:rFonts w:ascii="Arial Narrow" w:hAnsi="Arial Narrow" w:cs="Arial Narrow"/>
          <w:sz w:val="28"/>
          <w:szCs w:val="28"/>
        </w:rPr>
        <w:footnoteReference w:id="13"/>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Международный контроль за соблюдением государствами обязательств, содержащихся в Конвенции, осуществляет Комитет по ликвидации расовой дискриминации, 18 членов которого избираются государствами-участниками. Доклады в установленном порядке государства направляют Комитету через Генерального секретаря ООН. Комитет рассматривает также сообщения государств о невыполнении положений Конвенции другими участниками. Кроме того, Комитет принимает и рассматривает жалобы отдельных лиц или группы лиц, которые утверждают, что в отношении них были нарушены права, предусмотренные в Конвенции. Однако этот порядок действует только применительно к тем государствам, которые специальным заявлением признали компетенцию Комитета рассматривать такие жалобы. По завершении рассмотрения жалобы Комитет направляет свои предложения и рекомендации заинтересованному государству и заявителю.</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Конвенция о пресечении преступления апартеида и наказании за него 1973 года определяет преступление апартеида как преступление против человечества, как бесчеловечные акты, совершенные с целью установления и поддержания господства одной расовой группы людей над другой и ее систематического угнетения. Государства — участники Конвенции обязуются предпринимать меры законодательного или иного характера, которые необходимы для предотвращения и (или) пресечения апартеида, а также принять законодательные, судебные и административные меры для преследования, привлечения к суду и наказания лиц, обвиняемых в совершении преступления апартеида. Они могут быть судимы в национальных судах любого государства — участника Конвенции или в международном уголовном трибунале, который может создаваться для этой цели.</w:t>
      </w:r>
      <w:r>
        <w:rPr>
          <w:rStyle w:val="a7"/>
          <w:rFonts w:ascii="Arial Narrow" w:hAnsi="Arial Narrow" w:cs="Arial Narrow"/>
          <w:sz w:val="28"/>
          <w:szCs w:val="28"/>
        </w:rPr>
        <w:footnoteReference w:id="14"/>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Принцип недискриминации по признаку пола, закрепленный в Уставе ООН, получил развитие в Конвенции о политических правах женщин 1952 года, в Конвенции о ликвидации всех форм дискриминации в отношении женщин 1979 года и в других международных документах.</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Конвенция 1952 года закрепляет право женщин избирать и быть избранными, а также занимать должности на общественной и государственной службе и выполнять общественные и государственные функции на равных с мужчинами условиях, без какой-либо дискриминации.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соответствии с Конвенцией о ликвидации всех форм дискриминации в отношении женщин 1979 года государства-участники осуждают такую дискриминацию и обязуются проводить политику ее ликвидации. С этой целью они будут включать, если еще не включили, в свое национальное законодательство принцип равноправия мужчин и женщин и обеспечат его практическое осуществление, запретив всякую дискриминацию в отношении женщин, установив необходимые санкции и создав возможность юридической защиты прав женщин. Государства обязуются изменить или отменить все законы, постановления, обычаи, практику, которые устанавливают дискриминацию в отношении женщин. Государства-участники могут принимать временные меры, которые направлены на устранение неравенства между женщинами и мужчинами. Они обязуются принять все соответствующие меры для пресечения всех видов торговли женщинами и эксплуатации проституции женщин.</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Государства-участники принимают все меры по ликвидации дискриминации женщин в общественной и политической жизни, в области образования, занятости, здравоохранения и в других областях экономической и социальной жизни, в вопросах брака и семейных отношений. Женщинам предоставляется равная с мужчинами правоспособность и одинаковые возможности ее реализации.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Для контроля за соблюдением обязательств по Конвенции создан Комитет по ликвидации дискриминации в отношении женщин, состоящий из 23 экспертов, избираемых государствами — участниками Конвенции. Государства направляют Комитету через Генерального секретаря ООН доклады, в которых сообщается о принятых ими мерах по выполнению положений Конвенции и о достигнутых на этом пути результатах. Комитет в своем ежегодном докладе, представляемом Генеральной Ассамблее ООН через ЭКОСОС, может вносить предложения и давать рекомендации общего характера, основанные на изучении докладов государств.</w:t>
      </w:r>
      <w:r>
        <w:rPr>
          <w:rStyle w:val="a7"/>
          <w:rFonts w:ascii="Arial Narrow" w:hAnsi="Arial Narrow" w:cs="Arial Narrow"/>
          <w:sz w:val="28"/>
          <w:szCs w:val="28"/>
        </w:rPr>
        <w:footnoteReference w:id="15"/>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В 1989 году Генеральная Ассамблея ООН приняла Конвенцию о правах ребенка. В Конвенции с учетом того, что дети имеют право на особую помощь и защиту, определены гражданские, политические, экономические и социальные права, в частности право свободного выражения мнения, право на свободу мысли, совести и религии, свободу ассоциаций И мирных собраний, доступ к информации, право пользоваться услугами системы здравоохранения и благами социального обеспечения, право на уровень жизни, необходимый для физического, умственного, духовного, нравственного и социального развития детей, право на образование, на отдых и досуг, на защиту от экономической эксплуатации.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Обязанностью государства является широкое ознакомление как взрослых, так и детей с принципами и положениями Конвенции.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Для контроля создается Комитет по правам ребенка, 10 членов которого избираются государствами-участниками и действуют в личном качестве. Государства в предусмотренном в Конвенции порядке предоставляют Комитету доклады, в которых они сообщают о принятых мерах, направленных на проведение в жизнь предусмотренных в Конвенции прав, и о достигнутом на этом пути прогрессе.</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Сотрудничество государств в области прав человека осуществляется и в рамках специализированных учреждений ООН. Так, значительное число конвенций принято МОТ. В них содержатся нормы, касающиеся труда и социального обеспечения работающих. В частности, в 1930 году была принята Конвенция (№ 29) относительно принудительного или обязательного труда. Под принудительным или обязательным трудом в ней понимается всякая работа или служба, которая требуется от лица под угрозой наказания и для которой лицо не предлагало добровольно своих услуг. Принудительным или обязательным трудом не являются военная служба, выполнение обычных гражданских обязанностей, работа по приговору суда, работа при чрезвычайных обстоятельствах. Государства-участники должны упразднить применение принудительного или обязательного труда во всех его формах. В Конвенции (№ 105) об упразднении принудительного труда, принятой в 1957 году, предусмотрено, что ее участники должны упразднить принудительный или обязательный труд и не могут использовать его в качестве средства политического воздействия или меры наказания за политические преступления, метода мобилизации и использования рабочей силы для нужд экономического развития, для поддержания трудовой дисциплины, наказания за участие в забастовках или в качестве меры дискриминации по признакам расы, вероисповедания, социальной или национальной принадлежности.</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Конвенция (№ 122) о политике в области занятости 1964 года предусматривает, что государства-участники провозглашают и осуществляют политику полной, продуктивной и свободно избранной занятости, которая преследует цель</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обеспечить работой всех, кто ее ищет и готов приступить к ней, обеспечить как можно большую продуктивность работы, предоставить свободу выбора занятости и обеспечить возможность на получение подготовки и использования своих навыков и способностей для выполнения работы без какой-либо дискриминации.</w:t>
      </w:r>
      <w:r>
        <w:rPr>
          <w:rStyle w:val="a7"/>
          <w:rFonts w:ascii="Arial Narrow" w:hAnsi="Arial Narrow" w:cs="Arial Narrow"/>
          <w:sz w:val="28"/>
          <w:szCs w:val="28"/>
        </w:rPr>
        <w:footnoteReference w:id="16"/>
      </w:r>
    </w:p>
    <w:p w:rsidR="00D7082A" w:rsidRDefault="00D7082A">
      <w:pPr>
        <w:pStyle w:val="1"/>
        <w:spacing w:before="0" w:after="0" w:line="360" w:lineRule="auto"/>
        <w:ind w:firstLine="720"/>
        <w:jc w:val="both"/>
        <w:rPr>
          <w:rFonts w:ascii="Arial Narrow" w:hAnsi="Arial Narrow" w:cs="Arial Narrow"/>
        </w:rPr>
      </w:pPr>
      <w:r>
        <w:rPr>
          <w:rFonts w:ascii="Arial Narrow" w:hAnsi="Arial Narrow" w:cs="Arial Narrow"/>
        </w:rPr>
        <w:br w:type="page"/>
      </w:r>
      <w:bookmarkStart w:id="14" w:name="_Toc472245450"/>
      <w:bookmarkStart w:id="15" w:name="_Toc514742442"/>
      <w:r>
        <w:rPr>
          <w:rFonts w:ascii="Arial Narrow" w:hAnsi="Arial Narrow" w:cs="Arial Narrow"/>
        </w:rPr>
        <w:t>Заключение</w:t>
      </w:r>
      <w:bookmarkEnd w:id="14"/>
      <w:bookmarkEnd w:id="15"/>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Права человека в области образования, культуры, науки предусмотрены в конвенциях, принятых в рамках ЮНЕСКО. В частности, в 1960 году была принята Конвенция о борьбе с дискриминацией в области образования. Такой дискриминацией является всякое различие, исключение, ограничение или предпочтение, цель или следствие которого состоят в уничтожении или нарушении равенства отношений в области образования, проводимых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При соблюдении определенных условий допускаются по мотивам религиозного или языкового характера, а также для учащихся разного пола раздельные системы образования или учебные заведения, равно как и создание частных учебных заведений.</w:t>
      </w:r>
    </w:p>
    <w:p w:rsidR="00D7082A" w:rsidRDefault="00D7082A">
      <w:pPr>
        <w:pStyle w:val="a3"/>
        <w:spacing w:line="360" w:lineRule="auto"/>
        <w:ind w:firstLine="720"/>
        <w:jc w:val="both"/>
        <w:rPr>
          <w:rFonts w:ascii="Arial Narrow" w:hAnsi="Arial Narrow" w:cs="Arial Narrow"/>
          <w:sz w:val="28"/>
          <w:szCs w:val="28"/>
        </w:rPr>
      </w:pPr>
      <w:r>
        <w:rPr>
          <w:rFonts w:ascii="Arial Narrow" w:hAnsi="Arial Narrow" w:cs="Arial Narrow"/>
          <w:sz w:val="28"/>
          <w:szCs w:val="28"/>
        </w:rPr>
        <w:t>Государства-участники обязуются привести национальное законодательство и административную практику в такое положение, которое не допускало бы дискриминации в области образования. В частности, иностранцам, проживающим на территории государства, должно быть предоставлено право равного с собственными гражданами доступа к образованию. О мерах, принятых государствами для осуществления Конвенции, ее участники сообщают в докладах, периодически направляемых ими в ЮНЕСКО.</w:t>
      </w:r>
    </w:p>
    <w:p w:rsidR="00D7082A" w:rsidRDefault="00D7082A">
      <w:pPr>
        <w:pStyle w:val="1"/>
        <w:spacing w:before="0" w:after="0" w:line="360" w:lineRule="auto"/>
        <w:ind w:firstLine="720"/>
        <w:jc w:val="both"/>
        <w:rPr>
          <w:rFonts w:ascii="Arial Narrow" w:hAnsi="Arial Narrow" w:cs="Arial Narrow"/>
        </w:rPr>
      </w:pPr>
      <w:r>
        <w:rPr>
          <w:rFonts w:ascii="Arial Narrow" w:hAnsi="Arial Narrow" w:cs="Arial Narrow"/>
        </w:rPr>
        <w:br w:type="page"/>
      </w:r>
      <w:bookmarkStart w:id="16" w:name="_Toc472245451"/>
      <w:bookmarkStart w:id="17" w:name="_Toc514742443"/>
      <w:r>
        <w:rPr>
          <w:rFonts w:ascii="Arial Narrow" w:hAnsi="Arial Narrow" w:cs="Arial Narrow"/>
        </w:rPr>
        <w:t>Список литературы:</w:t>
      </w:r>
      <w:bookmarkEnd w:id="16"/>
      <w:bookmarkEnd w:id="17"/>
    </w:p>
    <w:p w:rsidR="00D7082A" w:rsidRDefault="00D7082A">
      <w:pPr>
        <w:pStyle w:val="a3"/>
        <w:numPr>
          <w:ilvl w:val="0"/>
          <w:numId w:val="2"/>
        </w:numPr>
        <w:spacing w:line="360" w:lineRule="auto"/>
        <w:ind w:firstLine="720"/>
        <w:jc w:val="both"/>
        <w:rPr>
          <w:rFonts w:ascii="Arial Narrow" w:hAnsi="Arial Narrow" w:cs="Arial Narrow"/>
          <w:sz w:val="28"/>
          <w:szCs w:val="28"/>
        </w:rPr>
      </w:pPr>
      <w:r>
        <w:rPr>
          <w:rFonts w:ascii="Arial Narrow" w:hAnsi="Arial Narrow" w:cs="Arial Narrow"/>
          <w:sz w:val="28"/>
          <w:szCs w:val="28"/>
        </w:rPr>
        <w:t>Международное право. /Тункин Г. –М., 1994.</w:t>
      </w:r>
    </w:p>
    <w:p w:rsidR="00D7082A" w:rsidRDefault="00D7082A">
      <w:pPr>
        <w:pStyle w:val="a3"/>
        <w:numPr>
          <w:ilvl w:val="0"/>
          <w:numId w:val="2"/>
        </w:numPr>
        <w:spacing w:line="360" w:lineRule="auto"/>
        <w:ind w:firstLine="720"/>
        <w:jc w:val="both"/>
        <w:rPr>
          <w:rFonts w:ascii="Arial Narrow" w:hAnsi="Arial Narrow" w:cs="Arial Narrow"/>
          <w:sz w:val="28"/>
          <w:szCs w:val="28"/>
        </w:rPr>
      </w:pPr>
      <w:r>
        <w:rPr>
          <w:rFonts w:ascii="Arial Narrow" w:hAnsi="Arial Narrow" w:cs="Arial Narrow"/>
          <w:sz w:val="28"/>
          <w:szCs w:val="28"/>
        </w:rPr>
        <w:t>Мовчан А. Права человека и международные отношения. –М., 19892.</w:t>
      </w:r>
    </w:p>
    <w:p w:rsidR="00D7082A" w:rsidRDefault="00D7082A">
      <w:pPr>
        <w:pStyle w:val="a3"/>
        <w:numPr>
          <w:ilvl w:val="0"/>
          <w:numId w:val="2"/>
        </w:numPr>
        <w:spacing w:line="360" w:lineRule="auto"/>
        <w:ind w:firstLine="720"/>
        <w:jc w:val="both"/>
        <w:rPr>
          <w:rFonts w:ascii="Arial Narrow" w:hAnsi="Arial Narrow" w:cs="Arial Narrow"/>
          <w:sz w:val="28"/>
          <w:szCs w:val="28"/>
        </w:rPr>
      </w:pPr>
      <w:r>
        <w:rPr>
          <w:rFonts w:ascii="Arial Narrow" w:hAnsi="Arial Narrow" w:cs="Arial Narrow"/>
          <w:sz w:val="28"/>
          <w:szCs w:val="28"/>
        </w:rPr>
        <w:t>Мюллерсон Р. Права человека: идеи, нормы, реальность. –М., 1991.</w:t>
      </w:r>
    </w:p>
    <w:p w:rsidR="00D7082A" w:rsidRDefault="00D7082A">
      <w:pPr>
        <w:pStyle w:val="a3"/>
        <w:numPr>
          <w:ilvl w:val="0"/>
          <w:numId w:val="2"/>
        </w:numPr>
        <w:spacing w:line="360" w:lineRule="auto"/>
        <w:ind w:firstLine="720"/>
        <w:jc w:val="both"/>
        <w:rPr>
          <w:rFonts w:ascii="Arial Narrow" w:hAnsi="Arial Narrow" w:cs="Arial Narrow"/>
          <w:sz w:val="28"/>
          <w:szCs w:val="28"/>
        </w:rPr>
      </w:pPr>
      <w:r>
        <w:rPr>
          <w:rFonts w:ascii="Arial Narrow" w:hAnsi="Arial Narrow" w:cs="Arial Narrow"/>
          <w:sz w:val="28"/>
          <w:szCs w:val="28"/>
        </w:rPr>
        <w:t>Островский Я. ООН и права человека. –М., 1968.</w:t>
      </w:r>
    </w:p>
    <w:p w:rsidR="00D7082A" w:rsidRDefault="00D7082A">
      <w:pPr>
        <w:pStyle w:val="a3"/>
        <w:numPr>
          <w:ilvl w:val="0"/>
          <w:numId w:val="2"/>
        </w:numPr>
        <w:spacing w:line="360" w:lineRule="auto"/>
        <w:ind w:firstLine="720"/>
        <w:jc w:val="both"/>
        <w:rPr>
          <w:rFonts w:ascii="Arial Narrow" w:hAnsi="Arial Narrow" w:cs="Arial Narrow"/>
          <w:sz w:val="28"/>
          <w:szCs w:val="28"/>
        </w:rPr>
      </w:pPr>
      <w:r>
        <w:rPr>
          <w:rFonts w:ascii="Arial Narrow" w:hAnsi="Arial Narrow" w:cs="Arial Narrow"/>
          <w:sz w:val="28"/>
          <w:szCs w:val="28"/>
        </w:rPr>
        <w:t>Шестаков Л. Права человека. Сб. международных документов. –М., 1990.</w:t>
      </w:r>
      <w:bookmarkStart w:id="18" w:name="_GoBack"/>
      <w:bookmarkEnd w:id="18"/>
    </w:p>
    <w:sectPr w:rsidR="00D7082A">
      <w:headerReference w:type="default" r:id="rId7"/>
      <w:pgSz w:w="11906" w:h="16838"/>
      <w:pgMar w:top="1418" w:right="85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2A" w:rsidRDefault="00D7082A">
      <w:r>
        <w:separator/>
      </w:r>
    </w:p>
  </w:endnote>
  <w:endnote w:type="continuationSeparator" w:id="0">
    <w:p w:rsidR="00D7082A" w:rsidRDefault="00D7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2A" w:rsidRDefault="00D7082A">
      <w:r>
        <w:separator/>
      </w:r>
    </w:p>
  </w:footnote>
  <w:footnote w:type="continuationSeparator" w:id="0">
    <w:p w:rsidR="00D7082A" w:rsidRDefault="00D7082A">
      <w:r>
        <w:continuationSeparator/>
      </w:r>
    </w:p>
  </w:footnote>
  <w:footnote w:id="1">
    <w:p w:rsidR="00D7082A" w:rsidRDefault="00D7082A">
      <w:pPr>
        <w:pStyle w:val="a5"/>
      </w:pPr>
      <w:r>
        <w:rPr>
          <w:rStyle w:val="a7"/>
        </w:rPr>
        <w:footnoteRef/>
      </w:r>
      <w:r>
        <w:t xml:space="preserve"> Международное право./Тункин Г. –М., 1994,с. 285.</w:t>
      </w:r>
    </w:p>
  </w:footnote>
  <w:footnote w:id="2">
    <w:p w:rsidR="00D7082A" w:rsidRDefault="00D7082A">
      <w:pPr>
        <w:pStyle w:val="a5"/>
      </w:pPr>
      <w:r>
        <w:rPr>
          <w:rStyle w:val="a7"/>
        </w:rPr>
        <w:footnoteRef/>
      </w:r>
      <w:r>
        <w:t xml:space="preserve"> Островский Я. ООН и права человека. –М., 1968, с. 45</w:t>
      </w:r>
    </w:p>
  </w:footnote>
  <w:footnote w:id="3">
    <w:p w:rsidR="00D7082A" w:rsidRDefault="00D7082A">
      <w:pPr>
        <w:pStyle w:val="a5"/>
      </w:pPr>
      <w:r>
        <w:rPr>
          <w:rStyle w:val="a7"/>
        </w:rPr>
        <w:footnoteRef/>
      </w:r>
      <w:r>
        <w:t xml:space="preserve"> Островский Я. ООН и права человека. –М., 1968, с. 46</w:t>
      </w:r>
    </w:p>
  </w:footnote>
  <w:footnote w:id="4">
    <w:p w:rsidR="00D7082A" w:rsidRDefault="00D7082A">
      <w:pPr>
        <w:pStyle w:val="a5"/>
      </w:pPr>
      <w:r>
        <w:rPr>
          <w:rStyle w:val="a7"/>
        </w:rPr>
        <w:footnoteRef/>
      </w:r>
      <w:r>
        <w:t xml:space="preserve"> Шестаков Л. Права человека. Сб. международных документов. –М., 1990, с. 62</w:t>
      </w:r>
    </w:p>
  </w:footnote>
  <w:footnote w:id="5">
    <w:p w:rsidR="00D7082A" w:rsidRDefault="00D7082A">
      <w:pPr>
        <w:pStyle w:val="a5"/>
      </w:pPr>
      <w:r>
        <w:rPr>
          <w:rStyle w:val="a7"/>
        </w:rPr>
        <w:footnoteRef/>
      </w:r>
      <w:r>
        <w:t xml:space="preserve"> Международное право. /Тункин Г. –М., 1994, с. 287</w:t>
      </w:r>
    </w:p>
  </w:footnote>
  <w:footnote w:id="6">
    <w:p w:rsidR="00D7082A" w:rsidRDefault="00D7082A">
      <w:pPr>
        <w:pStyle w:val="a5"/>
      </w:pPr>
      <w:r>
        <w:rPr>
          <w:rStyle w:val="a7"/>
        </w:rPr>
        <w:footnoteRef/>
      </w:r>
      <w:r>
        <w:t xml:space="preserve"> Шестаков Л. Права человека. Сб. международных документов. –М., 1990, с. 67</w:t>
      </w:r>
    </w:p>
  </w:footnote>
  <w:footnote w:id="7">
    <w:p w:rsidR="00D7082A" w:rsidRDefault="00D7082A">
      <w:pPr>
        <w:pStyle w:val="a5"/>
      </w:pPr>
      <w:r>
        <w:rPr>
          <w:rStyle w:val="a7"/>
        </w:rPr>
        <w:footnoteRef/>
      </w:r>
      <w:r>
        <w:t xml:space="preserve"> Мюллерсое Р. Права человека: идеи, нормы, реальность. –М., 1991,с. 82</w:t>
      </w:r>
    </w:p>
  </w:footnote>
  <w:footnote w:id="8">
    <w:p w:rsidR="00D7082A" w:rsidRDefault="00D7082A">
      <w:pPr>
        <w:pStyle w:val="a5"/>
      </w:pPr>
      <w:r>
        <w:rPr>
          <w:rStyle w:val="a7"/>
        </w:rPr>
        <w:footnoteRef/>
      </w:r>
      <w:r>
        <w:t xml:space="preserve"> Шестаков Л. Права человека. Сб. международных документов. –М., 1990, с. 66</w:t>
      </w:r>
    </w:p>
  </w:footnote>
  <w:footnote w:id="9">
    <w:p w:rsidR="00D7082A" w:rsidRDefault="00D7082A">
      <w:pPr>
        <w:pStyle w:val="a5"/>
      </w:pPr>
      <w:r>
        <w:rPr>
          <w:rStyle w:val="a7"/>
        </w:rPr>
        <w:footnoteRef/>
      </w:r>
      <w:r>
        <w:t xml:space="preserve"> Международное право./Тункин Г. –М., 1994, с. 289.</w:t>
      </w:r>
    </w:p>
  </w:footnote>
  <w:footnote w:id="10">
    <w:p w:rsidR="00D7082A" w:rsidRDefault="00D7082A">
      <w:pPr>
        <w:pStyle w:val="a5"/>
      </w:pPr>
      <w:r>
        <w:rPr>
          <w:rStyle w:val="a7"/>
        </w:rPr>
        <w:footnoteRef/>
      </w:r>
      <w:r>
        <w:t xml:space="preserve"> Шестаков Л. Права человека. Сб. международных документов. –М., 1990, с. 67</w:t>
      </w:r>
    </w:p>
  </w:footnote>
  <w:footnote w:id="11">
    <w:p w:rsidR="00D7082A" w:rsidRDefault="00D7082A">
      <w:pPr>
        <w:pStyle w:val="a5"/>
      </w:pPr>
      <w:r>
        <w:rPr>
          <w:rStyle w:val="a7"/>
        </w:rPr>
        <w:footnoteRef/>
      </w:r>
      <w:r>
        <w:t xml:space="preserve"> Международное право./Тункин Г. –М., 1994, с. 289.</w:t>
      </w:r>
    </w:p>
  </w:footnote>
  <w:footnote w:id="12">
    <w:p w:rsidR="00D7082A" w:rsidRDefault="00D7082A">
      <w:pPr>
        <w:pStyle w:val="a5"/>
      </w:pPr>
      <w:r>
        <w:rPr>
          <w:rStyle w:val="a7"/>
        </w:rPr>
        <w:footnoteRef/>
      </w:r>
      <w:r>
        <w:t xml:space="preserve"> Шестаков Л. Права человека. Сб. международных документов. –М., 1990, с. 68</w:t>
      </w:r>
    </w:p>
  </w:footnote>
  <w:footnote w:id="13">
    <w:p w:rsidR="00D7082A" w:rsidRDefault="00D7082A">
      <w:pPr>
        <w:pStyle w:val="a5"/>
      </w:pPr>
      <w:r>
        <w:rPr>
          <w:rStyle w:val="a7"/>
        </w:rPr>
        <w:footnoteRef/>
      </w:r>
      <w:r>
        <w:t xml:space="preserve"> Мовчан А. Права человека и международные отношения. –М., 1982, с. 25</w:t>
      </w:r>
    </w:p>
  </w:footnote>
  <w:footnote w:id="14">
    <w:p w:rsidR="00D7082A" w:rsidRDefault="00D7082A">
      <w:pPr>
        <w:pStyle w:val="a5"/>
      </w:pPr>
      <w:r>
        <w:rPr>
          <w:rStyle w:val="a7"/>
        </w:rPr>
        <w:footnoteRef/>
      </w:r>
      <w:r>
        <w:t xml:space="preserve"> Шестаков Л. Права человека. Сб. международных документов. –М., 1990, с. 69</w:t>
      </w:r>
    </w:p>
  </w:footnote>
  <w:footnote w:id="15">
    <w:p w:rsidR="00D7082A" w:rsidRDefault="00D7082A">
      <w:pPr>
        <w:pStyle w:val="a5"/>
      </w:pPr>
      <w:r>
        <w:rPr>
          <w:rStyle w:val="a7"/>
        </w:rPr>
        <w:footnoteRef/>
      </w:r>
      <w:r>
        <w:t xml:space="preserve"> Международное право. /Тункин Г. –М., 1994, с. 298</w:t>
      </w:r>
    </w:p>
  </w:footnote>
  <w:footnote w:id="16">
    <w:p w:rsidR="00D7082A" w:rsidRDefault="00D7082A">
      <w:pPr>
        <w:pStyle w:val="a5"/>
      </w:pPr>
      <w:r>
        <w:rPr>
          <w:rStyle w:val="a7"/>
        </w:rPr>
        <w:footnoteRef/>
      </w:r>
      <w:r>
        <w:t xml:space="preserve"> Шестаков Л. Права человека. Сб. международных документов. –М., 1990, с.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82A" w:rsidRDefault="00DF1B5F">
    <w:pPr>
      <w:pStyle w:val="a8"/>
      <w:framePr w:wrap="auto" w:vAnchor="text" w:hAnchor="margin" w:xAlign="center" w:y="1"/>
      <w:rPr>
        <w:rStyle w:val="aa"/>
      </w:rPr>
    </w:pPr>
    <w:r>
      <w:rPr>
        <w:rStyle w:val="aa"/>
        <w:noProof/>
      </w:rPr>
      <w:t>1</w:t>
    </w:r>
  </w:p>
  <w:p w:rsidR="00D7082A" w:rsidRDefault="00D7082A">
    <w:pPr>
      <w:pStyle w:val="a8"/>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399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11FE625D"/>
    <w:multiLevelType w:val="singleLevel"/>
    <w:tmpl w:val="0419000F"/>
    <w:lvl w:ilvl="0">
      <w:start w:val="1"/>
      <w:numFmt w:val="decimal"/>
      <w:lvlText w:val="%1."/>
      <w:lvlJc w:val="left"/>
      <w:pPr>
        <w:tabs>
          <w:tab w:val="num" w:pos="360"/>
        </w:tabs>
        <w:ind w:left="360" w:hanging="360"/>
      </w:pPr>
    </w:lvl>
  </w:abstractNum>
  <w:abstractNum w:abstractNumId="2">
    <w:nsid w:val="4B99796D"/>
    <w:multiLevelType w:val="singleLevel"/>
    <w:tmpl w:val="0419000F"/>
    <w:lvl w:ilvl="0">
      <w:start w:val="1"/>
      <w:numFmt w:val="decimal"/>
      <w:lvlText w:val="%1."/>
      <w:lvlJc w:val="left"/>
      <w:pPr>
        <w:tabs>
          <w:tab w:val="num" w:pos="360"/>
        </w:tabs>
        <w:ind w:left="360" w:hanging="360"/>
      </w:pPr>
    </w:lvl>
  </w:abstractNum>
  <w:abstractNum w:abstractNumId="3">
    <w:nsid w:val="54F214C4"/>
    <w:multiLevelType w:val="singleLevel"/>
    <w:tmpl w:val="0419000F"/>
    <w:lvl w:ilvl="0">
      <w:start w:val="1"/>
      <w:numFmt w:val="decimal"/>
      <w:lvlText w:val="%1."/>
      <w:lvlJc w:val="left"/>
      <w:pPr>
        <w:tabs>
          <w:tab w:val="num" w:pos="360"/>
        </w:tabs>
        <w:ind w:left="360" w:hanging="360"/>
      </w:pPr>
    </w:lvl>
  </w:abstractNum>
  <w:abstractNum w:abstractNumId="4">
    <w:nsid w:val="782616CE"/>
    <w:multiLevelType w:val="singleLevel"/>
    <w:tmpl w:val="0419000F"/>
    <w:lvl w:ilvl="0">
      <w:start w:val="1"/>
      <w:numFmt w:val="decimal"/>
      <w:lvlText w:val="%1."/>
      <w:lvlJc w:val="left"/>
      <w:pPr>
        <w:tabs>
          <w:tab w:val="num" w:pos="360"/>
        </w:tabs>
        <w:ind w:left="360" w:hanging="360"/>
      </w:pPr>
    </w:lvl>
  </w:abstractNum>
  <w:abstractNum w:abstractNumId="5">
    <w:nsid w:val="7F937EB2"/>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5F"/>
    <w:rsid w:val="001F3C62"/>
    <w:rsid w:val="002D5514"/>
    <w:rsid w:val="00D7082A"/>
    <w:rsid w:val="00DF1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4A55BD-0974-4288-AF5A-18F21002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11">
    <w:name w:val="toc 1"/>
    <w:basedOn w:val="a"/>
    <w:next w:val="a"/>
    <w:autoRedefine/>
    <w:uiPriority w:val="99"/>
    <w:pPr>
      <w:spacing w:before="120" w:after="120"/>
    </w:pPr>
    <w:rPr>
      <w:b/>
      <w:bCs/>
      <w:caps/>
    </w:rPr>
  </w:style>
  <w:style w:type="paragraph" w:styleId="2">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ннчество в 1979 году Ирака, Сирии и Иордании в урегулировании вооруженного инцидента между НДРЙ и ЙАР</vt:lpstr>
    </vt:vector>
  </TitlesOfParts>
  <Company>Туристическая фирма  ООО "Каравелла"</Company>
  <LinksUpToDate>false</LinksUpToDate>
  <CharactersWithSpaces>31623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ннчество в 1979 году Ирака, Сирии и Иордании в урегулировании вооруженного инцидента между НДРЙ и ЙАР</dc:title>
  <dc:subject/>
  <dc:creator>Семенов Андрей Викторович</dc:creator>
  <cp:keywords/>
  <dc:description/>
  <cp:lastModifiedBy>admin</cp:lastModifiedBy>
  <cp:revision>2</cp:revision>
  <cp:lastPrinted>2001-05-17T12:26:00Z</cp:lastPrinted>
  <dcterms:created xsi:type="dcterms:W3CDTF">2014-03-06T05:14:00Z</dcterms:created>
  <dcterms:modified xsi:type="dcterms:W3CDTF">2014-03-06T05:14:00Z</dcterms:modified>
</cp:coreProperties>
</file>